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before="100" w:beforeAutospacing="1" w:after="100" w:afterAutospacing="1" w:line="480" w:lineRule="auto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hint="eastAsia" w:ascii="文星标宋" w:hAnsi="文星标宋" w:eastAsia="文星标宋" w:cs="宋体"/>
          <w:kern w:val="0"/>
          <w:sz w:val="40"/>
          <w:szCs w:val="40"/>
        </w:rPr>
        <w:t>昌乐县应急管理局2020年政府信息主动公开基本目录（含重点领域）</w:t>
      </w:r>
    </w:p>
    <w:tbl>
      <w:tblPr>
        <w:tblStyle w:val="10"/>
        <w:tblW w:w="13549" w:type="dxa"/>
        <w:jc w:val="center"/>
        <w:tblInd w:w="-25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8"/>
        <w:gridCol w:w="1504"/>
        <w:gridCol w:w="2126"/>
        <w:gridCol w:w="4255"/>
        <w:gridCol w:w="1418"/>
        <w:gridCol w:w="1275"/>
        <w:gridCol w:w="9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目录分类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一级目录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二级目录</w:t>
            </w:r>
          </w:p>
        </w:tc>
        <w:tc>
          <w:tcPr>
            <w:tcW w:w="4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公开内容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公开时限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公开形式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公开主体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基本目录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01机构职能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主要职责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基本信息、法定职责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信息形成后，20个工作日内公开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政府网站专题集中公开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应急局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机构设置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内设机构、所属机构、人员编制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领导成员和业务分工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领导简历、工作分工、分工调整情况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下属单位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基本信息、法定职责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02组织管理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业务培训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培训计划、开展情况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考核监督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政务公开纳入考核情况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工作推进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工作实施方案、工作推进措施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组织领导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政务公开工作承担机构、人员配备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实时公开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03政策解读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主要负责人解读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文件公开后发布相关解读材料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文件发布后3个工作日内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新闻发布会解读</w:t>
            </w:r>
          </w:p>
        </w:tc>
        <w:tc>
          <w:tcPr>
            <w:tcW w:w="4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数字图文解读</w:t>
            </w:r>
          </w:p>
        </w:tc>
        <w:tc>
          <w:tcPr>
            <w:tcW w:w="4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音视频解读</w:t>
            </w:r>
          </w:p>
        </w:tc>
        <w:tc>
          <w:tcPr>
            <w:tcW w:w="4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规范性文件解读</w:t>
            </w:r>
          </w:p>
        </w:tc>
        <w:tc>
          <w:tcPr>
            <w:tcW w:w="4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动漫解读</w:t>
            </w:r>
          </w:p>
        </w:tc>
        <w:tc>
          <w:tcPr>
            <w:tcW w:w="4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政策简明问答</w:t>
            </w:r>
          </w:p>
        </w:tc>
        <w:tc>
          <w:tcPr>
            <w:tcW w:w="4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专家解读</w:t>
            </w:r>
          </w:p>
        </w:tc>
        <w:tc>
          <w:tcPr>
            <w:tcW w:w="4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其他政策解读</w:t>
            </w:r>
          </w:p>
        </w:tc>
        <w:tc>
          <w:tcPr>
            <w:tcW w:w="4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04工作信息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业务公告、政务信息、机关建设、行政复议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应急局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05人事信息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人事任免、公务员招考、事业单位招聘等信息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06财政信息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财政预决算及“三公”经费预决算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设立财政预决算信息公开统一专栏，并对内容进行分级分类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经本级人大批准或经本级财政部门批复后20日内公开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公开本级政府和部门预决算说明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公开本级政府和部门预决算表格，且政府预决算全部细化到支出功能分类的项级科目，专项转移支付预决算细化到具体项目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开本级政府和部门“三公”经费预决算信息，预算要说明“三公”经费增减原因说明，因公出国（境）费、公务车购置费、公务用车运行费，公务接待费；决算要细化说明因公出国（境）经费、组团数、人数，公务用车经费、购置数、保有量，公务接待经费、批次、人数，“三公”经费增减原因说明等信息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向社会公开本级政府和部门重点项目的项目文本、绩效目标和社会绩效评价结果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19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基本目录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07行政权力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“双随机、一公开”监管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本级政府部门随机抽查事项清单（抽查依据、对象、内容、方式、比例和频次等清单要素完整）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信息形成后，20个工作日内公开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政府网站专题集中公开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县应急局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抽取计划和抽查结果，并按相关规定公开对抽查发现的违法违规行为的查处结果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0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权责清单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3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权责清单并根据法律法规立废改释情况、机构和职能调整情况等，及时调整；政府工作部门职责边界清单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政府网站专题集中公开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县应急局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97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重点领域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90" w:firstLineChars="5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08.公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共监管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安全生产信息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常规检查执法信息、暗查暗访信息、突击检查信息、随机抽查信息、安全生产不良记录“黑名单”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实时公开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县应急局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防范化解重大风险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政策措施及解读信息、风险防控等领域工作动态情况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县应急局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90" w:firstLineChars="5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审计公开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在重大行政决策执行过程中,跟踪决策的实施情况，开展决策执行效果的评估情况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县应急局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年度重点工作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执行措施、实施步骤、责任分工、监督方式；根据工作推进情况及时公开工作进展、取得成效、后续举措等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民生实事项目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执行措施、实施步骤、责任分工、监督方式；根据工作推进情况及时公开工作进展、取得成效、后续举措等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行政执法公示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行政执法职责、执法依据、执法程序、监督途径、服务指南、执法流程等事前公开信息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县应急局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执法机关、执法对象、执法类别、执法结论等执法结果信息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公开本机关上年度行政执法总体情况有关数据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每年1月31日前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灾害事故救援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应急处置与救援、医疗救护与卫生防疫工作信息、次生灾害预警防范信息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实时公开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县应急局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灾害救助需求信息、救助（捐赠）款物数量与使用情况、救助对象及其接受救助款物数额、灾后恢复重建工作进展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09应急管理</w:t>
            </w:r>
          </w:p>
        </w:tc>
        <w:tc>
          <w:tcPr>
            <w:tcW w:w="4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应急法律法规、常识、预案、公告等信息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信息形成后，20个工作日内公开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县应急局</w:t>
            </w:r>
          </w:p>
        </w:tc>
      </w:tr>
    </w:tbl>
    <w:p>
      <w:pPr>
        <w:ind w:firstLine="42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E9F"/>
    <w:rsid w:val="00004E9F"/>
    <w:rsid w:val="00007FD2"/>
    <w:rsid w:val="00012E64"/>
    <w:rsid w:val="0005760F"/>
    <w:rsid w:val="000908C3"/>
    <w:rsid w:val="000C6828"/>
    <w:rsid w:val="0016780C"/>
    <w:rsid w:val="00171D68"/>
    <w:rsid w:val="001933FF"/>
    <w:rsid w:val="001B1C26"/>
    <w:rsid w:val="001B5C24"/>
    <w:rsid w:val="00215F6E"/>
    <w:rsid w:val="00245C7D"/>
    <w:rsid w:val="00296DC8"/>
    <w:rsid w:val="002C029F"/>
    <w:rsid w:val="003205BA"/>
    <w:rsid w:val="004823CB"/>
    <w:rsid w:val="005340D7"/>
    <w:rsid w:val="00545A83"/>
    <w:rsid w:val="0059131A"/>
    <w:rsid w:val="00680A8E"/>
    <w:rsid w:val="00876ED4"/>
    <w:rsid w:val="008926A2"/>
    <w:rsid w:val="00925958"/>
    <w:rsid w:val="00960153"/>
    <w:rsid w:val="009C2412"/>
    <w:rsid w:val="00AA5B88"/>
    <w:rsid w:val="00B45A62"/>
    <w:rsid w:val="00CF5159"/>
    <w:rsid w:val="00CF61C8"/>
    <w:rsid w:val="00D528FD"/>
    <w:rsid w:val="00D73B11"/>
    <w:rsid w:val="00D74887"/>
    <w:rsid w:val="00D825A4"/>
    <w:rsid w:val="00D87B42"/>
    <w:rsid w:val="00E06D03"/>
    <w:rsid w:val="00E65D9C"/>
    <w:rsid w:val="00E70174"/>
    <w:rsid w:val="00E92A01"/>
    <w:rsid w:val="00F35A30"/>
    <w:rsid w:val="00F922A4"/>
    <w:rsid w:val="00FC35AC"/>
    <w:rsid w:val="657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标题 1 Char"/>
    <w:basedOn w:val="8"/>
    <w:link w:val="2"/>
    <w:uiPriority w:val="0"/>
    <w:rPr>
      <w:b/>
      <w:kern w:val="44"/>
      <w:sz w:val="44"/>
      <w:szCs w:val="24"/>
    </w:rPr>
  </w:style>
  <w:style w:type="character" w:customStyle="1" w:styleId="12">
    <w:name w:val="标题 2 Char"/>
    <w:basedOn w:val="8"/>
    <w:link w:val="3"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3">
    <w:name w:val="标题 3 Char"/>
    <w:basedOn w:val="8"/>
    <w:link w:val="4"/>
    <w:uiPriority w:val="0"/>
    <w:rPr>
      <w:b/>
      <w:kern w:val="2"/>
      <w:sz w:val="32"/>
      <w:szCs w:val="24"/>
    </w:rPr>
  </w:style>
  <w:style w:type="character" w:customStyle="1" w:styleId="14">
    <w:name w:val="页眉 Char"/>
    <w:basedOn w:val="8"/>
    <w:link w:val="6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8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1449</Characters>
  <Lines>12</Lines>
  <Paragraphs>3</Paragraphs>
  <TotalTime>0</TotalTime>
  <ScaleCrop>false</ScaleCrop>
  <LinksUpToDate>false</LinksUpToDate>
  <CharactersWithSpaces>1700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2020-12-23T03:07:00Z</dcterms:created>
  <dc:creator>未定义</dc:creator>
  <cp:lastModifiedBy>Administrator</cp:lastModifiedBy>
  <dcterms:modified xsi:type="dcterms:W3CDTF">2021-01-06T02:56:25Z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