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45B0">
      <w:pPr>
        <w:spacing w:line="560" w:lineRule="exact"/>
        <w:jc w:val="center"/>
        <w:rPr>
          <w:rFonts w:hint="eastAsia" w:ascii="文星标宋" w:hAnsi="文星标宋" w:eastAsia="文星标宋" w:cs="文星标宋"/>
          <w:sz w:val="36"/>
          <w:szCs w:val="36"/>
        </w:rPr>
      </w:pPr>
    </w:p>
    <w:p w14:paraId="11C62C29">
      <w:pPr>
        <w:spacing w:line="560" w:lineRule="exact"/>
        <w:jc w:val="center"/>
        <w:rPr>
          <w:rFonts w:ascii="文星标宋" w:hAnsi="文星标宋" w:eastAsia="文星标宋" w:cs="文星标宋"/>
          <w:sz w:val="36"/>
          <w:szCs w:val="36"/>
        </w:rPr>
      </w:pPr>
      <w:r>
        <w:rPr>
          <w:rFonts w:hint="eastAsia" w:ascii="文星标宋" w:hAnsi="文星标宋" w:eastAsia="文星标宋" w:cs="文星标宋"/>
          <w:sz w:val="36"/>
          <w:szCs w:val="36"/>
        </w:rPr>
        <w:t>昌乐县</w:t>
      </w:r>
      <w:r>
        <w:rPr>
          <w:rFonts w:hint="eastAsia" w:ascii="文星标宋" w:hAnsi="文星标宋" w:eastAsia="文星标宋" w:cs="文星标宋"/>
          <w:sz w:val="36"/>
          <w:szCs w:val="36"/>
          <w:lang w:eastAsia="zh-CN"/>
        </w:rPr>
        <w:t>应急管理局</w:t>
      </w:r>
      <w:r>
        <w:rPr>
          <w:rFonts w:hint="eastAsia" w:ascii="文星标宋" w:hAnsi="文星标宋" w:eastAsia="文星标宋" w:cs="文星标宋"/>
          <w:sz w:val="36"/>
          <w:szCs w:val="36"/>
        </w:rPr>
        <w:t>行政执法主要职责</w:t>
      </w:r>
    </w:p>
    <w:tbl>
      <w:tblPr>
        <w:tblStyle w:val="5"/>
        <w:tblpPr w:leftFromText="180" w:rightFromText="180" w:vertAnchor="text" w:horzAnchor="page" w:tblpX="1621" w:tblpY="254"/>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224"/>
        <w:gridCol w:w="1657"/>
        <w:gridCol w:w="2742"/>
      </w:tblGrid>
      <w:tr w14:paraId="4EED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17" w:type="dxa"/>
            <w:vAlign w:val="center"/>
          </w:tcPr>
          <w:p w14:paraId="12F7CC00">
            <w:pPr>
              <w:jc w:val="center"/>
              <w:rPr>
                <w:rFonts w:ascii="黑体" w:hAnsi="黑体" w:eastAsia="黑体" w:cs="黑体"/>
                <w:b/>
                <w:sz w:val="24"/>
              </w:rPr>
            </w:pPr>
            <w:r>
              <w:rPr>
                <w:rFonts w:hint="eastAsia" w:ascii="黑体" w:hAnsi="黑体" w:eastAsia="黑体" w:cs="黑体"/>
                <w:b/>
                <w:sz w:val="24"/>
              </w:rPr>
              <w:t>机构名称</w:t>
            </w:r>
          </w:p>
        </w:tc>
        <w:tc>
          <w:tcPr>
            <w:tcW w:w="7623" w:type="dxa"/>
            <w:gridSpan w:val="3"/>
            <w:vAlign w:val="center"/>
          </w:tcPr>
          <w:p w14:paraId="3B7417B6">
            <w:pPr>
              <w:jc w:val="center"/>
              <w:rPr>
                <w:rFonts w:ascii="黑体" w:hAnsi="黑体" w:eastAsia="黑体" w:cs="黑体"/>
                <w:b/>
                <w:sz w:val="24"/>
              </w:rPr>
            </w:pPr>
            <w:r>
              <w:rPr>
                <w:rFonts w:hint="eastAsia" w:ascii="黑体" w:hAnsi="黑体" w:eastAsia="黑体" w:cs="黑体"/>
                <w:b/>
                <w:sz w:val="24"/>
              </w:rPr>
              <w:t>昌乐县</w:t>
            </w:r>
            <w:r>
              <w:rPr>
                <w:rFonts w:hint="eastAsia" w:ascii="黑体" w:hAnsi="黑体" w:eastAsia="黑体" w:cs="黑体"/>
                <w:b/>
                <w:sz w:val="24"/>
                <w:lang w:eastAsia="zh-CN"/>
              </w:rPr>
              <w:t>应急管理局应急综合执法大队</w:t>
            </w:r>
          </w:p>
        </w:tc>
      </w:tr>
      <w:tr w14:paraId="1D2A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417" w:type="dxa"/>
            <w:vAlign w:val="center"/>
          </w:tcPr>
          <w:p w14:paraId="696F3170">
            <w:pPr>
              <w:spacing w:line="320" w:lineRule="exact"/>
              <w:jc w:val="center"/>
              <w:rPr>
                <w:rFonts w:ascii="黑体" w:hAnsi="黑体" w:eastAsia="黑体" w:cs="黑体"/>
                <w:b/>
                <w:sz w:val="24"/>
              </w:rPr>
            </w:pPr>
            <w:r>
              <w:rPr>
                <w:rFonts w:hint="eastAsia" w:ascii="黑体" w:hAnsi="黑体" w:eastAsia="黑体" w:cs="黑体"/>
                <w:b/>
                <w:sz w:val="24"/>
              </w:rPr>
              <w:t>机构性质</w:t>
            </w:r>
          </w:p>
        </w:tc>
        <w:tc>
          <w:tcPr>
            <w:tcW w:w="3224" w:type="dxa"/>
            <w:vAlign w:val="center"/>
          </w:tcPr>
          <w:p w14:paraId="76151096">
            <w:pPr>
              <w:spacing w:line="3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行政机关</w:t>
            </w:r>
          </w:p>
        </w:tc>
        <w:tc>
          <w:tcPr>
            <w:tcW w:w="1657" w:type="dxa"/>
            <w:vAlign w:val="center"/>
          </w:tcPr>
          <w:p w14:paraId="47D79589">
            <w:pPr>
              <w:spacing w:line="3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主体类别</w:t>
            </w:r>
          </w:p>
        </w:tc>
        <w:tc>
          <w:tcPr>
            <w:tcW w:w="2742" w:type="dxa"/>
            <w:vAlign w:val="center"/>
          </w:tcPr>
          <w:p w14:paraId="6E498553">
            <w:pPr>
              <w:spacing w:line="3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法定行政机关</w:t>
            </w:r>
          </w:p>
        </w:tc>
      </w:tr>
      <w:tr w14:paraId="2E33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17" w:type="dxa"/>
            <w:vAlign w:val="center"/>
          </w:tcPr>
          <w:p w14:paraId="6E323F31">
            <w:pPr>
              <w:spacing w:line="320" w:lineRule="exact"/>
              <w:jc w:val="center"/>
              <w:rPr>
                <w:rFonts w:ascii="黑体" w:hAnsi="黑体" w:eastAsia="黑体" w:cs="黑体"/>
                <w:b/>
                <w:sz w:val="24"/>
              </w:rPr>
            </w:pPr>
            <w:r>
              <w:rPr>
                <w:rFonts w:hint="eastAsia" w:ascii="黑体" w:hAnsi="黑体" w:eastAsia="黑体" w:cs="黑体"/>
                <w:b/>
                <w:sz w:val="24"/>
              </w:rPr>
              <w:t>法定代表人</w:t>
            </w:r>
          </w:p>
        </w:tc>
        <w:tc>
          <w:tcPr>
            <w:tcW w:w="3224" w:type="dxa"/>
            <w:vAlign w:val="center"/>
          </w:tcPr>
          <w:p w14:paraId="27AB9986">
            <w:pPr>
              <w:spacing w:line="320" w:lineRule="exact"/>
              <w:jc w:val="center"/>
              <w:rPr>
                <w:rFonts w:hint="eastAsia" w:ascii="黑体" w:hAnsi="黑体" w:eastAsia="黑体" w:cs="黑体"/>
                <w:b/>
                <w:sz w:val="24"/>
                <w:lang w:eastAsia="zh-CN"/>
              </w:rPr>
            </w:pPr>
            <w:r>
              <w:rPr>
                <w:rFonts w:hint="eastAsia" w:ascii="黑体" w:hAnsi="黑体" w:eastAsia="黑体" w:cs="黑体"/>
                <w:b/>
                <w:sz w:val="24"/>
                <w:lang w:eastAsia="zh-CN"/>
              </w:rPr>
              <w:t>毕立新</w:t>
            </w:r>
          </w:p>
        </w:tc>
        <w:tc>
          <w:tcPr>
            <w:tcW w:w="1657" w:type="dxa"/>
            <w:vAlign w:val="center"/>
          </w:tcPr>
          <w:p w14:paraId="29C0D2CF">
            <w:pPr>
              <w:spacing w:line="320" w:lineRule="exact"/>
              <w:jc w:val="center"/>
              <w:rPr>
                <w:rFonts w:ascii="黑体" w:hAnsi="黑体" w:eastAsia="黑体" w:cs="黑体"/>
                <w:b/>
                <w:sz w:val="24"/>
              </w:rPr>
            </w:pPr>
            <w:r>
              <w:rPr>
                <w:rFonts w:hint="eastAsia" w:ascii="黑体" w:hAnsi="黑体" w:eastAsia="黑体" w:cs="黑体"/>
                <w:b/>
                <w:sz w:val="24"/>
              </w:rPr>
              <w:t>监督电话</w:t>
            </w:r>
          </w:p>
        </w:tc>
        <w:tc>
          <w:tcPr>
            <w:tcW w:w="2742" w:type="dxa"/>
            <w:vAlign w:val="center"/>
          </w:tcPr>
          <w:p w14:paraId="7D2897C4">
            <w:pPr>
              <w:spacing w:line="320" w:lineRule="exact"/>
              <w:jc w:val="center"/>
              <w:rPr>
                <w:rFonts w:hint="default" w:ascii="黑体" w:hAnsi="黑体" w:eastAsia="黑体" w:cs="黑体"/>
                <w:b/>
                <w:sz w:val="24"/>
                <w:lang w:val="en-US" w:eastAsia="zh-CN"/>
              </w:rPr>
            </w:pPr>
            <w:r>
              <w:rPr>
                <w:rFonts w:hint="eastAsia" w:ascii="黑体" w:hAnsi="黑体" w:eastAsia="黑体" w:cs="黑体"/>
                <w:b/>
                <w:sz w:val="24"/>
                <w:lang w:val="en-US" w:eastAsia="zh-CN"/>
              </w:rPr>
              <w:t>6225109</w:t>
            </w:r>
          </w:p>
        </w:tc>
      </w:tr>
      <w:tr w14:paraId="67F8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17" w:type="dxa"/>
            <w:vAlign w:val="center"/>
          </w:tcPr>
          <w:p w14:paraId="5E4B85D9">
            <w:pPr>
              <w:jc w:val="center"/>
              <w:rPr>
                <w:rFonts w:ascii="黑体" w:hAnsi="黑体" w:eastAsia="黑体" w:cs="黑体"/>
                <w:b/>
                <w:sz w:val="24"/>
              </w:rPr>
            </w:pPr>
            <w:r>
              <w:rPr>
                <w:rFonts w:hint="eastAsia" w:ascii="黑体" w:hAnsi="黑体" w:eastAsia="黑体" w:cs="黑体"/>
                <w:b/>
                <w:sz w:val="24"/>
              </w:rPr>
              <w:t>单位地址</w:t>
            </w:r>
          </w:p>
        </w:tc>
        <w:tc>
          <w:tcPr>
            <w:tcW w:w="3224" w:type="dxa"/>
            <w:vAlign w:val="center"/>
          </w:tcPr>
          <w:p w14:paraId="1222CB75">
            <w:pPr>
              <w:jc w:val="center"/>
              <w:rPr>
                <w:rFonts w:ascii="黑体" w:hAnsi="黑体" w:eastAsia="黑体" w:cs="黑体"/>
                <w:b/>
                <w:sz w:val="24"/>
              </w:rPr>
            </w:pPr>
            <w:r>
              <w:rPr>
                <w:rFonts w:hint="eastAsia" w:ascii="黑体" w:hAnsi="黑体" w:eastAsia="黑体" w:cs="黑体"/>
                <w:b/>
                <w:sz w:val="24"/>
              </w:rPr>
              <w:t>昌乐县城关商务社区</w:t>
            </w:r>
            <w:r>
              <w:rPr>
                <w:rFonts w:hint="eastAsia" w:ascii="黑体" w:hAnsi="黑体" w:eastAsia="黑体" w:cs="黑体"/>
                <w:b/>
                <w:sz w:val="24"/>
                <w:lang w:val="en-US" w:eastAsia="zh-CN"/>
              </w:rPr>
              <w:t>1</w:t>
            </w:r>
            <w:r>
              <w:rPr>
                <w:rFonts w:hint="eastAsia" w:ascii="黑体" w:hAnsi="黑体" w:eastAsia="黑体" w:cs="黑体"/>
                <w:b/>
                <w:sz w:val="24"/>
              </w:rPr>
              <w:t>号楼</w:t>
            </w:r>
          </w:p>
        </w:tc>
        <w:tc>
          <w:tcPr>
            <w:tcW w:w="1657" w:type="dxa"/>
            <w:vAlign w:val="center"/>
          </w:tcPr>
          <w:p w14:paraId="1F08B6CF">
            <w:pPr>
              <w:jc w:val="center"/>
              <w:rPr>
                <w:rFonts w:ascii="黑体" w:hAnsi="黑体" w:eastAsia="黑体" w:cs="黑体"/>
                <w:b/>
                <w:sz w:val="24"/>
              </w:rPr>
            </w:pPr>
            <w:r>
              <w:rPr>
                <w:rFonts w:hint="eastAsia" w:ascii="黑体" w:hAnsi="黑体" w:eastAsia="黑体" w:cs="黑体"/>
                <w:b/>
                <w:sz w:val="24"/>
              </w:rPr>
              <w:t>投诉举报</w:t>
            </w:r>
          </w:p>
          <w:p w14:paraId="5DDC651E">
            <w:pPr>
              <w:jc w:val="center"/>
              <w:rPr>
                <w:rFonts w:ascii="黑体" w:hAnsi="黑体" w:eastAsia="黑体" w:cs="黑体"/>
                <w:b/>
                <w:sz w:val="24"/>
              </w:rPr>
            </w:pPr>
            <w:r>
              <w:rPr>
                <w:rFonts w:hint="eastAsia" w:ascii="黑体" w:hAnsi="黑体" w:eastAsia="黑体" w:cs="黑体"/>
                <w:b/>
                <w:sz w:val="24"/>
              </w:rPr>
              <w:t>电话</w:t>
            </w:r>
          </w:p>
        </w:tc>
        <w:tc>
          <w:tcPr>
            <w:tcW w:w="2742" w:type="dxa"/>
            <w:vAlign w:val="center"/>
          </w:tcPr>
          <w:p w14:paraId="592DB0C9">
            <w:pPr>
              <w:jc w:val="center"/>
              <w:rPr>
                <w:rFonts w:hint="default" w:ascii="黑体" w:hAnsi="黑体" w:eastAsia="黑体" w:cs="黑体"/>
                <w:b/>
                <w:sz w:val="24"/>
                <w:lang w:val="en-US" w:eastAsia="zh-CN"/>
              </w:rPr>
            </w:pPr>
            <w:r>
              <w:rPr>
                <w:rFonts w:hint="eastAsia" w:ascii="黑体" w:hAnsi="黑体" w:eastAsia="黑体" w:cs="黑体"/>
                <w:b/>
                <w:sz w:val="24"/>
                <w:lang w:val="en-US" w:eastAsia="zh-CN"/>
              </w:rPr>
              <w:t>6225109</w:t>
            </w:r>
          </w:p>
        </w:tc>
      </w:tr>
      <w:tr w14:paraId="6A8B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0" w:hRule="atLeast"/>
        </w:trPr>
        <w:tc>
          <w:tcPr>
            <w:tcW w:w="1417" w:type="dxa"/>
            <w:vAlign w:val="center"/>
          </w:tcPr>
          <w:p w14:paraId="536B6EE4">
            <w:pPr>
              <w:jc w:val="center"/>
              <w:rPr>
                <w:rFonts w:ascii="黑体" w:hAnsi="黑体" w:eastAsia="黑体" w:cs="黑体"/>
                <w:b/>
                <w:sz w:val="24"/>
              </w:rPr>
            </w:pPr>
            <w:r>
              <w:rPr>
                <w:rFonts w:hint="eastAsia" w:ascii="黑体" w:hAnsi="黑体" w:eastAsia="黑体" w:cs="黑体"/>
                <w:b/>
                <w:sz w:val="24"/>
              </w:rPr>
              <w:t>执法的主要职责</w:t>
            </w:r>
          </w:p>
        </w:tc>
        <w:tc>
          <w:tcPr>
            <w:tcW w:w="7623" w:type="dxa"/>
            <w:gridSpan w:val="3"/>
            <w:vAlign w:val="center"/>
          </w:tcPr>
          <w:p w14:paraId="72ED53B8">
            <w:pPr>
              <w:spacing w:line="320" w:lineRule="exact"/>
              <w:rPr>
                <w:rFonts w:hint="eastAsia" w:ascii="黑体" w:hAnsi="黑体" w:eastAsia="黑体" w:cs="黑体"/>
                <w:b w:val="0"/>
                <w:bCs/>
                <w:sz w:val="24"/>
                <w:lang w:val="en-US" w:eastAsia="zh-CN"/>
              </w:rPr>
            </w:pPr>
          </w:p>
          <w:p w14:paraId="0CE9CC44">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（一）负责应急管理工作，指导全县应对安全生产类、自然灾害类等突发事件和综合防灾减灾救灾工作。负责安全生产综合监督管理和工矿商贸行业（煤矿除外，下同）安全生产监督管理工作。</w:t>
            </w:r>
          </w:p>
          <w:p w14:paraId="30B8138C">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二）贯彻执行应急管理、安全生产、防灾减灾救灾有关法律法规和方针政策。组织编制全县安全生产和综合防灾减灾、应急体系建设规划，监督实施相关地方性法规、政府规章以及有关地方标准和规程。指导、监督各镇（街、区）安全生产行政执法工作。</w:t>
            </w:r>
            <w:bookmarkStart w:id="0" w:name="_GoBack"/>
            <w:bookmarkEnd w:id="0"/>
          </w:p>
          <w:p w14:paraId="591DE8DC">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w:t>
            </w:r>
            <w:r>
              <w:rPr>
                <w:rFonts w:hint="eastAsia" w:ascii="黑体" w:hAnsi="黑体" w:eastAsia="黑体" w:cs="黑体"/>
                <w:b/>
                <w:sz w:val="24"/>
                <w:lang w:val="en-US" w:eastAsia="zh-CN"/>
              </w:rPr>
              <w:t>三</w:t>
            </w:r>
            <w:r>
              <w:rPr>
                <w:rFonts w:hint="default" w:ascii="黑体" w:hAnsi="黑体" w:eastAsia="黑体" w:cs="黑体"/>
                <w:b/>
                <w:sz w:val="24"/>
                <w:lang w:val="en-US" w:eastAsia="zh-CN"/>
              </w:rPr>
              <w:t>）依法行使安全生产综合监督管理职权，指导协调、监督检查县政府有关部门和各镇（街、区）安全生产工作，组织开展全县安全生产巡查、考核工作。依法组织指导生产安全事故调查处理，监督检查事故防范和整改措施的落实情况，参与事故责任追究落实情况的监督检查。负责全县应急管理、安全生产、防灾减灾的统计分析工作，通报有关情况。</w:t>
            </w:r>
          </w:p>
          <w:p w14:paraId="7BF33C49">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w:t>
            </w:r>
            <w:r>
              <w:rPr>
                <w:rFonts w:hint="eastAsia" w:ascii="黑体" w:hAnsi="黑体" w:eastAsia="黑体" w:cs="黑体"/>
                <w:b/>
                <w:sz w:val="24"/>
                <w:lang w:val="en-US" w:eastAsia="zh-CN"/>
              </w:rPr>
              <w:t>四</w:t>
            </w:r>
            <w:r>
              <w:rPr>
                <w:rFonts w:hint="default" w:ascii="黑体" w:hAnsi="黑体" w:eastAsia="黑体" w:cs="黑体"/>
                <w:b/>
                <w:sz w:val="24"/>
                <w:lang w:val="en-US" w:eastAsia="zh-CN"/>
              </w:rPr>
              <w:t>）按照分级、属地原则，依法监督检查工矿商贸生产经营单位贯彻执行安全生产法律法规情况及其安全生产条件和有关设备（特种设备除外）、材料、劳动防护用品的安全生产管理工作。监督检查重大危险源监控和重大事故隐患排查治理工作，依法查处不具备安全生产条件的工矿商贸生产经营单位。负责监督管理县管工矿商贸企业安全生产工作，指导监督中央企业四级及以下单位、省管企业三级及以下单位和其他工矿商贸企业安全生产工作。</w:t>
            </w:r>
          </w:p>
          <w:p w14:paraId="2DC30AC8">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w:t>
            </w:r>
            <w:r>
              <w:rPr>
                <w:rFonts w:hint="eastAsia" w:ascii="黑体" w:hAnsi="黑体" w:eastAsia="黑体" w:cs="黑体"/>
                <w:b/>
                <w:sz w:val="24"/>
                <w:lang w:val="en-US" w:eastAsia="zh-CN"/>
              </w:rPr>
              <w:t>五</w:t>
            </w:r>
            <w:r>
              <w:rPr>
                <w:rFonts w:hint="default" w:ascii="黑体" w:hAnsi="黑体" w:eastAsia="黑体" w:cs="黑体"/>
                <w:b/>
                <w:sz w:val="24"/>
                <w:lang w:val="en-US" w:eastAsia="zh-CN"/>
              </w:rPr>
              <w:t>）按照管理权限，负责全县非煤矿山企业和危险化学品、烟花爆竹企业安全生产准入管理工作，依法指导监督实施安全生产准入制度。负责危险化学品安全监督管理综合工作和烟花爆竹安全生产监督管理工作。</w:t>
            </w:r>
          </w:p>
          <w:p w14:paraId="2901F59C">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w:t>
            </w:r>
            <w:r>
              <w:rPr>
                <w:rFonts w:hint="eastAsia" w:ascii="黑体" w:hAnsi="黑体" w:eastAsia="黑体" w:cs="黑体"/>
                <w:b/>
                <w:sz w:val="24"/>
                <w:lang w:val="en-US" w:eastAsia="zh-CN"/>
              </w:rPr>
              <w:t>六</w:t>
            </w:r>
            <w:r>
              <w:rPr>
                <w:rFonts w:hint="default" w:ascii="黑体" w:hAnsi="黑体" w:eastAsia="黑体" w:cs="黑体"/>
                <w:b/>
                <w:sz w:val="24"/>
                <w:lang w:val="en-US" w:eastAsia="zh-CN"/>
              </w:rPr>
              <w:t>）负责监督检查职责范围内新建、改建、扩建工程项目的安全设施与主体工程同时设计、同时施工、同时投产使用情况。</w:t>
            </w:r>
          </w:p>
          <w:p w14:paraId="541E20DC">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w:t>
            </w:r>
            <w:r>
              <w:rPr>
                <w:rFonts w:hint="eastAsia" w:ascii="黑体" w:hAnsi="黑体" w:eastAsia="黑体" w:cs="黑体"/>
                <w:b/>
                <w:sz w:val="24"/>
                <w:lang w:val="en-US" w:eastAsia="zh-CN"/>
              </w:rPr>
              <w:t>七</w:t>
            </w:r>
            <w:r>
              <w:rPr>
                <w:rFonts w:hint="default" w:ascii="黑体" w:hAnsi="黑体" w:eastAsia="黑体" w:cs="黑体"/>
                <w:b/>
                <w:sz w:val="24"/>
                <w:lang w:val="en-US" w:eastAsia="zh-CN"/>
              </w:rPr>
              <w:t>）指导协调全县安全生产检测检验工作，监督安全生产社会中介机构和安全评价工作。负责实施注册安全工程师职业资格制度有关工作。</w:t>
            </w:r>
          </w:p>
          <w:p w14:paraId="25831803">
            <w:pPr>
              <w:spacing w:line="320" w:lineRule="exact"/>
              <w:rPr>
                <w:rFonts w:hint="default" w:ascii="黑体" w:hAnsi="黑体" w:eastAsia="黑体" w:cs="黑体"/>
                <w:b/>
                <w:sz w:val="24"/>
                <w:lang w:val="en-US" w:eastAsia="zh-CN"/>
              </w:rPr>
            </w:pPr>
            <w:r>
              <w:rPr>
                <w:rFonts w:hint="default" w:ascii="黑体" w:hAnsi="黑体" w:eastAsia="黑体" w:cs="黑体"/>
                <w:b/>
                <w:sz w:val="24"/>
                <w:lang w:val="en-US" w:eastAsia="zh-CN"/>
              </w:rPr>
              <w:t>（</w:t>
            </w:r>
            <w:r>
              <w:rPr>
                <w:rFonts w:hint="eastAsia" w:ascii="黑体" w:hAnsi="黑体" w:eastAsia="黑体" w:cs="黑体"/>
                <w:b/>
                <w:sz w:val="24"/>
                <w:lang w:val="en-US" w:eastAsia="zh-CN"/>
              </w:rPr>
              <w:t>八</w:t>
            </w:r>
            <w:r>
              <w:rPr>
                <w:rFonts w:hint="default" w:ascii="黑体" w:hAnsi="黑体" w:eastAsia="黑体" w:cs="黑体"/>
                <w:b/>
                <w:sz w:val="24"/>
                <w:lang w:val="en-US" w:eastAsia="zh-CN"/>
              </w:rPr>
              <w:t>）完成县委、县政府交办的其他任务。</w:t>
            </w:r>
          </w:p>
          <w:p w14:paraId="7FD9306D">
            <w:pPr>
              <w:spacing w:line="320" w:lineRule="exact"/>
              <w:rPr>
                <w:rFonts w:hint="default" w:ascii="黑体" w:hAnsi="黑体" w:eastAsia="黑体" w:cs="黑体"/>
                <w:b/>
                <w:sz w:val="24"/>
                <w:lang w:val="en-US" w:eastAsia="zh-CN"/>
              </w:rPr>
            </w:pPr>
          </w:p>
        </w:tc>
      </w:tr>
    </w:tbl>
    <w:p w14:paraId="3E84805C"/>
    <w:sectPr>
      <w:pgSz w:w="11906" w:h="16838"/>
      <w:pgMar w:top="8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MjA4Y2M0NjQ2MmFhZDQzOGFhOWEwNjRiZjc0NDgifQ=="/>
  </w:docVars>
  <w:rsids>
    <w:rsidRoot w:val="00000000"/>
    <w:rsid w:val="1DD67041"/>
    <w:rsid w:val="1E11637A"/>
    <w:rsid w:val="21BC3CFD"/>
    <w:rsid w:val="257F4F42"/>
    <w:rsid w:val="2D122D03"/>
    <w:rsid w:val="3C8604A3"/>
    <w:rsid w:val="41A329CD"/>
    <w:rsid w:val="438E7DC7"/>
    <w:rsid w:val="45284659"/>
    <w:rsid w:val="4B3F255B"/>
    <w:rsid w:val="5BBC6159"/>
    <w:rsid w:val="5F6474EC"/>
    <w:rsid w:val="61A04935"/>
    <w:rsid w:val="7B12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hAnsi="Times New Roman" w:eastAsia="仿宋_GB2312" w:cs="Times New Roman"/>
      <w:sz w:val="32"/>
    </w:r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915</Words>
  <Characters>927</Characters>
  <Lines>0</Lines>
  <Paragraphs>0</Paragraphs>
  <TotalTime>9</TotalTime>
  <ScaleCrop>false</ScaleCrop>
  <LinksUpToDate>false</LinksUpToDate>
  <CharactersWithSpaces>927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高美玲</cp:lastModifiedBy>
  <dcterms:modified xsi:type="dcterms:W3CDTF">2025-01-07T07:15:12Z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BC06A304CC014CAFB5D042AC7647B9E4</vt:lpwstr>
  </property>
  <property fmtid="{D5CDD505-2E9C-101B-9397-08002B2CF9AE}" pid="4" name="KSOTemplateDocerSaveRecord">
    <vt:lpwstr>eyJoZGlkIjoiMmFlMjA4Y2M0NjQ2MmFhZDQzOGFhOWEwNjRiZjc0NDgiLCJ1c2VySWQiOiIzMDU4MjAxNDQifQ==</vt:lpwstr>
  </property>
</Properties>
</file>