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bookmarkStart w:id="0" w:name="_GoBack"/>
      <w:bookmarkEnd w:id="0"/>
      <w:r>
        <w:rPr>
          <w:rFonts w:hint="eastAsia" w:ascii="黑体" w:hAnsi="黑体" w:eastAsia="黑体" w:cs="黑体"/>
          <w:sz w:val="44"/>
          <w:szCs w:val="44"/>
        </w:rPr>
        <w:t>关于2020年度昌乐县国有资产</w:t>
      </w:r>
    </w:p>
    <w:p>
      <w:pPr>
        <w:jc w:val="center"/>
        <w:rPr>
          <w:rFonts w:hint="eastAsia" w:ascii="黑体" w:hAnsi="黑体" w:eastAsia="黑体" w:cs="黑体"/>
          <w:sz w:val="44"/>
          <w:szCs w:val="44"/>
        </w:rPr>
      </w:pPr>
      <w:r>
        <w:rPr>
          <w:rFonts w:hint="eastAsia" w:ascii="黑体" w:hAnsi="黑体" w:eastAsia="黑体" w:cs="黑体"/>
          <w:sz w:val="44"/>
          <w:szCs w:val="44"/>
        </w:rPr>
        <w:t>管理情况综合报告审议意见整改落实</w:t>
      </w:r>
    </w:p>
    <w:p>
      <w:pPr>
        <w:jc w:val="center"/>
        <w:rPr>
          <w:rFonts w:ascii="黑体" w:hAnsi="黑体" w:eastAsia="黑体" w:cs="黑体"/>
          <w:sz w:val="44"/>
          <w:szCs w:val="44"/>
        </w:rPr>
      </w:pPr>
      <w:r>
        <w:rPr>
          <w:rFonts w:hint="eastAsia" w:ascii="黑体" w:hAnsi="黑体" w:eastAsia="黑体" w:cs="黑体"/>
          <w:sz w:val="44"/>
          <w:szCs w:val="44"/>
        </w:rPr>
        <w:t>情况的报告</w:t>
      </w:r>
    </w:p>
    <w:p>
      <w:pPr>
        <w:pStyle w:val="2"/>
        <w:rPr>
          <w:rFonts w:ascii="黑体" w:hAnsi="黑体" w:eastAsia="黑体" w:cs="黑体"/>
        </w:rPr>
      </w:pPr>
    </w:p>
    <w:p>
      <w:pPr>
        <w:pBdr>
          <w:bottom w:val="single" w:color="FFFFFF" w:sz="4" w:space="31"/>
        </w:pBdr>
        <w:overflowPunct w:val="0"/>
        <w:autoSpaceDE w:val="0"/>
        <w:autoSpaceDN w:val="0"/>
        <w:spacing w:line="600" w:lineRule="exact"/>
        <w:jc w:val="center"/>
        <w:rPr>
          <w:rFonts w:ascii="仿宋" w:hAnsi="仿宋" w:eastAsia="仿宋" w:cs="仿宋"/>
          <w:sz w:val="30"/>
          <w:szCs w:val="30"/>
        </w:rPr>
      </w:pPr>
      <w:r>
        <w:rPr>
          <w:rFonts w:hint="eastAsia" w:ascii="仿宋" w:hAnsi="仿宋" w:eastAsia="仿宋" w:cs="仿宋"/>
          <w:sz w:val="30"/>
          <w:szCs w:val="30"/>
        </w:rPr>
        <w:t>昌乐县财政局</w:t>
      </w:r>
    </w:p>
    <w:p>
      <w:pPr>
        <w:pBdr>
          <w:bottom w:val="single" w:color="FFFFFF" w:sz="4" w:space="31"/>
        </w:pBdr>
        <w:overflowPunct w:val="0"/>
        <w:autoSpaceDE w:val="0"/>
        <w:autoSpaceDN w:val="0"/>
        <w:spacing w:line="600" w:lineRule="exact"/>
        <w:rPr>
          <w:rFonts w:ascii="仿宋" w:hAnsi="仿宋" w:eastAsia="仿宋"/>
          <w:sz w:val="32"/>
          <w:szCs w:val="32"/>
        </w:rPr>
      </w:pPr>
      <w:r>
        <w:rPr>
          <w:rFonts w:hint="eastAsia" w:ascii="仿宋" w:hAnsi="仿宋" w:eastAsia="仿宋"/>
          <w:sz w:val="32"/>
          <w:szCs w:val="32"/>
        </w:rPr>
        <w:t>县人大常委会：</w:t>
      </w:r>
    </w:p>
    <w:p>
      <w:pPr>
        <w:pBdr>
          <w:bottom w:val="single" w:color="FFFFFF" w:sz="4" w:space="31"/>
        </w:pBdr>
        <w:overflowPunct w:val="0"/>
        <w:autoSpaceDE w:val="0"/>
        <w:autoSpaceDN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接到《县十七届人大常委会第四十五次会议关于2020年度昌乐县国有资产管理情况综合报告的审议意见》后，我局高度重视，召开专题会议研究审议意见，强化工作措施，迎难而上，全力推进相关事项的整改落实。现将有关情况报告如下：</w:t>
      </w:r>
    </w:p>
    <w:p>
      <w:pPr>
        <w:pBdr>
          <w:bottom w:val="single" w:color="FFFFFF" w:sz="4" w:space="31"/>
        </w:pBdr>
        <w:overflowPunct w:val="0"/>
        <w:autoSpaceDE w:val="0"/>
        <w:autoSpaceDN w:val="0"/>
        <w:spacing w:line="600" w:lineRule="exact"/>
        <w:ind w:firstLine="640" w:firstLineChars="200"/>
        <w:rPr>
          <w:rFonts w:ascii="黑体" w:hAnsi="黑体" w:eastAsia="黑体" w:cs="黑体"/>
          <w:snapToGrid w:val="0"/>
          <w:kern w:val="0"/>
          <w:sz w:val="32"/>
          <w:szCs w:val="32"/>
        </w:rPr>
      </w:pPr>
      <w:r>
        <w:rPr>
          <w:rFonts w:hint="eastAsia" w:ascii="黑体" w:hAnsi="黑体" w:eastAsia="黑体"/>
          <w:sz w:val="32"/>
          <w:szCs w:val="32"/>
        </w:rPr>
        <w:t>一、针对“</w:t>
      </w:r>
      <w:r>
        <w:rPr>
          <w:rFonts w:hint="eastAsia" w:ascii="黑体" w:hAnsi="黑体" w:eastAsia="黑体" w:cs="黑体"/>
          <w:snapToGrid w:val="0"/>
          <w:kern w:val="0"/>
          <w:sz w:val="32"/>
          <w:szCs w:val="32"/>
        </w:rPr>
        <w:t>加强行政性国有资产监管，提高资产管理绩效</w:t>
      </w:r>
      <w:r>
        <w:rPr>
          <w:rFonts w:hint="eastAsia" w:ascii="黑体" w:hAnsi="黑体" w:eastAsia="黑体"/>
          <w:sz w:val="32"/>
          <w:szCs w:val="32"/>
        </w:rPr>
        <w:t>”的审议意见</w:t>
      </w:r>
    </w:p>
    <w:p>
      <w:pPr>
        <w:pBdr>
          <w:bottom w:val="single" w:color="FFFFFF" w:sz="4" w:space="31"/>
        </w:pBdr>
        <w:overflowPunct w:val="0"/>
        <w:autoSpaceDE w:val="0"/>
        <w:autoSpaceDN w:val="0"/>
        <w:spacing w:line="600" w:lineRule="exact"/>
        <w:ind w:firstLine="630"/>
        <w:rPr>
          <w:rFonts w:ascii="仿宋" w:hAnsi="仿宋" w:eastAsia="仿宋" w:cs="仿宋"/>
          <w:snapToGrid w:val="0"/>
          <w:kern w:val="0"/>
          <w:sz w:val="32"/>
          <w:szCs w:val="32"/>
        </w:rPr>
      </w:pPr>
      <w:r>
        <w:rPr>
          <w:rFonts w:hint="eastAsia" w:ascii="仿宋" w:hAnsi="仿宋" w:eastAsia="仿宋" w:cs="仿宋"/>
          <w:snapToGrid w:val="0"/>
          <w:kern w:val="0"/>
          <w:sz w:val="32"/>
          <w:szCs w:val="32"/>
        </w:rPr>
        <w:t>(一)我们将进一步贯彻落实《行政事业性国有资产管理条例》。一是强化资产配置管理。根据单位依法履行职能和事业发展需要，结合资产存量、配置标准、绩效目标配置资产。资产配置重大事项应履行集体决策和审批程序。二是强化资产处置管理。严格执行国有资产处置管理规定，单位处置、报废资产应经集体决策，履行审批程序；资产转让、出租应通过公共资源交易平台公开处置、公开招租，收入上缴国库，实现国有资产收益最大化。三是加强基础管理。建立健全行政事业性国有资产台账，定期或不定期进行资产清查、盘点、对账，及时进行会计核算，做好账务处理，确保账账相符、账实相符、帐卡相符，不断提升国有资产管理的法制化、规范化、科学化水平。</w:t>
      </w:r>
    </w:p>
    <w:p>
      <w:pPr>
        <w:pBdr>
          <w:bottom w:val="single" w:color="FFFFFF" w:sz="4" w:space="31"/>
        </w:pBdr>
        <w:overflowPunct w:val="0"/>
        <w:autoSpaceDE w:val="0"/>
        <w:autoSpaceDN w:val="0"/>
        <w:spacing w:line="600" w:lineRule="exact"/>
        <w:ind w:firstLine="645"/>
        <w:rPr>
          <w:rFonts w:ascii="仿宋" w:hAnsi="仿宋" w:eastAsia="仿宋" w:cs="仿宋"/>
          <w:sz w:val="32"/>
          <w:szCs w:val="32"/>
        </w:rPr>
      </w:pPr>
      <w:r>
        <w:rPr>
          <w:rFonts w:hint="eastAsia" w:ascii="仿宋" w:hAnsi="仿宋" w:eastAsia="仿宋" w:cs="仿宋"/>
          <w:snapToGrid w:val="0"/>
          <w:kern w:val="0"/>
          <w:sz w:val="32"/>
          <w:szCs w:val="32"/>
        </w:rPr>
        <w:t>（二）我们将进一步规范完善资产标准体系，突出抓好资产配置预算管理。一是2022年修订完善《行政事业单位通用办公设备、家具资产配置标准管理办法》，增加空调、电视机、高档数码相机（承担宣传、执法业务使用）配备标准，探索制定符合实际的专用设备配备标准，为资产配置预算管理打下坚实基础。二是按照省市要求，升级山东省行政事业资产管理信息系统，开通资产配置预算模块，</w:t>
      </w:r>
      <w:r>
        <w:rPr>
          <w:rFonts w:hint="eastAsia" w:ascii="仿宋" w:hAnsi="仿宋" w:eastAsia="仿宋" w:cs="仿宋"/>
          <w:sz w:val="32"/>
          <w:szCs w:val="32"/>
        </w:rPr>
        <w:t>将资产配置标准嵌入预算管理流程中，资产配置预算审核与部门资金预算审核同步进行，</w:t>
      </w:r>
      <w:r>
        <w:rPr>
          <w:rFonts w:hint="eastAsia" w:ascii="仿宋" w:hAnsi="仿宋" w:eastAsia="仿宋" w:cs="仿宋"/>
          <w:snapToGrid w:val="0"/>
          <w:kern w:val="0"/>
          <w:sz w:val="32"/>
          <w:szCs w:val="32"/>
        </w:rPr>
        <w:t>逐步实现财政一体化系统平台与行政事业资产管理信息系统无缝衔接、信息资源共享，</w:t>
      </w:r>
      <w:r>
        <w:rPr>
          <w:rFonts w:hint="eastAsia" w:ascii="仿宋" w:hAnsi="仿宋" w:eastAsia="仿宋" w:cs="仿宋"/>
          <w:sz w:val="32"/>
          <w:szCs w:val="32"/>
        </w:rPr>
        <w:t>实现“资产管理与资金管理”有机结合，提高资产配置的科学化、规范化、精细化水平。</w:t>
      </w:r>
    </w:p>
    <w:p>
      <w:pPr>
        <w:pBdr>
          <w:bottom w:val="single" w:color="FFFFFF" w:sz="4" w:space="31"/>
        </w:pBdr>
        <w:overflowPunct w:val="0"/>
        <w:autoSpaceDE w:val="0"/>
        <w:autoSpaceDN w:val="0"/>
        <w:spacing w:line="600" w:lineRule="exact"/>
        <w:ind w:firstLine="645"/>
        <w:rPr>
          <w:rFonts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napToGrid w:val="0"/>
          <w:kern w:val="0"/>
          <w:sz w:val="32"/>
          <w:szCs w:val="32"/>
        </w:rPr>
        <w:t>我们将</w:t>
      </w:r>
      <w:r>
        <w:rPr>
          <w:rFonts w:hint="eastAsia" w:ascii="仿宋" w:hAnsi="仿宋" w:eastAsia="仿宋" w:cs="仿宋"/>
          <w:sz w:val="32"/>
          <w:szCs w:val="32"/>
        </w:rPr>
        <w:t>进一步加强公共基础设施类行政事业性国有资产监管。以今年11月份开展的全省公路资产专项清查为契机，2022年上半年对市</w:t>
      </w:r>
      <w:r>
        <w:rPr>
          <w:rFonts w:hint="eastAsia" w:ascii="仿宋" w:hAnsi="仿宋" w:eastAsia="仿宋"/>
          <w:sz w:val="32"/>
          <w:szCs w:val="32"/>
        </w:rPr>
        <w:t>政、园林绿化、文物等公共基础设施资产进行一次专项清查，按照“谁承担管理维护职责由谁入账”要求，从资产实物量、价值量、维护量方面彻底摸清公共基础设施资产家底，夯实管养维护单位的主体责任。在做好初始入账基础上，以清查数据为支撑，按照省市统一要求，在</w:t>
      </w:r>
      <w:r>
        <w:rPr>
          <w:rFonts w:hint="eastAsia" w:ascii="仿宋" w:hAnsi="仿宋" w:eastAsia="仿宋" w:cs="仿宋"/>
          <w:snapToGrid w:val="0"/>
          <w:kern w:val="0"/>
          <w:sz w:val="32"/>
          <w:szCs w:val="32"/>
        </w:rPr>
        <w:t>行政事业性资产管理信息系统中设置</w:t>
      </w:r>
      <w:r>
        <w:rPr>
          <w:rFonts w:hint="eastAsia" w:ascii="仿宋" w:hAnsi="仿宋" w:eastAsia="仿宋"/>
          <w:sz w:val="32"/>
          <w:szCs w:val="32"/>
        </w:rPr>
        <w:t>公共基础设施资产模块，按照“一物一卡”原则，建立公共基础设施资产信息卡片，逐步将公共基础设施资产纳入</w:t>
      </w:r>
      <w:r>
        <w:rPr>
          <w:rFonts w:hint="eastAsia" w:ascii="仿宋" w:hAnsi="仿宋" w:eastAsia="仿宋" w:cs="仿宋"/>
          <w:snapToGrid w:val="0"/>
          <w:kern w:val="0"/>
          <w:sz w:val="32"/>
          <w:szCs w:val="32"/>
        </w:rPr>
        <w:t>行政事业性资产管理信息系统</w:t>
      </w:r>
      <w:r>
        <w:rPr>
          <w:rFonts w:hint="eastAsia" w:ascii="仿宋" w:hAnsi="仿宋" w:eastAsia="仿宋"/>
          <w:sz w:val="32"/>
          <w:szCs w:val="32"/>
        </w:rPr>
        <w:t>，全面准确反映公共基础设施资产实物量和价值量。</w:t>
      </w:r>
    </w:p>
    <w:p>
      <w:pPr>
        <w:pBdr>
          <w:bottom w:val="single" w:color="FFFFFF" w:sz="4" w:space="31"/>
        </w:pBdr>
        <w:overflowPunct w:val="0"/>
        <w:autoSpaceDE w:val="0"/>
        <w:autoSpaceDN w:val="0"/>
        <w:spacing w:line="600" w:lineRule="exact"/>
        <w:ind w:firstLine="640" w:firstLineChars="200"/>
        <w:rPr>
          <w:rFonts w:ascii="黑体" w:hAnsi="黑体" w:eastAsia="黑体" w:cs="黑体"/>
          <w:sz w:val="32"/>
          <w:szCs w:val="32"/>
        </w:rPr>
      </w:pPr>
      <w:r>
        <w:rPr>
          <w:rFonts w:hint="eastAsia" w:ascii="仿宋" w:hAnsi="仿宋" w:eastAsia="仿宋" w:cs="仿宋"/>
          <w:sz w:val="32"/>
          <w:szCs w:val="32"/>
        </w:rPr>
        <w:t>二、</w:t>
      </w:r>
      <w:r>
        <w:rPr>
          <w:rFonts w:hint="eastAsia" w:ascii="黑体" w:hAnsi="黑体" w:eastAsia="黑体" w:cs="黑体"/>
          <w:sz w:val="32"/>
          <w:szCs w:val="32"/>
        </w:rPr>
        <w:t>针对“推动国有企业改革，提高国有资产做强做优”</w:t>
      </w:r>
      <w:r>
        <w:rPr>
          <w:rFonts w:hint="eastAsia" w:ascii="黑体" w:hAnsi="黑体" w:eastAsia="黑体"/>
          <w:sz w:val="32"/>
          <w:szCs w:val="32"/>
        </w:rPr>
        <w:t>的审议意见</w:t>
      </w:r>
    </w:p>
    <w:p>
      <w:pPr>
        <w:pBdr>
          <w:bottom w:val="single" w:color="FFFFFF" w:sz="4" w:space="31"/>
        </w:pBdr>
        <w:overflowPunct w:val="0"/>
        <w:autoSpaceDE w:val="0"/>
        <w:autoSpaceDN w:val="0"/>
        <w:spacing w:line="600" w:lineRule="exact"/>
        <w:rPr>
          <w:rFonts w:ascii="仿宋" w:hAnsi="仿宋" w:eastAsia="仿宋" w:cs="仿宋"/>
          <w:snapToGrid w:val="0"/>
          <w:kern w:val="0"/>
          <w:sz w:val="32"/>
          <w:szCs w:val="32"/>
        </w:rPr>
      </w:pPr>
      <w:r>
        <w:rPr>
          <w:rFonts w:hint="eastAsia" w:ascii="仿宋" w:hAnsi="仿宋" w:eastAsia="仿宋" w:cs="仿宋"/>
          <w:snapToGrid w:val="0"/>
          <w:kern w:val="0"/>
          <w:sz w:val="32"/>
          <w:szCs w:val="32"/>
        </w:rPr>
        <w:t xml:space="preserve">    （一）我们将深入贯彻实施《昌乐县国企改革三年行动实施方案》。一是进一步深化公司治理体系建设，2022年实现县管国有企业董事会应建尽建，切实规范董事会运作。二是进一步优化调整国有资本布局，加快县属国有企业优化重组步伐，将部门管理的市场化程度较高的国有企业分类划入6家国有企业集团，打造县级国有经济“五大板块”，加快培育一批管理规范、主业突出、竞争力强的县级国有企业集团，截止目前已将县宝都规划设计研究院有限公司划入县城市建设投资开发有限公司，县弘润机动车检测有限公司等正在逐步有序划转。三是进一步完善出资人监管权力和责任清单，严格按照权责清单行权履职，以管资本为主加快推进监管职能转变，不断推动国有资本和国有企业做强做优做大。</w:t>
      </w:r>
    </w:p>
    <w:p>
      <w:pPr>
        <w:pBdr>
          <w:bottom w:val="single" w:color="FFFFFF" w:sz="4" w:space="31"/>
        </w:pBdr>
        <w:overflowPunct w:val="0"/>
        <w:autoSpaceDE w:val="0"/>
        <w:autoSpaceDN w:val="0"/>
        <w:spacing w:line="60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二）我们将切实加强县属国有企业监管，防控各类金融债务风险。一是全面落实《昌乐县县属国有企业监督管理暂行规定》要求，切实加强企业国有资产监管，做好企业财务管理、经营预算、绩效考核、负责人薪酬管理等基础工作。二是加强企业内控制度建设，修订完善企业“三重一大”决策制度，建立健全企业内部监督体系，强化各类风险管控，聚焦企业债务风险、投资风险、金融风险等，及时排查处置风险隐患，严防各类金融债务风险。三是建立协调监督机制，推进出资人监管和纪检监察、巡察、审计统筹衔接、相互协调的大监督体系，筑牢防止国有资产流失的第一道防线，不断提升监管效能。</w:t>
      </w:r>
    </w:p>
    <w:p>
      <w:pPr>
        <w:pBdr>
          <w:bottom w:val="single" w:color="FFFFFF" w:sz="4" w:space="31"/>
        </w:pBdr>
        <w:overflowPunct w:val="0"/>
        <w:autoSpaceDE w:val="0"/>
        <w:autoSpaceDN w:val="0"/>
        <w:spacing w:line="600" w:lineRule="exact"/>
        <w:ind w:firstLine="645"/>
        <w:rPr>
          <w:rFonts w:ascii="黑体" w:hAnsi="黑体" w:eastAsia="黑体"/>
          <w:sz w:val="32"/>
          <w:szCs w:val="32"/>
        </w:rPr>
      </w:pPr>
      <w:r>
        <w:rPr>
          <w:rFonts w:hint="eastAsia" w:ascii="黑体" w:hAnsi="黑体" w:eastAsia="黑体"/>
          <w:sz w:val="32"/>
          <w:szCs w:val="32"/>
        </w:rPr>
        <w:t>三、针对“强化自然资源资产统一管理，提高自然资源保护利用水平”的审议意见。</w:t>
      </w:r>
    </w:p>
    <w:p>
      <w:pPr>
        <w:pBdr>
          <w:bottom w:val="single" w:color="FFFFFF" w:sz="4" w:space="31"/>
        </w:pBdr>
        <w:overflowPunct w:val="0"/>
        <w:autoSpaceDE w:val="0"/>
        <w:autoSpaceDN w:val="0"/>
        <w:spacing w:line="600" w:lineRule="exact"/>
        <w:ind w:firstLine="645"/>
        <w:rPr>
          <w:rFonts w:ascii="仿宋" w:hAnsi="仿宋" w:eastAsia="仿宋" w:cs="仿宋_GB2312"/>
          <w:sz w:val="32"/>
          <w:szCs w:val="32"/>
        </w:rPr>
      </w:pPr>
      <w:r>
        <w:rPr>
          <w:rFonts w:hint="eastAsia" w:ascii="仿宋" w:hAnsi="仿宋" w:eastAsia="仿宋" w:cs="仿宋"/>
          <w:snapToGrid w:val="0"/>
          <w:kern w:val="0"/>
          <w:sz w:val="32"/>
          <w:szCs w:val="32"/>
        </w:rPr>
        <w:t>（一）我们将进一步</w:t>
      </w:r>
      <w:r>
        <w:rPr>
          <w:rFonts w:hint="eastAsia" w:ascii="仿宋" w:hAnsi="仿宋" w:eastAsia="仿宋" w:cs="仿宋"/>
          <w:sz w:val="32"/>
          <w:szCs w:val="32"/>
        </w:rPr>
        <w:t>扎实做</w:t>
      </w:r>
      <w:r>
        <w:rPr>
          <w:rFonts w:hint="eastAsia" w:ascii="仿宋" w:hAnsi="仿宋" w:eastAsia="仿宋" w:cs="仿宋_GB2312"/>
          <w:sz w:val="32"/>
          <w:szCs w:val="32"/>
        </w:rPr>
        <w:t>好2021年度国土变更调查工作。预计2021年12月至2022年7月底，利用大半年的时间，对2021年度中我县土地利用情况发生变化的图斑进行全面调查，包括地类、面积、权属等信息，形成最新的昌乐县土地利用现状数据库，逐级上报自然资源部，并通过核查。</w:t>
      </w:r>
    </w:p>
    <w:p>
      <w:pPr>
        <w:pBdr>
          <w:bottom w:val="single" w:color="FFFFFF" w:sz="4" w:space="31"/>
        </w:pBdr>
        <w:overflowPunct w:val="0"/>
        <w:autoSpaceDE w:val="0"/>
        <w:autoSpaceDN w:val="0"/>
        <w:spacing w:line="600" w:lineRule="exact"/>
        <w:ind w:firstLine="645"/>
        <w:rPr>
          <w:rFonts w:ascii="仿宋" w:hAnsi="仿宋" w:eastAsia="仿宋" w:cs="仿宋_GB2312"/>
          <w:sz w:val="32"/>
          <w:szCs w:val="32"/>
        </w:rPr>
      </w:pPr>
      <w:r>
        <w:rPr>
          <w:rFonts w:hint="eastAsia" w:ascii="仿宋" w:hAnsi="仿宋" w:eastAsia="仿宋" w:cs="仿宋_GB2312"/>
          <w:sz w:val="32"/>
          <w:szCs w:val="32"/>
        </w:rPr>
        <w:t>（二）我们将逐步构建自然资源调查监测体系。以习近平新时代中国特色社会主义思想为指导，牢固树立山水林田湖草生命共同体理念，对土地、矿产、森林、草原、水、湿地等自然资源依法开展调查、监测、评价，准确掌握全县自然资源家底及其变化情况，逐步构建自然资源调查监测体系，为推进自然资源治理体系和治理能力现代化奠定坚实基础。</w:t>
      </w:r>
    </w:p>
    <w:p>
      <w:pPr>
        <w:pStyle w:val="2"/>
      </w:pPr>
    </w:p>
    <w:p>
      <w:pPr>
        <w:pBdr>
          <w:bottom w:val="single" w:color="FFFFFF" w:sz="4" w:space="31"/>
        </w:pBdr>
        <w:overflowPunct w:val="0"/>
        <w:autoSpaceDE w:val="0"/>
        <w:autoSpaceDN w:val="0"/>
        <w:spacing w:line="600" w:lineRule="exact"/>
        <w:ind w:firstLine="4480" w:firstLineChars="1400"/>
        <w:rPr>
          <w:rFonts w:ascii="仿宋" w:hAnsi="仿宋" w:eastAsia="仿宋" w:cs="仿宋_GB2312"/>
          <w:sz w:val="32"/>
          <w:szCs w:val="32"/>
        </w:rPr>
      </w:pPr>
      <w:r>
        <w:rPr>
          <w:rFonts w:hint="eastAsia" w:ascii="仿宋" w:hAnsi="仿宋" w:eastAsia="仿宋" w:cs="仿宋_GB2312"/>
          <w:sz w:val="32"/>
          <w:szCs w:val="32"/>
        </w:rPr>
        <w:t xml:space="preserve"> 2021年11月18日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Calibri Light">
    <w:panose1 w:val="020F0302020204030204"/>
    <w:charset w:val="00"/>
    <w:family w:val="roman"/>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3C065A"/>
    <w:rsid w:val="00003FA5"/>
    <w:rsid w:val="00005E9C"/>
    <w:rsid w:val="00012E82"/>
    <w:rsid w:val="00035BFF"/>
    <w:rsid w:val="00040B43"/>
    <w:rsid w:val="000572BF"/>
    <w:rsid w:val="00081C5A"/>
    <w:rsid w:val="00084B8D"/>
    <w:rsid w:val="00094F8C"/>
    <w:rsid w:val="00096298"/>
    <w:rsid w:val="000E6FEE"/>
    <w:rsid w:val="000F119A"/>
    <w:rsid w:val="00101056"/>
    <w:rsid w:val="001045BC"/>
    <w:rsid w:val="0010631E"/>
    <w:rsid w:val="001318D4"/>
    <w:rsid w:val="00157206"/>
    <w:rsid w:val="0017666F"/>
    <w:rsid w:val="00181C1F"/>
    <w:rsid w:val="001D15B8"/>
    <w:rsid w:val="001D29BE"/>
    <w:rsid w:val="001E5717"/>
    <w:rsid w:val="00217ECA"/>
    <w:rsid w:val="00235E64"/>
    <w:rsid w:val="00256C95"/>
    <w:rsid w:val="002A4889"/>
    <w:rsid w:val="002D1C7D"/>
    <w:rsid w:val="002E5E31"/>
    <w:rsid w:val="003003DA"/>
    <w:rsid w:val="003336AD"/>
    <w:rsid w:val="00376A89"/>
    <w:rsid w:val="00380778"/>
    <w:rsid w:val="00385DD4"/>
    <w:rsid w:val="003939AC"/>
    <w:rsid w:val="003B0F7D"/>
    <w:rsid w:val="003F7231"/>
    <w:rsid w:val="00401D6E"/>
    <w:rsid w:val="00431F16"/>
    <w:rsid w:val="0044583C"/>
    <w:rsid w:val="004676BA"/>
    <w:rsid w:val="004C2C19"/>
    <w:rsid w:val="004D3AF8"/>
    <w:rsid w:val="004E763E"/>
    <w:rsid w:val="004F3F01"/>
    <w:rsid w:val="0055359C"/>
    <w:rsid w:val="00593AFA"/>
    <w:rsid w:val="005949F8"/>
    <w:rsid w:val="005C55C8"/>
    <w:rsid w:val="005C79C4"/>
    <w:rsid w:val="005F3ED0"/>
    <w:rsid w:val="006228D6"/>
    <w:rsid w:val="00682BBF"/>
    <w:rsid w:val="00684656"/>
    <w:rsid w:val="00685967"/>
    <w:rsid w:val="006A2036"/>
    <w:rsid w:val="006B6338"/>
    <w:rsid w:val="00727D7B"/>
    <w:rsid w:val="00735C7E"/>
    <w:rsid w:val="007420AE"/>
    <w:rsid w:val="00755ED7"/>
    <w:rsid w:val="00771AE0"/>
    <w:rsid w:val="00772D5C"/>
    <w:rsid w:val="00780722"/>
    <w:rsid w:val="00797E53"/>
    <w:rsid w:val="007A6B72"/>
    <w:rsid w:val="007D0B0A"/>
    <w:rsid w:val="0081746A"/>
    <w:rsid w:val="00845F1C"/>
    <w:rsid w:val="00885DC3"/>
    <w:rsid w:val="008A5AF1"/>
    <w:rsid w:val="008E5A4B"/>
    <w:rsid w:val="008E79A7"/>
    <w:rsid w:val="008F44EA"/>
    <w:rsid w:val="00901E7A"/>
    <w:rsid w:val="0090691A"/>
    <w:rsid w:val="00921F91"/>
    <w:rsid w:val="00952E37"/>
    <w:rsid w:val="00970D5E"/>
    <w:rsid w:val="009829D1"/>
    <w:rsid w:val="009A5AC4"/>
    <w:rsid w:val="009D7A17"/>
    <w:rsid w:val="009E1B41"/>
    <w:rsid w:val="00A01982"/>
    <w:rsid w:val="00A06002"/>
    <w:rsid w:val="00A33C90"/>
    <w:rsid w:val="00A42FDF"/>
    <w:rsid w:val="00AD168B"/>
    <w:rsid w:val="00AF06C5"/>
    <w:rsid w:val="00B508A0"/>
    <w:rsid w:val="00B5206A"/>
    <w:rsid w:val="00B62D81"/>
    <w:rsid w:val="00BC149A"/>
    <w:rsid w:val="00BE1A61"/>
    <w:rsid w:val="00C00B1D"/>
    <w:rsid w:val="00C367E1"/>
    <w:rsid w:val="00C42A45"/>
    <w:rsid w:val="00C72277"/>
    <w:rsid w:val="00CA2CB9"/>
    <w:rsid w:val="00CA3727"/>
    <w:rsid w:val="00CC6514"/>
    <w:rsid w:val="00CD4952"/>
    <w:rsid w:val="00CE6701"/>
    <w:rsid w:val="00CF04A3"/>
    <w:rsid w:val="00CF4C4E"/>
    <w:rsid w:val="00D036CC"/>
    <w:rsid w:val="00D34F1C"/>
    <w:rsid w:val="00D64B8F"/>
    <w:rsid w:val="00D70CE0"/>
    <w:rsid w:val="00D93C3A"/>
    <w:rsid w:val="00DA3FF7"/>
    <w:rsid w:val="00DB641B"/>
    <w:rsid w:val="00DD78F0"/>
    <w:rsid w:val="00DF3B7B"/>
    <w:rsid w:val="00E074C1"/>
    <w:rsid w:val="00E14DC9"/>
    <w:rsid w:val="00E2466E"/>
    <w:rsid w:val="00E75A87"/>
    <w:rsid w:val="00EC6278"/>
    <w:rsid w:val="00F51204"/>
    <w:rsid w:val="00F702D3"/>
    <w:rsid w:val="00FC5C54"/>
    <w:rsid w:val="00FE7883"/>
    <w:rsid w:val="282A646F"/>
    <w:rsid w:val="2DD217BB"/>
    <w:rsid w:val="32436CC7"/>
    <w:rsid w:val="508B2389"/>
    <w:rsid w:val="5E85355E"/>
    <w:rsid w:val="6A3C065A"/>
    <w:rsid w:val="6C8371E3"/>
    <w:rsid w:val="73F4391E"/>
    <w:rsid w:val="741F6A58"/>
    <w:rsid w:val="764B1945"/>
    <w:rsid w:val="7EE5483D"/>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304</Words>
  <Characters>1734</Characters>
  <Lines>14</Lines>
  <Paragraphs>4</Paragraphs>
  <TotalTime>0</TotalTime>
  <ScaleCrop>false</ScaleCrop>
  <LinksUpToDate>false</LinksUpToDate>
  <CharactersWithSpaces>2034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2021-11-16T02:36:00Z</dcterms:created>
  <dc:creator>lenovo</dc:creator>
  <cp:lastModifiedBy>gzb</cp:lastModifiedBy>
  <cp:lastPrinted>2021-11-23T02:27:00Z</cp:lastPrinted>
  <dcterms:modified xsi:type="dcterms:W3CDTF">2021-12-28T07:03:31Z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