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  <w:lang w:eastAsia="zh-CN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关于202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1</w:t>
      </w:r>
      <w:r>
        <w:rPr>
          <w:rFonts w:hint="eastAsia" w:ascii="文星标宋" w:hAnsi="文星标宋" w:eastAsia="文星标宋" w:cs="文星标宋"/>
          <w:sz w:val="44"/>
          <w:szCs w:val="44"/>
        </w:rPr>
        <w:t>年度</w:t>
      </w:r>
      <w:r>
        <w:rPr>
          <w:rFonts w:hint="eastAsia" w:ascii="文星标宋" w:hAnsi="文星标宋" w:eastAsia="文星标宋" w:cs="文星标宋"/>
          <w:sz w:val="44"/>
          <w:szCs w:val="44"/>
          <w:lang w:val="en-US" w:eastAsia="zh-CN"/>
        </w:rPr>
        <w:t>企业国有资产（不含金融企业）管理情况</w:t>
      </w:r>
      <w:r>
        <w:rPr>
          <w:rFonts w:hint="eastAsia" w:ascii="文星标宋" w:hAnsi="文星标宋" w:eastAsia="文星标宋" w:cs="文星标宋"/>
          <w:sz w:val="44"/>
          <w:szCs w:val="44"/>
        </w:rPr>
        <w:t>报告审议意见整改落实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78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</w:rPr>
        <w:t>情况报告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昌乐县财政局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县人大常委会：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接到《县十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届人大常委会第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次会议关于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企业国有资产（不含金融企业）管理情况报告的审议意见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》后，我局高度重视，召开专题会议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，明确整改任务，细</w:t>
      </w:r>
      <w:r>
        <w:rPr>
          <w:rFonts w:hint="eastAsia" w:ascii="仿宋_GB2312" w:hAnsi="仿宋_GB2312" w:eastAsia="仿宋_GB2312" w:cs="仿宋_GB2312"/>
          <w:sz w:val="32"/>
          <w:szCs w:val="32"/>
        </w:rPr>
        <w:t>化工作措施，全力推进相关事项的整改落实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。现将具体情况汇报如下：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一、针对“加强监管，提高企业国有资产管理水平”审议意见的整改落实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（一）加强国资监管机构力量建设。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依法履行出资人职责，根据县编办批复，明确县国资监管一科、二科职责，逐步配齐国资监管专业人员，强化国资监管人才建设，努力打造一支专业化、精细化的国企监管队伍。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（二）强化企业国有资产监管。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一是制定完善《昌乐县县管企业负责人经营业绩考核办法》，充分发挥绩效考核“指挥棒”作用，科学设置考核指标，分类确定考核内容，将国有资本保值增值率、净利润、重要改革任务、存量债务安全、安全生产、党建工作等指标纳入考核内容，并将考核结果与负责人薪酬挂钩，实现业绩、风险、薪酬相匹配；积极招引高级专业人才，增强企业活力。二是健全完善投资、担保等制度，制定出台《昌乐县县管企业担保管理办法》《昌乐县县属企业高风险业务管理指导意见》，转发《潍坊市市管企业违规经营投资责任追究实施办法（暂行）》，进一步规范企业投资、担保行为，防范经营风险，提高企业合规经营管理水平。三是坚持以管资本为主，转变监管方式，优化监管导向，以责任清单为基础，调整优化国资监管机构权力清单和责任清单，并严格按照清单行权履职。四是强化国有企业监督，完善企业内部监督机制，积极构建出资人监管和审计、纪检监察和巡察相结合的立体监督体系，加强风险防控，提升监管效能。 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二、针对“深化改革，增强国有企业发展活力”审议意见的整改落实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（一）进一步推进国企重组整合，促进国有资产优化配置。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国企改革三年行动要求，按照县委县政府决策部署，明确县管国有企业的主业范围，将同质化程度较高、业务相近的企业进一步优化重组，减少县属一级企业法人户数，推动国有企业瘦身健体，确保国有企业按照突出主业、壮大资产的原则不断做强做大做优，提高国有企业抵御风险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（二）健全公司法人治理结构，完善现代企业制度。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按照党管干部的原则，配齐配强县属国有企业党委、董事会、经理层，把党的领导融入公司治理各环节，尽快建立外部董事制度，规范董事会运作，全面推行经理层成员任期制和契约化管理，保障经理层依法行使职权。二是全面推动企业深化劳动、人事、分配三项制度改革。在执行“总量控制”基础上，全面实行市场化用工选聘制度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实施不胜任退出机制，建立以契约化管理为核心、以劳动合同管理为关键、以岗位管理为基础的用工制度，打破身份限制，畅通退出渠道，逐步建立起管理人员能上能下、普通员工能进能出、收入能增能减的常态化机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，进一步激发企业活力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三、针对“做优资产，提升企业国有资产经济效益”审议意见的整改落实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6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（一）进一步深化国资国企改革，深入实施国企改革三年行动。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积极稳妥推行混合所有制改革，按照因地施策、因业施策、因企施策原则，通过市场化手段，指导具备条件的企业适时稳妥地推进混合所有制改革，不断提高国有企业活力和效率。</w:t>
      </w:r>
    </w:p>
    <w:p>
      <w:pPr>
        <w:keepNext w:val="0"/>
        <w:keepLines w:val="0"/>
        <w:pageBreakBefore w:val="0"/>
        <w:widowControl w:val="0"/>
        <w:pBdr>
          <w:bottom w:val="single" w:color="FFFFFF" w:sz="4" w:space="31"/>
        </w:pBd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78" w:lineRule="exact"/>
        <w:ind w:left="0" w:leftChars="0" w:right="0" w:rightChars="0" w:firstLine="660"/>
        <w:textAlignment w:val="auto"/>
        <w:outlineLvl w:val="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napToGrid w:val="0"/>
          <w:kern w:val="0"/>
          <w:sz w:val="32"/>
          <w:szCs w:val="32"/>
          <w:highlight w:val="none"/>
          <w:lang w:val="en-US" w:eastAsia="zh-CN" w:bidi="ar-SA"/>
        </w:rPr>
        <w:t>（二）积极盘活国有存量资产资源，防范化解债务风险。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按照市县国企债务风险化解专班统一工作部署，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在前期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组织对全县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债权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、清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资产、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清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项目“三清”基础上，加大国有资产盘活处置力度，持续盘活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优质资源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逐步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将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农村供水管网、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公共自行车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清洁取暖改造管网等市政设施资产资源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</w:rPr>
        <w:t>注入国有企业，为国有企业的融资和信用评级夯实基础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val="en-US" w:eastAsia="zh-CN"/>
        </w:rPr>
        <w:t>充分发挥资产资源最大效益，保障国有资产安全完整和保值增值</w:t>
      </w: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highlight w:val="none"/>
          <w:lang w:eastAsia="zh-CN"/>
        </w:rPr>
        <w:t>。</w:t>
      </w:r>
    </w:p>
    <w:sectPr>
      <w:footerReference r:id="rId3" w:type="default"/>
      <w:pgSz w:w="11906" w:h="16838"/>
      <w:pgMar w:top="2098" w:right="1417" w:bottom="1984" w:left="1417" w:header="851" w:footer="1304" w:gutter="0"/>
      <w:paperSrc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MingLiU">
    <w:altName w:val="思源黑体 CN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Simsun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3FF173"/>
    <w:rsid w:val="0C1D128D"/>
    <w:rsid w:val="0FD84F9E"/>
    <w:rsid w:val="176B32C5"/>
    <w:rsid w:val="335B07D8"/>
    <w:rsid w:val="3604228D"/>
    <w:rsid w:val="3FEC864D"/>
    <w:rsid w:val="43475756"/>
    <w:rsid w:val="5F713C1A"/>
    <w:rsid w:val="5F9F2FC1"/>
    <w:rsid w:val="6494607F"/>
    <w:rsid w:val="6D9D0E65"/>
    <w:rsid w:val="716826D4"/>
    <w:rsid w:val="736047EA"/>
    <w:rsid w:val="769B5781"/>
    <w:rsid w:val="77477D2D"/>
    <w:rsid w:val="7B7FBCDF"/>
    <w:rsid w:val="7D270300"/>
    <w:rsid w:val="7F3F474F"/>
    <w:rsid w:val="9EDFAB2E"/>
    <w:rsid w:val="9FBF5019"/>
    <w:rsid w:val="B5D364AA"/>
    <w:rsid w:val="DCE308A0"/>
    <w:rsid w:val="E9FFC7D7"/>
    <w:rsid w:val="EAEF2BD1"/>
    <w:rsid w:val="FBFB6D78"/>
    <w:rsid w:val="FDBE6367"/>
    <w:rsid w:val="FFB9B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FangSong_GB2312" w:hAnsi="FangSong_GB2312" w:eastAsia="FangSong_GB2312" w:cstheme="minorBidi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Office_10.8.0.7178_F1E327BC-269C-435d-A152-05C5408002CA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2022-11-03T10:21:00Z</dcterms:created>
  <dc:creator>lenovo</dc:creator>
  <cp:lastModifiedBy>user</cp:lastModifiedBy>
  <cp:lastPrinted>2022-11-28T11:21:00Z</cp:lastPrinted>
  <dcterms:modified xsi:type="dcterms:W3CDTF">2022-11-30T10:58:25Z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2052-10.8.0.7178</vt:lpwstr>
  </property>
</Properties>
</file>