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</w:pPr>
    </w:p>
    <w:p>
      <w:pPr>
        <w:jc w:val="center"/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县</w:t>
      </w: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44"/>
          <w:szCs w:val="44"/>
          <w:shd w:val="clear" w:fill="FFFFFF"/>
        </w:rPr>
        <w:t>管企业20</w:t>
      </w: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23</w:t>
      </w: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44"/>
          <w:szCs w:val="44"/>
          <w:shd w:val="clear" w:fill="FFFFFF"/>
        </w:rPr>
        <w:t>年</w:t>
      </w: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2季度</w:t>
      </w: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44"/>
          <w:szCs w:val="44"/>
          <w:shd w:val="clear" w:fill="FFFFFF"/>
        </w:rPr>
        <w:t>份</w:t>
      </w: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盈利情况</w:t>
      </w:r>
    </w:p>
    <w:p>
      <w:pPr>
        <w:jc w:val="center"/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D3D3D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20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23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月底，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eastAsia="zh-CN"/>
        </w:rPr>
        <w:t>县</w:t>
      </w:r>
      <w:r>
        <w:rPr>
          <w:rFonts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管企业资产总额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2,513,573万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元，同比增长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14.9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%；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月实现营业收入61,285万元，同比增长195.3%。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75F79"/>
    <w:rsid w:val="01B835D8"/>
    <w:rsid w:val="05875F79"/>
    <w:rsid w:val="08073544"/>
    <w:rsid w:val="0C557503"/>
    <w:rsid w:val="1FE1069C"/>
    <w:rsid w:val="23C6179E"/>
    <w:rsid w:val="269A7DBF"/>
    <w:rsid w:val="3C847B76"/>
    <w:rsid w:val="42C01CFA"/>
    <w:rsid w:val="44F327E7"/>
    <w:rsid w:val="47BE06FB"/>
    <w:rsid w:val="52A1433C"/>
    <w:rsid w:val="564F460F"/>
    <w:rsid w:val="56D26F60"/>
    <w:rsid w:val="640E3AEF"/>
    <w:rsid w:val="68A0765E"/>
    <w:rsid w:val="6A2923AA"/>
    <w:rsid w:val="6CBD40A8"/>
    <w:rsid w:val="6DDB5188"/>
    <w:rsid w:val="77801792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2018-12-22T01:30:00Z</dcterms:created>
  <dc:creator>Lenovo110</dc:creator>
  <cp:lastModifiedBy>lenovo</cp:lastModifiedBy>
  <dcterms:modified xsi:type="dcterms:W3CDTF">2023-09-08T02:03:34Z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