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kinsoku/>
        <w:wordWrap/>
        <w:overflowPunct/>
        <w:topLinePunct w:val="0"/>
        <w:autoSpaceDE/>
        <w:autoSpaceDN/>
        <w:bidi w:val="0"/>
        <w:adjustRightInd/>
        <w:snapToGrid/>
        <w:spacing w:line="578" w:lineRule="exact"/>
        <w:jc w:val="center"/>
        <w:textAlignment w:val="auto"/>
        <w:outlineLvl w:val="1"/>
        <w:rPr>
          <w:rFonts w:ascii="文星标宋" w:hAnsi="文星标宋" w:eastAsia="文星标宋" w:cs="宋体"/>
          <w:bCs/>
          <w:color w:val="000000"/>
          <w:kern w:val="0"/>
          <w:sz w:val="44"/>
          <w:szCs w:val="44"/>
        </w:rPr>
      </w:pPr>
      <w:r>
        <w:rPr>
          <w:rFonts w:hint="eastAsia" w:ascii="文星标宋" w:hAnsi="文星标宋" w:eastAsia="文星标宋" w:cs="宋体"/>
          <w:bCs/>
          <w:color w:val="000000"/>
          <w:kern w:val="0"/>
          <w:sz w:val="44"/>
          <w:szCs w:val="44"/>
        </w:rPr>
        <w:t>《</w:t>
      </w:r>
      <w:r>
        <w:rPr>
          <w:rFonts w:hint="eastAsia" w:ascii="文星标宋" w:hAnsi="文星标宋" w:eastAsia="文星标宋" w:cs="宋体"/>
          <w:bCs/>
          <w:sz w:val="44"/>
          <w:szCs w:val="44"/>
        </w:rPr>
        <w:t>关于进一步推进城市社区规范化建设的实施方案</w:t>
      </w:r>
      <w:r>
        <w:rPr>
          <w:rFonts w:hint="eastAsia" w:ascii="文星标宋" w:hAnsi="文星标宋" w:eastAsia="文星标宋" w:cs="宋体"/>
          <w:bCs/>
          <w:color w:val="000000"/>
          <w:kern w:val="0"/>
          <w:sz w:val="44"/>
          <w:szCs w:val="44"/>
        </w:rPr>
        <w:t>》</w:t>
      </w:r>
      <w:r>
        <w:rPr>
          <w:rFonts w:hint="eastAsia" w:ascii="文星标宋" w:hAnsi="文星标宋" w:eastAsia="文星标宋" w:cs="宋体"/>
          <w:bCs/>
          <w:color w:val="000000"/>
          <w:kern w:val="0"/>
          <w:sz w:val="44"/>
          <w:szCs w:val="44"/>
          <w:lang w:eastAsia="zh-CN"/>
        </w:rPr>
        <w:t>草案</w:t>
      </w:r>
      <w:r>
        <w:rPr>
          <w:rFonts w:hint="eastAsia" w:ascii="文星标宋" w:hAnsi="文星标宋" w:eastAsia="文星标宋" w:cs="宋体"/>
          <w:bCs/>
          <w:color w:val="000000"/>
          <w:kern w:val="0"/>
          <w:sz w:val="44"/>
          <w:szCs w:val="44"/>
        </w:rPr>
        <w:t>解读</w:t>
      </w:r>
    </w:p>
    <w:p>
      <w:pPr>
        <w:keepNext w:val="0"/>
        <w:keepLines w:val="0"/>
        <w:pageBreakBefore w:val="0"/>
        <w:widowControl/>
        <w:shd w:val="clear" w:color="auto"/>
        <w:kinsoku/>
        <w:wordWrap/>
        <w:overflowPunct/>
        <w:topLinePunct w:val="0"/>
        <w:autoSpaceDE/>
        <w:autoSpaceDN/>
        <w:bidi w:val="0"/>
        <w:adjustRightInd/>
        <w:snapToGrid/>
        <w:spacing w:line="578" w:lineRule="exact"/>
        <w:textAlignment w:val="auto"/>
        <w:rPr>
          <w:rFonts w:ascii="宋体" w:hAnsi="宋体" w:eastAsia="宋体" w:cs="宋体"/>
          <w:color w:val="000000"/>
          <w:kern w:val="0"/>
          <w:sz w:val="22"/>
        </w:rPr>
      </w:pPr>
    </w:p>
    <w:p>
      <w:pPr>
        <w:keepNext w:val="0"/>
        <w:keepLines w:val="0"/>
        <w:pageBreakBefore w:val="0"/>
        <w:widowControl/>
        <w:shd w:val="clear" w:color="auto"/>
        <w:kinsoku/>
        <w:wordWrap/>
        <w:overflowPunct/>
        <w:topLinePunct w:val="0"/>
        <w:autoSpaceDE/>
        <w:autoSpaceDN/>
        <w:bidi w:val="0"/>
        <w:adjustRightInd/>
        <w:snapToGrid/>
        <w:spacing w:line="578" w:lineRule="exact"/>
        <w:ind w:firstLine="640"/>
        <w:textAlignment w:val="auto"/>
        <w:rPr>
          <w:rFonts w:ascii="宋体" w:hAnsi="宋体" w:eastAsia="宋体" w:cs="宋体"/>
          <w:color w:val="000000"/>
          <w:kern w:val="0"/>
          <w:sz w:val="22"/>
        </w:rPr>
      </w:pPr>
      <w:r>
        <w:rPr>
          <w:rFonts w:hint="eastAsia" w:ascii="黑体" w:hAnsi="黑体" w:eastAsia="黑体" w:cs="宋体"/>
          <w:color w:val="000000"/>
          <w:kern w:val="0"/>
          <w:sz w:val="32"/>
          <w:szCs w:val="32"/>
        </w:rPr>
        <w:t>一、政策背景</w:t>
      </w:r>
    </w:p>
    <w:p>
      <w:pPr>
        <w:keepNext w:val="0"/>
        <w:keepLines w:val="0"/>
        <w:pageBreakBefore w:val="0"/>
        <w:kinsoku/>
        <w:wordWrap/>
        <w:overflowPunct/>
        <w:topLinePunct w:val="0"/>
        <w:autoSpaceDE/>
        <w:autoSpaceDN/>
        <w:bidi w:val="0"/>
        <w:adjustRightInd/>
        <w:snapToGrid/>
        <w:spacing w:line="578"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我县随着城市化发展，通过城中村改造、棚户区改造进程的加快，城中村基本改造完毕，原城中村居民基本全部入住小区，变为城市居民，但是相应的社区建设以及社区居委会等管理机构建设未能及时跟进，导致应由城市社区承担的社会治安、社会救助、计划生育、就业等多项工作难以适应居民的要求。特别是在今年初的疫情防控工作中，由于城市社区建设和功能的缺失，导致管理防控工作难度加大，表现的尤为明显。推进城市社区建设已是势在必行。</w:t>
      </w:r>
    </w:p>
    <w:p>
      <w:pPr>
        <w:keepNext w:val="0"/>
        <w:keepLines w:val="0"/>
        <w:pageBreakBefore w:val="0"/>
        <w:widowControl/>
        <w:shd w:val="clear" w:color="auto"/>
        <w:kinsoku/>
        <w:wordWrap/>
        <w:overflowPunct/>
        <w:topLinePunct w:val="0"/>
        <w:autoSpaceDE/>
        <w:autoSpaceDN/>
        <w:bidi w:val="0"/>
        <w:adjustRightInd/>
        <w:snapToGrid/>
        <w:spacing w:line="578" w:lineRule="exact"/>
        <w:ind w:firstLine="640"/>
        <w:textAlignment w:val="auto"/>
        <w:rPr>
          <w:rFonts w:ascii="宋体" w:hAnsi="宋体" w:eastAsia="宋体" w:cs="宋体"/>
          <w:color w:val="000000"/>
          <w:kern w:val="0"/>
          <w:sz w:val="22"/>
        </w:rPr>
      </w:pPr>
      <w:r>
        <w:rPr>
          <w:rFonts w:hint="eastAsia" w:ascii="黑体" w:hAnsi="黑体" w:eastAsia="黑体" w:cs="宋体"/>
          <w:color w:val="000000"/>
          <w:kern w:val="0"/>
          <w:sz w:val="32"/>
          <w:szCs w:val="32"/>
        </w:rPr>
        <w:t>二、决策依据</w:t>
      </w:r>
    </w:p>
    <w:p>
      <w:pPr>
        <w:keepNext w:val="0"/>
        <w:keepLines w:val="0"/>
        <w:pageBreakBefore w:val="0"/>
        <w:kinsoku/>
        <w:wordWrap/>
        <w:overflowPunct/>
        <w:topLinePunct w:val="0"/>
        <w:autoSpaceDE/>
        <w:autoSpaceDN/>
        <w:bidi w:val="0"/>
        <w:adjustRightInd/>
        <w:snapToGrid/>
        <w:spacing w:line="578"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中共中央办公厅、国务院办公厅《关于加强和改进城市社区居民委员会建设工作的意见》（中办发[2010]27号）、山东省委办公厅 省政府办公厅《关于加强和改进城市社区居民委员会建设工作的意见》（鲁办发[2012]22号）和潍坊市《关于进一步加强城市社区建设的意见》（潍办发[2013]32号）等。</w:t>
      </w:r>
    </w:p>
    <w:p>
      <w:pPr>
        <w:keepNext w:val="0"/>
        <w:keepLines w:val="0"/>
        <w:pageBreakBefore w:val="0"/>
        <w:widowControl/>
        <w:shd w:val="clear" w:color="auto"/>
        <w:kinsoku/>
        <w:wordWrap/>
        <w:overflowPunct/>
        <w:topLinePunct w:val="0"/>
        <w:autoSpaceDE/>
        <w:autoSpaceDN/>
        <w:bidi w:val="0"/>
        <w:adjustRightInd/>
        <w:snapToGrid/>
        <w:spacing w:line="578" w:lineRule="exact"/>
        <w:ind w:firstLine="640"/>
        <w:textAlignment w:val="auto"/>
        <w:rPr>
          <w:rFonts w:ascii="宋体" w:hAnsi="宋体" w:eastAsia="宋体" w:cs="宋体"/>
          <w:color w:val="000000"/>
          <w:kern w:val="0"/>
          <w:sz w:val="22"/>
        </w:rPr>
      </w:pPr>
      <w:r>
        <w:rPr>
          <w:rFonts w:hint="eastAsia" w:ascii="黑体" w:hAnsi="黑体" w:eastAsia="黑体" w:cs="宋体"/>
          <w:color w:val="000000"/>
          <w:kern w:val="0"/>
          <w:sz w:val="32"/>
          <w:szCs w:val="32"/>
        </w:rPr>
        <w:t>三、出台目的</w:t>
      </w:r>
    </w:p>
    <w:p>
      <w:pPr>
        <w:keepNext w:val="0"/>
        <w:keepLines w:val="0"/>
        <w:pageBreakBefore w:val="0"/>
        <w:kinsoku/>
        <w:wordWrap/>
        <w:overflowPunct/>
        <w:topLinePunct w:val="0"/>
        <w:autoSpaceDE/>
        <w:autoSpaceDN/>
        <w:bidi w:val="0"/>
        <w:adjustRightInd/>
        <w:snapToGrid/>
        <w:spacing w:line="578"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为进一步加强全县城市社区建设，更好地为居民提供精准化精细化服务，满足居民美好生活需求。</w:t>
      </w:r>
    </w:p>
    <w:p>
      <w:pPr>
        <w:keepNext w:val="0"/>
        <w:keepLines w:val="0"/>
        <w:pageBreakBefore w:val="0"/>
        <w:widowControl/>
        <w:shd w:val="clear" w:color="auto"/>
        <w:kinsoku/>
        <w:wordWrap/>
        <w:overflowPunct/>
        <w:topLinePunct w:val="0"/>
        <w:autoSpaceDE/>
        <w:autoSpaceDN/>
        <w:bidi w:val="0"/>
        <w:adjustRightInd/>
        <w:snapToGrid/>
        <w:spacing w:line="578" w:lineRule="exact"/>
        <w:ind w:firstLine="640"/>
        <w:textAlignment w:val="auto"/>
        <w:rPr>
          <w:rFonts w:ascii="宋体" w:hAnsi="宋体" w:eastAsia="宋体" w:cs="宋体"/>
          <w:color w:val="000000"/>
          <w:kern w:val="0"/>
          <w:sz w:val="22"/>
        </w:rPr>
      </w:pPr>
      <w:r>
        <w:rPr>
          <w:rFonts w:hint="eastAsia" w:ascii="黑体" w:hAnsi="黑体" w:eastAsia="黑体" w:cs="宋体"/>
          <w:color w:val="000000"/>
          <w:kern w:val="0"/>
          <w:sz w:val="32"/>
          <w:szCs w:val="32"/>
        </w:rPr>
        <w:t>四、重要举措</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一是</w:t>
      </w:r>
      <w:r>
        <w:rPr>
          <w:rFonts w:hint="eastAsia" w:ascii="仿宋_GB2312" w:hAnsi="仿宋_GB2312" w:eastAsia="仿宋_GB2312" w:cs="仿宋_GB2312"/>
          <w:sz w:val="32"/>
          <w:szCs w:val="32"/>
        </w:rPr>
        <w:t>科学调整社区布局。按照便于服务管理、便于居民自治的原则，结合城市有关规划，原则上按照3000-5000户规模划分社区，由宝都街道和宝城街道根据需要划分为22个社区。</w:t>
      </w:r>
      <w:r>
        <w:rPr>
          <w:rFonts w:hint="eastAsia" w:ascii="仿宋_GB2312" w:hAnsi="仿宋_GB2312" w:eastAsia="仿宋_GB2312" w:cs="仿宋_GB2312"/>
          <w:b/>
          <w:color w:val="000000"/>
          <w:kern w:val="0"/>
          <w:sz w:val="32"/>
          <w:szCs w:val="32"/>
        </w:rPr>
        <w:t>二是</w:t>
      </w:r>
      <w:r>
        <w:rPr>
          <w:rFonts w:hint="eastAsia" w:ascii="仿宋_GB2312" w:hAnsi="仿宋_GB2312" w:eastAsia="仿宋_GB2312" w:cs="仿宋_GB2312"/>
          <w:sz w:val="32"/>
          <w:szCs w:val="32"/>
        </w:rPr>
        <w:t>加强社区网格化管理。以街、路、巷、河为框架，综合衡量辖区内住户、单位、人口数，按照500—600户规模划分网格，原则上一个小区划分一个网格，不再拆分，户数少的小区可以多个小区划为一个网格。</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规范服务场所建设。综合考虑服务半径等因素，新建或扩建社区服务中心。</w:t>
      </w:r>
      <w:bookmarkStart w:id="0" w:name="_GoBack"/>
      <w:r>
        <w:rPr>
          <w:rFonts w:hint="eastAsia" w:ascii="仿宋_GB2312" w:hAnsi="仿宋_GB2312" w:eastAsia="仿宋_GB2312" w:cs="仿宋_GB2312"/>
          <w:b/>
          <w:bCs/>
          <w:sz w:val="32"/>
          <w:szCs w:val="32"/>
        </w:rPr>
        <w:t>四是</w:t>
      </w:r>
      <w:bookmarkEnd w:id="0"/>
      <w:r>
        <w:rPr>
          <w:rFonts w:hint="eastAsia" w:ascii="仿宋_GB2312" w:hAnsi="仿宋_GB2312" w:eastAsia="仿宋_GB2312" w:cs="仿宋_GB2312"/>
          <w:sz w:val="32"/>
          <w:szCs w:val="32"/>
        </w:rPr>
        <w:t>完善物业服务体系。构建社区党组织领导下的社区居委会、业主委员会、物业服务企业联动协作、共商事务的“四位一体”物业服务机制。</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提升社区服务水平。依托政务服务云平台和政务信息资源共享交换平台，推进“互联网+政务服务”向社区延伸。</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健全社区治理机制。依托社区网格成立网格党支部，指导具备条件的楼栋、院落成立楼院党小组，初步形成“社区党委—网格党支部—楼院党小组”的党组织网络覆盖。</w:t>
      </w:r>
      <w:r>
        <w:rPr>
          <w:rFonts w:hint="eastAsia" w:ascii="仿宋_GB2312" w:hAnsi="仿宋_GB2312" w:eastAsia="仿宋_GB2312" w:cs="仿宋_GB2312"/>
          <w:b/>
          <w:bCs/>
          <w:sz w:val="32"/>
          <w:szCs w:val="32"/>
        </w:rPr>
        <w:t>七是</w:t>
      </w:r>
      <w:r>
        <w:rPr>
          <w:rFonts w:hint="eastAsia" w:ascii="仿宋_GB2312" w:hAnsi="仿宋_GB2312" w:eastAsia="仿宋_GB2312" w:cs="仿宋_GB2312"/>
          <w:sz w:val="32"/>
          <w:szCs w:val="32"/>
        </w:rPr>
        <w:t>加强组织领导。县委、县政府成立昌乐县城市社区规范化建设工作领导小组，县政府主要负责同志任组长，有关县级领导同志任副组长，县直有关部门（单位）负责同志为成员，负责全县城市社区规范化建设工作的组织推进、决策部署和统筹协调。</w:t>
      </w:r>
      <w:r>
        <w:rPr>
          <w:rFonts w:hint="eastAsia" w:ascii="仿宋_GB2312" w:hAnsi="仿宋_GB2312" w:eastAsia="仿宋_GB2312" w:cs="仿宋_GB2312"/>
          <w:b/>
          <w:bCs/>
          <w:sz w:val="32"/>
          <w:szCs w:val="32"/>
        </w:rPr>
        <w:t>八是</w:t>
      </w:r>
      <w:r>
        <w:rPr>
          <w:rFonts w:hint="eastAsia" w:ascii="仿宋_GB2312" w:hAnsi="仿宋_GB2312" w:eastAsia="仿宋_GB2312" w:cs="仿宋_GB2312"/>
          <w:sz w:val="32"/>
          <w:szCs w:val="32"/>
        </w:rPr>
        <w:t>落实保障措施。加强人员配置和落实经费保障。九是强化工作考核。将城市社区规划化建设工作列入全县重点工作积分制考核的重要事项，加大考核力度。</w:t>
      </w:r>
    </w:p>
    <w:sectPr>
      <w:pgSz w:w="11906" w:h="16838"/>
      <w:pgMar w:top="2098" w:right="1417" w:bottom="1984" w:left="1417" w:header="851" w:footer="1304"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4000101010101"/>
    <w:charset w:val="86"/>
    <w:family w:val="auto"/>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21A7"/>
    <w:rsid w:val="00013FE7"/>
    <w:rsid w:val="000506CB"/>
    <w:rsid w:val="002346DC"/>
    <w:rsid w:val="004521A7"/>
    <w:rsid w:val="00480EAE"/>
    <w:rsid w:val="0077503F"/>
    <w:rsid w:val="138C3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customStyle="1" w:styleId="6">
    <w:name w:val="标题 2 Char"/>
    <w:basedOn w:val="4"/>
    <w:link w:val="3"/>
    <w:uiPriority w:val="9"/>
    <w:rPr>
      <w:rFonts w:ascii="宋体" w:hAnsi="宋体" w:eastAsia="宋体" w:cs="宋体"/>
      <w:b/>
      <w:bCs/>
      <w:kern w:val="0"/>
      <w:sz w:val="36"/>
      <w:szCs w:val="36"/>
    </w:rPr>
  </w:style>
  <w:style w:type="character" w:customStyle="1" w:styleId="7">
    <w:name w:val="标题 1 Char"/>
    <w:basedOn w:val="4"/>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157</Words>
  <Characters>895</Characters>
  <Lines>7</Lines>
  <Paragraphs>2</Paragraphs>
  <TotalTime>2</TotalTime>
  <ScaleCrop>false</ScaleCrop>
  <LinksUpToDate>false</LinksUpToDate>
  <CharactersWithSpaces>1050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2021-01-04T09:37:00Z</dcterms:created>
  <dc:creator>Windows User</dc:creator>
  <cp:lastModifiedBy>Administrator</cp:lastModifiedBy>
  <dcterms:modified xsi:type="dcterms:W3CDTF">2021-01-04T12:49:30Z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