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39" w:rsidRDefault="00D93D39">
      <w:pPr>
        <w:spacing w:line="560" w:lineRule="exact"/>
        <w:rPr>
          <w:rFonts w:ascii="文星标宋" w:eastAsia="文星标宋" w:hAnsi="文星标宋" w:cs="文星标宋"/>
          <w:sz w:val="44"/>
          <w:szCs w:val="44"/>
        </w:rPr>
      </w:pPr>
    </w:p>
    <w:p w:rsidR="00D93D39" w:rsidRDefault="008E7D64" w:rsidP="00EB31FB">
      <w:pPr>
        <w:spacing w:line="560" w:lineRule="exact"/>
        <w:jc w:val="center"/>
        <w:rPr>
          <w:rFonts w:ascii="文星标宋" w:eastAsia="文星标宋" w:hAnsi="文星标宋" w:cs="文星标宋"/>
          <w:sz w:val="44"/>
          <w:szCs w:val="44"/>
        </w:rPr>
      </w:pPr>
      <w:r w:rsidRPr="00C11128">
        <w:rPr>
          <w:rFonts w:ascii="文星标宋" w:eastAsia="文星标宋" w:hAnsi="文星标宋" w:cs="文星标宋" w:hint="eastAsia"/>
          <w:sz w:val="44"/>
          <w:szCs w:val="44"/>
        </w:rPr>
        <w:t>昌乐</w:t>
      </w:r>
      <w:proofErr w:type="gramStart"/>
      <w:r w:rsidRPr="00C11128">
        <w:rPr>
          <w:rFonts w:ascii="文星标宋" w:eastAsia="文星标宋" w:hAnsi="文星标宋" w:cs="文星标宋" w:hint="eastAsia"/>
          <w:sz w:val="44"/>
          <w:szCs w:val="44"/>
        </w:rPr>
        <w:t>县</w:t>
      </w:r>
      <w:r w:rsidR="00EB31FB">
        <w:rPr>
          <w:rFonts w:ascii="文星标宋" w:eastAsia="文星标宋" w:hAnsi="文星标宋" w:cs="文星标宋" w:hint="eastAsia"/>
          <w:sz w:val="44"/>
          <w:szCs w:val="44"/>
        </w:rPr>
        <w:t>发改局</w:t>
      </w:r>
      <w:proofErr w:type="gramEnd"/>
      <w:r w:rsidRPr="008E7D64">
        <w:rPr>
          <w:rFonts w:ascii="文星标宋" w:eastAsia="文星标宋" w:hAnsi="文星标宋" w:cs="文星标宋" w:hint="eastAsia"/>
          <w:sz w:val="44"/>
          <w:szCs w:val="44"/>
        </w:rPr>
        <w:t>行政执法主要职责</w:t>
      </w:r>
    </w:p>
    <w:tbl>
      <w:tblPr>
        <w:tblpPr w:leftFromText="180" w:rightFromText="180" w:vertAnchor="text" w:horzAnchor="page" w:tblpX="1621" w:tblpY="254"/>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224"/>
        <w:gridCol w:w="1657"/>
        <w:gridCol w:w="2742"/>
      </w:tblGrid>
      <w:tr w:rsidR="00DC48D3" w:rsidTr="00DC48D3">
        <w:trPr>
          <w:trHeight w:val="739"/>
        </w:trPr>
        <w:tc>
          <w:tcPr>
            <w:tcW w:w="1417" w:type="dxa"/>
            <w:vAlign w:val="center"/>
          </w:tcPr>
          <w:p w:rsidR="00DC48D3" w:rsidRDefault="00DC48D3" w:rsidP="00DC48D3">
            <w:pPr>
              <w:jc w:val="center"/>
              <w:rPr>
                <w:rFonts w:ascii="黑体" w:eastAsia="黑体" w:hAnsi="黑体" w:cs="黑体"/>
                <w:b/>
                <w:sz w:val="24"/>
              </w:rPr>
            </w:pPr>
            <w:r>
              <w:rPr>
                <w:rFonts w:ascii="黑体" w:eastAsia="黑体" w:hAnsi="黑体" w:cs="黑体" w:hint="eastAsia"/>
                <w:b/>
                <w:sz w:val="24"/>
              </w:rPr>
              <w:t>机构名称</w:t>
            </w:r>
          </w:p>
        </w:tc>
        <w:tc>
          <w:tcPr>
            <w:tcW w:w="7623" w:type="dxa"/>
            <w:gridSpan w:val="3"/>
            <w:vAlign w:val="center"/>
          </w:tcPr>
          <w:p w:rsidR="00DC48D3" w:rsidRDefault="00DC48D3" w:rsidP="00DC48D3">
            <w:pPr>
              <w:jc w:val="center"/>
              <w:rPr>
                <w:rFonts w:ascii="黑体" w:eastAsia="黑体" w:hAnsi="黑体" w:cs="黑体"/>
                <w:b/>
                <w:sz w:val="24"/>
              </w:rPr>
            </w:pPr>
            <w:r>
              <w:rPr>
                <w:rFonts w:ascii="黑体" w:eastAsia="黑体" w:hAnsi="黑体" w:cs="黑体" w:hint="eastAsia"/>
                <w:b/>
                <w:sz w:val="24"/>
              </w:rPr>
              <w:t>昌乐县</w:t>
            </w:r>
            <w:r w:rsidR="00EB31FB">
              <w:rPr>
                <w:rFonts w:ascii="黑体" w:eastAsia="黑体" w:hAnsi="黑体" w:cs="黑体" w:hint="eastAsia"/>
                <w:b/>
                <w:sz w:val="24"/>
              </w:rPr>
              <w:t>发展和</w:t>
            </w:r>
            <w:proofErr w:type="gramStart"/>
            <w:r w:rsidR="00EB31FB">
              <w:rPr>
                <w:rFonts w:ascii="黑体" w:eastAsia="黑体" w:hAnsi="黑体" w:cs="黑体" w:hint="eastAsia"/>
                <w:b/>
                <w:sz w:val="24"/>
              </w:rPr>
              <w:t>改革局</w:t>
            </w:r>
            <w:proofErr w:type="gramEnd"/>
          </w:p>
        </w:tc>
      </w:tr>
      <w:tr w:rsidR="00DC48D3" w:rsidTr="00DC48D3">
        <w:trPr>
          <w:trHeight w:val="1039"/>
        </w:trPr>
        <w:tc>
          <w:tcPr>
            <w:tcW w:w="1417" w:type="dxa"/>
            <w:vAlign w:val="center"/>
          </w:tcPr>
          <w:p w:rsidR="00DC48D3" w:rsidRDefault="00DC48D3" w:rsidP="00DC48D3">
            <w:pPr>
              <w:spacing w:line="320" w:lineRule="exact"/>
              <w:jc w:val="center"/>
              <w:rPr>
                <w:rFonts w:ascii="黑体" w:eastAsia="黑体" w:hAnsi="黑体" w:cs="黑体"/>
                <w:b/>
                <w:sz w:val="24"/>
              </w:rPr>
            </w:pPr>
            <w:r>
              <w:rPr>
                <w:rFonts w:ascii="黑体" w:eastAsia="黑体" w:hAnsi="黑体" w:cs="黑体" w:hint="eastAsia"/>
                <w:b/>
                <w:sz w:val="24"/>
              </w:rPr>
              <w:t>机构性质</w:t>
            </w:r>
          </w:p>
        </w:tc>
        <w:tc>
          <w:tcPr>
            <w:tcW w:w="3224" w:type="dxa"/>
            <w:vAlign w:val="center"/>
          </w:tcPr>
          <w:p w:rsidR="00DC48D3" w:rsidRDefault="00DC48D3" w:rsidP="00DC48D3">
            <w:pPr>
              <w:spacing w:line="320" w:lineRule="exact"/>
              <w:jc w:val="center"/>
              <w:rPr>
                <w:rFonts w:ascii="黑体" w:eastAsia="黑体" w:hAnsi="黑体" w:cs="黑体"/>
                <w:b/>
                <w:sz w:val="24"/>
              </w:rPr>
            </w:pPr>
            <w:r w:rsidRPr="00120D88">
              <w:rPr>
                <w:rFonts w:ascii="黑体" w:eastAsia="黑体" w:hAnsi="黑体" w:cs="黑体" w:hint="eastAsia"/>
                <w:b/>
                <w:sz w:val="24"/>
              </w:rPr>
              <w:t>行政机关</w:t>
            </w:r>
          </w:p>
        </w:tc>
        <w:tc>
          <w:tcPr>
            <w:tcW w:w="1657" w:type="dxa"/>
            <w:vAlign w:val="center"/>
          </w:tcPr>
          <w:p w:rsidR="00DC48D3" w:rsidRDefault="00DC48D3" w:rsidP="00DC48D3">
            <w:pPr>
              <w:spacing w:line="320" w:lineRule="exact"/>
              <w:jc w:val="center"/>
              <w:rPr>
                <w:rFonts w:ascii="黑体" w:eastAsia="黑体" w:hAnsi="黑体" w:cs="黑体"/>
                <w:b/>
                <w:sz w:val="24"/>
              </w:rPr>
            </w:pPr>
            <w:r>
              <w:rPr>
                <w:rFonts w:ascii="黑体" w:eastAsia="黑体" w:hAnsi="黑体" w:cs="黑体" w:hint="eastAsia"/>
                <w:b/>
                <w:sz w:val="24"/>
              </w:rPr>
              <w:t>主体类别</w:t>
            </w:r>
          </w:p>
        </w:tc>
        <w:tc>
          <w:tcPr>
            <w:tcW w:w="2742" w:type="dxa"/>
            <w:vAlign w:val="center"/>
          </w:tcPr>
          <w:p w:rsidR="00DC48D3" w:rsidRDefault="00DC48D3" w:rsidP="00DC48D3">
            <w:pPr>
              <w:spacing w:line="320" w:lineRule="exact"/>
              <w:jc w:val="center"/>
              <w:rPr>
                <w:rFonts w:ascii="黑体" w:eastAsia="黑体" w:hAnsi="黑体" w:cs="黑体"/>
                <w:b/>
                <w:sz w:val="24"/>
              </w:rPr>
            </w:pPr>
            <w:r w:rsidRPr="00120D88">
              <w:rPr>
                <w:rFonts w:ascii="黑体" w:eastAsia="黑体" w:hAnsi="黑体" w:cs="黑体" w:hint="eastAsia"/>
                <w:b/>
                <w:sz w:val="24"/>
              </w:rPr>
              <w:t>法定行政</w:t>
            </w:r>
            <w:bookmarkStart w:id="0" w:name="_GoBack"/>
            <w:bookmarkEnd w:id="0"/>
            <w:r w:rsidRPr="00120D88">
              <w:rPr>
                <w:rFonts w:ascii="黑体" w:eastAsia="黑体" w:hAnsi="黑体" w:cs="黑体" w:hint="eastAsia"/>
                <w:b/>
                <w:sz w:val="24"/>
              </w:rPr>
              <w:t>机关</w:t>
            </w:r>
          </w:p>
        </w:tc>
      </w:tr>
      <w:tr w:rsidR="00DC48D3" w:rsidTr="00DC48D3">
        <w:trPr>
          <w:trHeight w:val="714"/>
        </w:trPr>
        <w:tc>
          <w:tcPr>
            <w:tcW w:w="1417" w:type="dxa"/>
            <w:vAlign w:val="center"/>
          </w:tcPr>
          <w:p w:rsidR="00DC48D3" w:rsidRDefault="00DC48D3" w:rsidP="00DC48D3">
            <w:pPr>
              <w:spacing w:line="320" w:lineRule="exact"/>
              <w:jc w:val="center"/>
              <w:rPr>
                <w:rFonts w:ascii="黑体" w:eastAsia="黑体" w:hAnsi="黑体" w:cs="黑体"/>
                <w:b/>
                <w:sz w:val="24"/>
              </w:rPr>
            </w:pPr>
            <w:r>
              <w:rPr>
                <w:rFonts w:ascii="黑体" w:eastAsia="黑体" w:hAnsi="黑体" w:cs="黑体" w:hint="eastAsia"/>
                <w:b/>
                <w:sz w:val="24"/>
              </w:rPr>
              <w:t>法定代表人</w:t>
            </w:r>
          </w:p>
        </w:tc>
        <w:tc>
          <w:tcPr>
            <w:tcW w:w="3224" w:type="dxa"/>
            <w:vAlign w:val="center"/>
          </w:tcPr>
          <w:p w:rsidR="00DC48D3" w:rsidRDefault="00EB31FB" w:rsidP="00DC48D3">
            <w:pPr>
              <w:spacing w:line="320" w:lineRule="exact"/>
              <w:jc w:val="center"/>
              <w:rPr>
                <w:rFonts w:ascii="黑体" w:eastAsia="黑体" w:hAnsi="黑体" w:cs="黑体"/>
                <w:b/>
                <w:sz w:val="24"/>
              </w:rPr>
            </w:pPr>
            <w:r>
              <w:rPr>
                <w:rFonts w:ascii="黑体" w:eastAsia="黑体" w:hAnsi="黑体" w:cs="黑体"/>
                <w:b/>
                <w:sz w:val="24"/>
              </w:rPr>
              <w:t>秦春军</w:t>
            </w:r>
          </w:p>
        </w:tc>
        <w:tc>
          <w:tcPr>
            <w:tcW w:w="1657" w:type="dxa"/>
            <w:vAlign w:val="center"/>
          </w:tcPr>
          <w:p w:rsidR="00DC48D3" w:rsidRDefault="00874D06" w:rsidP="00DC48D3">
            <w:pPr>
              <w:spacing w:line="320" w:lineRule="exact"/>
              <w:jc w:val="center"/>
              <w:rPr>
                <w:rFonts w:ascii="黑体" w:eastAsia="黑体" w:hAnsi="黑体" w:cs="黑体"/>
                <w:b/>
                <w:sz w:val="24"/>
              </w:rPr>
            </w:pPr>
            <w:r>
              <w:rPr>
                <w:rFonts w:ascii="黑体" w:eastAsia="黑体" w:hAnsi="黑体" w:cs="黑体" w:hint="eastAsia"/>
                <w:b/>
                <w:sz w:val="24"/>
              </w:rPr>
              <w:t>监督电话</w:t>
            </w:r>
          </w:p>
        </w:tc>
        <w:tc>
          <w:tcPr>
            <w:tcW w:w="2742" w:type="dxa"/>
            <w:vAlign w:val="center"/>
          </w:tcPr>
          <w:p w:rsidR="00DC48D3" w:rsidRDefault="00EB31FB" w:rsidP="00DC48D3">
            <w:pPr>
              <w:spacing w:line="320" w:lineRule="exact"/>
              <w:jc w:val="center"/>
              <w:rPr>
                <w:rFonts w:ascii="黑体" w:eastAsia="黑体" w:hAnsi="黑体" w:cs="黑体"/>
                <w:b/>
                <w:sz w:val="24"/>
              </w:rPr>
            </w:pPr>
            <w:r>
              <w:rPr>
                <w:rFonts w:ascii="黑体" w:eastAsia="黑体" w:hAnsi="黑体" w:cs="黑体" w:hint="eastAsia"/>
                <w:b/>
                <w:sz w:val="24"/>
              </w:rPr>
              <w:t>6221265</w:t>
            </w:r>
          </w:p>
        </w:tc>
      </w:tr>
      <w:tr w:rsidR="00DC48D3" w:rsidTr="00DC48D3">
        <w:trPr>
          <w:trHeight w:val="664"/>
        </w:trPr>
        <w:tc>
          <w:tcPr>
            <w:tcW w:w="1417" w:type="dxa"/>
            <w:vAlign w:val="center"/>
          </w:tcPr>
          <w:p w:rsidR="00DC48D3" w:rsidRDefault="00DC48D3" w:rsidP="00DC48D3">
            <w:pPr>
              <w:jc w:val="center"/>
              <w:rPr>
                <w:rFonts w:ascii="黑体" w:eastAsia="黑体" w:hAnsi="黑体" w:cs="黑体"/>
                <w:b/>
                <w:sz w:val="24"/>
              </w:rPr>
            </w:pPr>
            <w:r>
              <w:rPr>
                <w:rFonts w:ascii="黑体" w:eastAsia="黑体" w:hAnsi="黑体" w:cs="黑体" w:hint="eastAsia"/>
                <w:b/>
                <w:sz w:val="24"/>
              </w:rPr>
              <w:t>单位地址</w:t>
            </w:r>
          </w:p>
        </w:tc>
        <w:tc>
          <w:tcPr>
            <w:tcW w:w="3224" w:type="dxa"/>
            <w:vAlign w:val="center"/>
          </w:tcPr>
          <w:p w:rsidR="00DC48D3" w:rsidRDefault="00DC48D3" w:rsidP="003511EB">
            <w:pPr>
              <w:jc w:val="center"/>
              <w:rPr>
                <w:rFonts w:ascii="黑体" w:eastAsia="黑体" w:hAnsi="黑体" w:cs="黑体"/>
                <w:b/>
                <w:sz w:val="24"/>
              </w:rPr>
            </w:pPr>
            <w:r>
              <w:rPr>
                <w:rFonts w:ascii="黑体" w:eastAsia="黑体" w:hAnsi="黑体" w:cs="黑体" w:hint="eastAsia"/>
                <w:b/>
                <w:sz w:val="24"/>
              </w:rPr>
              <w:t>昌乐县</w:t>
            </w:r>
            <w:r w:rsidR="003511EB">
              <w:rPr>
                <w:rFonts w:ascii="黑体" w:eastAsia="黑体" w:hAnsi="黑体" w:cs="黑体" w:hint="eastAsia"/>
                <w:b/>
                <w:sz w:val="24"/>
              </w:rPr>
              <w:t>城一中街</w:t>
            </w:r>
            <w:r>
              <w:rPr>
                <w:rFonts w:ascii="黑体" w:eastAsia="黑体" w:hAnsi="黑体" w:cs="黑体" w:hint="eastAsia"/>
                <w:b/>
                <w:sz w:val="24"/>
              </w:rPr>
              <w:t>1号</w:t>
            </w:r>
          </w:p>
        </w:tc>
        <w:tc>
          <w:tcPr>
            <w:tcW w:w="1657" w:type="dxa"/>
            <w:vAlign w:val="center"/>
          </w:tcPr>
          <w:p w:rsidR="00DC48D3" w:rsidRDefault="00DC48D3" w:rsidP="00DC48D3">
            <w:pPr>
              <w:jc w:val="center"/>
              <w:rPr>
                <w:rFonts w:ascii="黑体" w:eastAsia="黑体" w:hAnsi="黑体" w:cs="黑体"/>
                <w:b/>
                <w:sz w:val="24"/>
              </w:rPr>
            </w:pPr>
            <w:r>
              <w:rPr>
                <w:rFonts w:ascii="黑体" w:eastAsia="黑体" w:hAnsi="黑体" w:cs="黑体" w:hint="eastAsia"/>
                <w:b/>
                <w:sz w:val="24"/>
              </w:rPr>
              <w:t>投诉举报</w:t>
            </w:r>
          </w:p>
          <w:p w:rsidR="00DC48D3" w:rsidRDefault="00DC48D3" w:rsidP="00DC48D3">
            <w:pPr>
              <w:jc w:val="center"/>
              <w:rPr>
                <w:rFonts w:ascii="黑体" w:eastAsia="黑体" w:hAnsi="黑体" w:cs="黑体"/>
                <w:b/>
                <w:sz w:val="24"/>
              </w:rPr>
            </w:pPr>
            <w:r>
              <w:rPr>
                <w:rFonts w:ascii="黑体" w:eastAsia="黑体" w:hAnsi="黑体" w:cs="黑体" w:hint="eastAsia"/>
                <w:b/>
                <w:sz w:val="24"/>
              </w:rPr>
              <w:t>电话</w:t>
            </w:r>
          </w:p>
        </w:tc>
        <w:tc>
          <w:tcPr>
            <w:tcW w:w="2742" w:type="dxa"/>
            <w:vAlign w:val="center"/>
          </w:tcPr>
          <w:p w:rsidR="00DC48D3" w:rsidRDefault="00EB31FB" w:rsidP="00DC48D3">
            <w:pPr>
              <w:jc w:val="center"/>
              <w:rPr>
                <w:rFonts w:ascii="黑体" w:eastAsia="黑体" w:hAnsi="黑体" w:cs="黑体"/>
                <w:b/>
                <w:sz w:val="24"/>
              </w:rPr>
            </w:pPr>
            <w:r>
              <w:rPr>
                <w:rFonts w:ascii="黑体" w:eastAsia="黑体" w:hAnsi="黑体" w:cs="黑体" w:hint="eastAsia"/>
                <w:b/>
                <w:sz w:val="24"/>
              </w:rPr>
              <w:t>6221265</w:t>
            </w:r>
          </w:p>
        </w:tc>
      </w:tr>
      <w:tr w:rsidR="00DC48D3" w:rsidTr="00120D88">
        <w:trPr>
          <w:trHeight w:val="1059"/>
        </w:trPr>
        <w:tc>
          <w:tcPr>
            <w:tcW w:w="1417" w:type="dxa"/>
            <w:vAlign w:val="center"/>
          </w:tcPr>
          <w:p w:rsidR="00DC48D3" w:rsidRDefault="00874D06" w:rsidP="00DC48D3">
            <w:pPr>
              <w:jc w:val="center"/>
              <w:rPr>
                <w:rFonts w:ascii="黑体" w:eastAsia="黑体" w:hAnsi="黑体" w:cs="黑体"/>
                <w:b/>
                <w:sz w:val="24"/>
              </w:rPr>
            </w:pPr>
            <w:r>
              <w:rPr>
                <w:rFonts w:ascii="黑体" w:eastAsia="黑体" w:hAnsi="黑体" w:cs="黑体" w:hint="eastAsia"/>
                <w:b/>
                <w:sz w:val="24"/>
              </w:rPr>
              <w:t>执法的主要职责</w:t>
            </w:r>
          </w:p>
        </w:tc>
        <w:tc>
          <w:tcPr>
            <w:tcW w:w="7623" w:type="dxa"/>
            <w:gridSpan w:val="3"/>
            <w:vAlign w:val="center"/>
          </w:tcPr>
          <w:p w:rsidR="00DC48D3" w:rsidRPr="00A32471" w:rsidRDefault="00EB31FB" w:rsidP="00120D88">
            <w:pPr>
              <w:spacing w:line="320" w:lineRule="exact"/>
              <w:rPr>
                <w:rFonts w:ascii="黑体" w:eastAsia="黑体" w:hAnsi="黑体" w:cs="黑体"/>
                <w:b/>
                <w:sz w:val="24"/>
              </w:rPr>
            </w:pPr>
            <w:r w:rsidRPr="00EB31FB">
              <w:rPr>
                <w:rFonts w:ascii="黑体" w:eastAsia="黑体" w:hAnsi="黑体" w:cs="黑体" w:hint="eastAsia"/>
                <w:b/>
                <w:sz w:val="24"/>
              </w:rPr>
              <w:t>(</w:t>
            </w:r>
            <w:proofErr w:type="gramStart"/>
            <w:r w:rsidRPr="00EB31FB">
              <w:rPr>
                <w:rFonts w:ascii="黑体" w:eastAsia="黑体" w:hAnsi="黑体" w:cs="黑体" w:hint="eastAsia"/>
                <w:b/>
                <w:sz w:val="24"/>
              </w:rPr>
              <w:t>一</w:t>
            </w:r>
            <w:proofErr w:type="gramEnd"/>
            <w:r>
              <w:rPr>
                <w:rFonts w:ascii="黑体" w:eastAsia="黑体" w:hAnsi="黑体" w:cs="黑体"/>
                <w:b/>
                <w:sz w:val="24"/>
              </w:rPr>
              <w:t xml:space="preserve">) </w:t>
            </w:r>
            <w:r w:rsidRPr="00EB31FB">
              <w:rPr>
                <w:rFonts w:ascii="黑体" w:eastAsia="黑体" w:hAnsi="黑体" w:cs="黑体"/>
                <w:b/>
                <w:sz w:val="24"/>
              </w:rPr>
              <w:t>负责对</w:t>
            </w:r>
            <w:r w:rsidRPr="00A32471">
              <w:rPr>
                <w:rFonts w:ascii="黑体" w:eastAsia="黑体" w:hAnsi="黑体" w:cs="黑体"/>
                <w:b/>
                <w:sz w:val="24"/>
              </w:rPr>
              <w:t>未按规定程序办理招标核准手续的</w:t>
            </w:r>
            <w:r w:rsidR="00792B60">
              <w:rPr>
                <w:rFonts w:ascii="黑体" w:eastAsia="黑体" w:hAnsi="黑体" w:cs="黑体"/>
                <w:b/>
                <w:sz w:val="24"/>
              </w:rPr>
              <w:t>进行监督检查</w:t>
            </w:r>
          </w:p>
          <w:p w:rsidR="00EB31FB" w:rsidRPr="00A32471" w:rsidRDefault="00EB31FB" w:rsidP="00120D88">
            <w:pPr>
              <w:rPr>
                <w:rFonts w:ascii="黑体" w:eastAsia="黑体" w:hAnsi="黑体" w:cs="黑体"/>
                <w:b/>
                <w:sz w:val="24"/>
              </w:rPr>
            </w:pPr>
            <w:r>
              <w:rPr>
                <w:rFonts w:ascii="黑体" w:eastAsia="黑体" w:hAnsi="黑体" w:cs="黑体" w:hint="eastAsia"/>
                <w:b/>
                <w:sz w:val="24"/>
              </w:rPr>
              <w:t>(二)负责</w:t>
            </w:r>
            <w:r w:rsidRPr="00EB31FB">
              <w:rPr>
                <w:rFonts w:ascii="黑体" w:eastAsia="黑体" w:hAnsi="黑体" w:cs="黑体"/>
                <w:b/>
                <w:sz w:val="24"/>
              </w:rPr>
              <w:t>对企业未按规定办理投资项目核准相关手续</w:t>
            </w:r>
            <w:r w:rsidR="00792B60">
              <w:rPr>
                <w:rFonts w:ascii="黑体" w:eastAsia="黑体" w:hAnsi="黑体" w:cs="黑体"/>
                <w:b/>
                <w:sz w:val="24"/>
              </w:rPr>
              <w:t>进行监督检查</w:t>
            </w:r>
          </w:p>
          <w:p w:rsidR="00EB31FB" w:rsidRDefault="00792B60" w:rsidP="00120D88">
            <w:pPr>
              <w:rPr>
                <w:rFonts w:ascii="Verdana" w:hAnsi="Verdana" w:cs="Arial"/>
                <w:color w:val="FF0000"/>
                <w:kern w:val="0"/>
                <w:sz w:val="20"/>
                <w:szCs w:val="20"/>
              </w:rPr>
            </w:pPr>
            <w:r>
              <w:rPr>
                <w:rFonts w:ascii="黑体" w:eastAsia="黑体" w:hAnsi="黑体" w:cs="黑体" w:hint="eastAsia"/>
                <w:b/>
                <w:sz w:val="24"/>
              </w:rPr>
              <w:t>(三)</w:t>
            </w:r>
            <w:r w:rsidR="00EB31FB" w:rsidRPr="00A32471">
              <w:rPr>
                <w:rFonts w:ascii="黑体" w:eastAsia="黑体" w:hAnsi="黑体" w:cs="黑体" w:hint="eastAsia"/>
                <w:b/>
                <w:sz w:val="24"/>
              </w:rPr>
              <w:t>负责</w:t>
            </w:r>
            <w:r w:rsidR="00EB31FB" w:rsidRPr="00EB31FB">
              <w:rPr>
                <w:rFonts w:ascii="黑体" w:eastAsia="黑体" w:hAnsi="黑体" w:cs="黑体"/>
                <w:b/>
                <w:sz w:val="24"/>
              </w:rPr>
              <w:t>对企业未按规定办理投资项目备案相关手续的</w:t>
            </w:r>
            <w:r>
              <w:rPr>
                <w:rFonts w:ascii="黑体" w:eastAsia="黑体" w:hAnsi="黑体" w:cs="黑体"/>
                <w:b/>
                <w:sz w:val="24"/>
              </w:rPr>
              <w:t>进行监督检查</w:t>
            </w:r>
            <w:r w:rsidR="00EB31FB">
              <w:rPr>
                <w:rFonts w:ascii="黑体" w:eastAsia="黑体" w:hAnsi="黑体" w:cs="黑体" w:hint="eastAsia"/>
                <w:b/>
                <w:sz w:val="24"/>
              </w:rPr>
              <w:t>(</w:t>
            </w:r>
            <w:r>
              <w:rPr>
                <w:rFonts w:ascii="黑体" w:eastAsia="黑体" w:hAnsi="黑体" w:cs="黑体" w:hint="eastAsia"/>
                <w:b/>
                <w:sz w:val="24"/>
              </w:rPr>
              <w:t>四</w:t>
            </w:r>
            <w:r w:rsidR="00EB31FB">
              <w:rPr>
                <w:rFonts w:ascii="黑体" w:eastAsia="黑体" w:hAnsi="黑体" w:cs="黑体" w:hint="eastAsia"/>
                <w:b/>
                <w:sz w:val="24"/>
              </w:rPr>
              <w:t>)负责</w:t>
            </w:r>
            <w:r w:rsidR="00A32471" w:rsidRPr="00A32471">
              <w:rPr>
                <w:rFonts w:ascii="黑体" w:eastAsia="黑体" w:hAnsi="黑体" w:cs="黑体" w:hint="eastAsia"/>
                <w:b/>
                <w:sz w:val="24"/>
              </w:rPr>
              <w:t>对企业投资建设产业政策禁止投资建设项目的</w:t>
            </w:r>
            <w:r>
              <w:rPr>
                <w:rFonts w:ascii="黑体" w:eastAsia="黑体" w:hAnsi="黑体" w:cs="黑体"/>
                <w:b/>
                <w:sz w:val="24"/>
              </w:rPr>
              <w:t>进行监督检查</w:t>
            </w:r>
          </w:p>
          <w:p w:rsidR="00EB31FB" w:rsidRPr="00792B60" w:rsidRDefault="00EB31FB" w:rsidP="00120D88">
            <w:pPr>
              <w:rPr>
                <w:rFonts w:ascii="黑体" w:eastAsia="黑体" w:hAnsi="黑体" w:cs="黑体"/>
                <w:b/>
                <w:sz w:val="24"/>
              </w:rPr>
            </w:pPr>
            <w:r>
              <w:rPr>
                <w:rFonts w:ascii="黑体" w:eastAsia="黑体" w:hAnsi="黑体" w:cs="黑体" w:hint="eastAsia"/>
                <w:b/>
                <w:sz w:val="24"/>
              </w:rPr>
              <w:t>(</w:t>
            </w:r>
            <w:r w:rsidR="00792B60">
              <w:rPr>
                <w:rFonts w:ascii="黑体" w:eastAsia="黑体" w:hAnsi="黑体" w:cs="黑体" w:hint="eastAsia"/>
                <w:b/>
                <w:sz w:val="24"/>
              </w:rPr>
              <w:t>五</w:t>
            </w:r>
            <w:r>
              <w:rPr>
                <w:rFonts w:ascii="黑体" w:eastAsia="黑体" w:hAnsi="黑体" w:cs="黑体" w:hint="eastAsia"/>
                <w:b/>
                <w:sz w:val="24"/>
              </w:rPr>
              <w:t>)负责</w:t>
            </w:r>
            <w:r w:rsidR="00792B60">
              <w:rPr>
                <w:rFonts w:ascii="黑体" w:eastAsia="黑体" w:hAnsi="黑体" w:cs="黑体" w:hint="eastAsia"/>
                <w:b/>
                <w:sz w:val="24"/>
              </w:rPr>
              <w:t>对</w:t>
            </w:r>
            <w:r w:rsidR="00792B60" w:rsidRPr="00EB31FB">
              <w:rPr>
                <w:rFonts w:ascii="黑体" w:eastAsia="黑体" w:hAnsi="黑体" w:cs="黑体"/>
                <w:b/>
                <w:sz w:val="24"/>
              </w:rPr>
              <w:t>未如实、及时报送投资项目建设实施基本信息的</w:t>
            </w:r>
            <w:r w:rsidR="00792B60">
              <w:rPr>
                <w:rFonts w:ascii="黑体" w:eastAsia="黑体" w:hAnsi="黑体" w:cs="黑体"/>
                <w:b/>
                <w:sz w:val="24"/>
              </w:rPr>
              <w:t>进行监督检查</w:t>
            </w:r>
          </w:p>
          <w:p w:rsidR="00EB31FB" w:rsidRPr="00792B60" w:rsidRDefault="00EB31FB" w:rsidP="00120D88">
            <w:pPr>
              <w:rPr>
                <w:rFonts w:ascii="黑体" w:eastAsia="黑体" w:hAnsi="黑体" w:cs="黑体"/>
                <w:b/>
                <w:sz w:val="24"/>
              </w:rPr>
            </w:pPr>
            <w:r>
              <w:rPr>
                <w:rFonts w:ascii="黑体" w:eastAsia="黑体" w:hAnsi="黑体" w:cs="黑体" w:hint="eastAsia"/>
                <w:b/>
                <w:sz w:val="24"/>
              </w:rPr>
              <w:t>(</w:t>
            </w:r>
            <w:r w:rsidR="00792B60">
              <w:rPr>
                <w:rFonts w:ascii="黑体" w:eastAsia="黑体" w:hAnsi="黑体" w:cs="黑体" w:hint="eastAsia"/>
                <w:b/>
                <w:sz w:val="24"/>
              </w:rPr>
              <w:t>六</w:t>
            </w:r>
            <w:r>
              <w:rPr>
                <w:rFonts w:ascii="黑体" w:eastAsia="黑体" w:hAnsi="黑体" w:cs="黑体" w:hint="eastAsia"/>
                <w:b/>
                <w:sz w:val="24"/>
              </w:rPr>
              <w:t>)</w:t>
            </w:r>
            <w:r w:rsidR="00792B60">
              <w:rPr>
                <w:rFonts w:ascii="Verdana" w:hAnsi="Verdana" w:cs="Arial" w:hint="eastAsia"/>
                <w:color w:val="FF0000"/>
                <w:kern w:val="0"/>
                <w:sz w:val="20"/>
                <w:szCs w:val="20"/>
              </w:rPr>
              <w:t xml:space="preserve"> </w:t>
            </w:r>
            <w:r w:rsidR="00792B60" w:rsidRPr="00792B60">
              <w:rPr>
                <w:rFonts w:ascii="黑体" w:eastAsia="黑体" w:hAnsi="黑体" w:cs="黑体" w:hint="eastAsia"/>
                <w:b/>
                <w:sz w:val="24"/>
              </w:rPr>
              <w:t>负责对对管道企业未履行法律义务行为的</w:t>
            </w:r>
            <w:r w:rsidR="00792B60">
              <w:rPr>
                <w:rFonts w:ascii="黑体" w:eastAsia="黑体" w:hAnsi="黑体" w:cs="黑体"/>
                <w:b/>
                <w:sz w:val="24"/>
              </w:rPr>
              <w:t>进行监督检查</w:t>
            </w:r>
          </w:p>
          <w:p w:rsidR="00EB31FB" w:rsidRDefault="00EB31FB" w:rsidP="00120D88">
            <w:pPr>
              <w:rPr>
                <w:rFonts w:ascii="Verdana" w:hAnsi="Verdana" w:cs="Arial"/>
                <w:color w:val="FF0000"/>
                <w:kern w:val="0"/>
                <w:sz w:val="20"/>
                <w:szCs w:val="20"/>
              </w:rPr>
            </w:pPr>
            <w:r>
              <w:rPr>
                <w:rFonts w:ascii="黑体" w:eastAsia="黑体" w:hAnsi="黑体" w:cs="黑体" w:hint="eastAsia"/>
                <w:b/>
                <w:sz w:val="24"/>
              </w:rPr>
              <w:t>(</w:t>
            </w:r>
            <w:r w:rsidR="00792B60">
              <w:rPr>
                <w:rFonts w:ascii="黑体" w:eastAsia="黑体" w:hAnsi="黑体" w:cs="黑体" w:hint="eastAsia"/>
                <w:b/>
                <w:sz w:val="24"/>
              </w:rPr>
              <w:t>七</w:t>
            </w:r>
            <w:r>
              <w:rPr>
                <w:rFonts w:ascii="黑体" w:eastAsia="黑体" w:hAnsi="黑体" w:cs="黑体" w:hint="eastAsia"/>
                <w:b/>
                <w:sz w:val="24"/>
              </w:rPr>
              <w:t>)负责</w:t>
            </w:r>
            <w:r w:rsidR="00792B60" w:rsidRPr="00792B60">
              <w:rPr>
                <w:rFonts w:ascii="黑体" w:eastAsia="黑体" w:hAnsi="黑体" w:cs="黑体" w:hint="eastAsia"/>
                <w:b/>
                <w:sz w:val="24"/>
              </w:rPr>
              <w:t>对信用服务机构以及其他单位和个人违法查询、应用公共信用信息的</w:t>
            </w:r>
            <w:r w:rsidR="00792B60">
              <w:rPr>
                <w:rFonts w:ascii="黑体" w:eastAsia="黑体" w:hAnsi="黑体" w:cs="黑体"/>
                <w:b/>
                <w:sz w:val="24"/>
              </w:rPr>
              <w:t>进行监督检查</w:t>
            </w:r>
            <w:r>
              <w:rPr>
                <w:rFonts w:ascii="黑体" w:eastAsia="黑体" w:hAnsi="黑体" w:cs="黑体" w:hint="eastAsia"/>
                <w:b/>
                <w:sz w:val="24"/>
              </w:rPr>
              <w:t>(</w:t>
            </w:r>
            <w:r w:rsidR="00792B60">
              <w:rPr>
                <w:rFonts w:ascii="黑体" w:eastAsia="黑体" w:hAnsi="黑体" w:cs="黑体" w:hint="eastAsia"/>
                <w:b/>
                <w:sz w:val="24"/>
              </w:rPr>
              <w:t>八</w:t>
            </w:r>
            <w:r>
              <w:rPr>
                <w:rFonts w:ascii="黑体" w:eastAsia="黑体" w:hAnsi="黑体" w:cs="黑体" w:hint="eastAsia"/>
                <w:b/>
                <w:sz w:val="24"/>
              </w:rPr>
              <w:t>)负责</w:t>
            </w:r>
            <w:r w:rsidR="00792B60" w:rsidRPr="00792B60">
              <w:rPr>
                <w:rFonts w:ascii="黑体" w:eastAsia="黑体" w:hAnsi="黑体" w:cs="黑体" w:hint="eastAsia"/>
                <w:b/>
                <w:sz w:val="24"/>
              </w:rPr>
              <w:t>对信用服务机构以及其他单位和个人违法查询、应用公共信用信息的</w:t>
            </w:r>
            <w:r w:rsidR="00792B60">
              <w:rPr>
                <w:rFonts w:ascii="黑体" w:eastAsia="黑体" w:hAnsi="黑体" w:cs="黑体"/>
                <w:b/>
                <w:sz w:val="24"/>
              </w:rPr>
              <w:t>进行监督检查</w:t>
            </w:r>
          </w:p>
          <w:p w:rsidR="00EB31FB" w:rsidRDefault="00792B60" w:rsidP="00120D88">
            <w:pPr>
              <w:rPr>
                <w:rFonts w:ascii="Verdana" w:hAnsi="Verdana" w:cs="Arial"/>
                <w:color w:val="FF0000"/>
                <w:kern w:val="0"/>
                <w:sz w:val="20"/>
                <w:szCs w:val="20"/>
              </w:rPr>
            </w:pPr>
            <w:r>
              <w:rPr>
                <w:rFonts w:ascii="黑体" w:eastAsia="黑体" w:hAnsi="黑体" w:cs="黑体" w:hint="eastAsia"/>
                <w:b/>
                <w:sz w:val="24"/>
              </w:rPr>
              <w:t>(九)负责</w:t>
            </w:r>
            <w:r w:rsidRPr="00792B60">
              <w:rPr>
                <w:rFonts w:ascii="黑体" w:eastAsia="黑体" w:hAnsi="黑体" w:cs="黑体" w:hint="eastAsia"/>
                <w:b/>
                <w:sz w:val="24"/>
              </w:rPr>
              <w:t>对未及时报告价格异动，及虚报、瞒报、迟报、拒报、伪造、篡改价格监测资料的</w:t>
            </w:r>
            <w:r>
              <w:rPr>
                <w:rFonts w:ascii="黑体" w:eastAsia="黑体" w:hAnsi="黑体" w:cs="黑体"/>
                <w:b/>
                <w:sz w:val="24"/>
              </w:rPr>
              <w:t>进行监督检查</w:t>
            </w:r>
          </w:p>
          <w:p w:rsidR="00792B60" w:rsidRDefault="00792B60" w:rsidP="00120D88">
            <w:pPr>
              <w:rPr>
                <w:rFonts w:ascii="Verdana" w:hAnsi="Verdana" w:cs="Arial"/>
                <w:color w:val="FF0000"/>
                <w:kern w:val="0"/>
                <w:sz w:val="20"/>
                <w:szCs w:val="20"/>
              </w:rPr>
            </w:pPr>
            <w:r>
              <w:rPr>
                <w:rFonts w:ascii="黑体" w:eastAsia="黑体" w:hAnsi="黑体" w:cs="黑体" w:hint="eastAsia"/>
                <w:b/>
                <w:sz w:val="24"/>
              </w:rPr>
              <w:t>(十)负责</w:t>
            </w:r>
            <w:r w:rsidRPr="00792B60">
              <w:rPr>
                <w:rFonts w:ascii="黑体" w:eastAsia="黑体" w:hAnsi="黑体" w:cs="黑体" w:hint="eastAsia"/>
                <w:b/>
                <w:sz w:val="24"/>
              </w:rPr>
              <w:t>对未按规定期限和数额缴纳价格调节基金的</w:t>
            </w:r>
            <w:r>
              <w:rPr>
                <w:rFonts w:ascii="黑体" w:eastAsia="黑体" w:hAnsi="黑体" w:cs="黑体"/>
                <w:b/>
                <w:sz w:val="24"/>
              </w:rPr>
              <w:t>进行监督检查</w:t>
            </w:r>
          </w:p>
          <w:p w:rsidR="00792B60" w:rsidRPr="00792B60" w:rsidRDefault="00792B60" w:rsidP="00120D88">
            <w:pPr>
              <w:rPr>
                <w:rFonts w:ascii="黑体" w:eastAsia="黑体" w:hAnsi="黑体" w:cs="黑体"/>
                <w:b/>
                <w:sz w:val="24"/>
              </w:rPr>
            </w:pPr>
            <w:r>
              <w:rPr>
                <w:rFonts w:ascii="黑体" w:eastAsia="黑体" w:hAnsi="黑体" w:cs="黑体" w:hint="eastAsia"/>
                <w:b/>
                <w:sz w:val="24"/>
              </w:rPr>
              <w:t>(十一)负责</w:t>
            </w:r>
            <w:r>
              <w:rPr>
                <w:rFonts w:ascii="黑体" w:eastAsia="黑体" w:hAnsi="黑体" w:cs="黑体"/>
                <w:b/>
                <w:sz w:val="24"/>
              </w:rPr>
              <w:t>对未经粮食行政管理部门许可擅自从事粮食收购活动的进行监督检查</w:t>
            </w:r>
          </w:p>
          <w:p w:rsidR="00792B60" w:rsidRDefault="00792B60" w:rsidP="00120D88">
            <w:pPr>
              <w:rPr>
                <w:rFonts w:ascii="Verdana" w:hAnsi="Verdana" w:cs="Arial"/>
                <w:color w:val="FF0000"/>
                <w:kern w:val="0"/>
                <w:sz w:val="20"/>
                <w:szCs w:val="20"/>
              </w:rPr>
            </w:pPr>
            <w:r>
              <w:rPr>
                <w:rFonts w:ascii="黑体" w:eastAsia="黑体" w:hAnsi="黑体" w:cs="黑体" w:hint="eastAsia"/>
                <w:b/>
                <w:sz w:val="24"/>
              </w:rPr>
              <w:t>(十二)负责</w:t>
            </w:r>
            <w:r w:rsidRPr="00792B60">
              <w:rPr>
                <w:rFonts w:ascii="黑体" w:eastAsia="黑体" w:hAnsi="黑体" w:cs="黑体" w:hint="eastAsia"/>
                <w:b/>
                <w:sz w:val="24"/>
              </w:rPr>
              <w:t>对以不正当手段取得粮食收购许可的</w:t>
            </w:r>
            <w:r>
              <w:rPr>
                <w:rFonts w:ascii="黑体" w:eastAsia="黑体" w:hAnsi="黑体" w:cs="黑体"/>
                <w:b/>
                <w:sz w:val="24"/>
              </w:rPr>
              <w:t>进行监督检查</w:t>
            </w:r>
          </w:p>
          <w:p w:rsidR="00792B60" w:rsidRDefault="00792B60" w:rsidP="00120D88">
            <w:pPr>
              <w:rPr>
                <w:rFonts w:ascii="Verdana" w:hAnsi="Verdana" w:cs="Arial"/>
                <w:color w:val="FF0000"/>
                <w:kern w:val="0"/>
                <w:sz w:val="20"/>
                <w:szCs w:val="20"/>
              </w:rPr>
            </w:pPr>
            <w:r>
              <w:rPr>
                <w:rFonts w:ascii="黑体" w:eastAsia="黑体" w:hAnsi="黑体" w:cs="黑体" w:hint="eastAsia"/>
                <w:b/>
                <w:sz w:val="24"/>
              </w:rPr>
              <w:t>(十三)负责</w:t>
            </w:r>
            <w:r w:rsidRPr="00792B60">
              <w:rPr>
                <w:rFonts w:ascii="黑体" w:eastAsia="黑体" w:hAnsi="黑体" w:cs="黑体" w:hint="eastAsia"/>
                <w:b/>
                <w:sz w:val="24"/>
              </w:rPr>
              <w:t>对煤矿企业（煤矿）未采取措施消除事故隐患的</w:t>
            </w:r>
            <w:r>
              <w:rPr>
                <w:rFonts w:ascii="黑体" w:eastAsia="黑体" w:hAnsi="黑体" w:cs="黑体" w:hint="eastAsia"/>
                <w:b/>
                <w:sz w:val="24"/>
              </w:rPr>
              <w:t>进行监督检查</w:t>
            </w:r>
          </w:p>
          <w:p w:rsidR="00792B60" w:rsidRDefault="00792B60" w:rsidP="00120D88">
            <w:pPr>
              <w:rPr>
                <w:rFonts w:ascii="Verdana" w:hAnsi="Verdana" w:cs="Arial"/>
                <w:color w:val="FF0000"/>
                <w:kern w:val="0"/>
                <w:sz w:val="20"/>
                <w:szCs w:val="20"/>
              </w:rPr>
            </w:pPr>
            <w:r>
              <w:rPr>
                <w:rFonts w:ascii="黑体" w:eastAsia="黑体" w:hAnsi="黑体" w:cs="黑体" w:hint="eastAsia"/>
                <w:b/>
                <w:sz w:val="24"/>
              </w:rPr>
              <w:t>(十四)负责</w:t>
            </w:r>
            <w:r w:rsidRPr="00792B60">
              <w:rPr>
                <w:rFonts w:ascii="黑体" w:eastAsia="黑体" w:hAnsi="黑体" w:cs="黑体" w:hint="eastAsia"/>
                <w:b/>
                <w:sz w:val="24"/>
              </w:rPr>
              <w:t>对供电企业实施损害用户合法权益的</w:t>
            </w:r>
            <w:r>
              <w:rPr>
                <w:rFonts w:ascii="黑体" w:eastAsia="黑体" w:hAnsi="黑体" w:cs="黑体" w:hint="eastAsia"/>
                <w:b/>
                <w:sz w:val="24"/>
              </w:rPr>
              <w:t>进行监督检查</w:t>
            </w:r>
          </w:p>
          <w:p w:rsidR="00792B60" w:rsidRDefault="00792B60" w:rsidP="00120D88">
            <w:pPr>
              <w:rPr>
                <w:rFonts w:ascii="Verdana" w:hAnsi="Verdana" w:cs="Arial"/>
                <w:color w:val="FF0000"/>
                <w:kern w:val="0"/>
                <w:sz w:val="20"/>
                <w:szCs w:val="20"/>
              </w:rPr>
            </w:pPr>
            <w:r>
              <w:rPr>
                <w:rFonts w:ascii="黑体" w:eastAsia="黑体" w:hAnsi="黑体" w:cs="黑体" w:hint="eastAsia"/>
                <w:b/>
                <w:sz w:val="24"/>
              </w:rPr>
              <w:t xml:space="preserve"> (十五)负责</w:t>
            </w:r>
            <w:r w:rsidRPr="00792B60">
              <w:rPr>
                <w:rFonts w:ascii="黑体" w:eastAsia="黑体" w:hAnsi="黑体" w:cs="黑体" w:hint="eastAsia"/>
                <w:b/>
                <w:sz w:val="24"/>
              </w:rPr>
              <w:t>对违法修建的危害油气管道安全的建筑物和构筑物的</w:t>
            </w:r>
            <w:r>
              <w:rPr>
                <w:rFonts w:ascii="黑体" w:eastAsia="黑体" w:hAnsi="黑体" w:cs="黑体" w:hint="eastAsia"/>
                <w:b/>
                <w:sz w:val="24"/>
              </w:rPr>
              <w:t>进行监督检查</w:t>
            </w:r>
          </w:p>
          <w:p w:rsidR="00EB31FB" w:rsidRDefault="00792B60" w:rsidP="00120D88">
            <w:pPr>
              <w:rPr>
                <w:rFonts w:ascii="Verdana" w:hAnsi="Verdana" w:cs="Arial"/>
                <w:color w:val="FF0000"/>
                <w:kern w:val="0"/>
                <w:sz w:val="20"/>
                <w:szCs w:val="20"/>
              </w:rPr>
            </w:pPr>
            <w:r>
              <w:rPr>
                <w:rFonts w:ascii="黑体" w:eastAsia="黑体" w:hAnsi="黑体" w:cs="黑体" w:hint="eastAsia"/>
                <w:b/>
                <w:sz w:val="24"/>
              </w:rPr>
              <w:t xml:space="preserve"> (十六)负责</w:t>
            </w:r>
            <w:r w:rsidRPr="00792B60">
              <w:rPr>
                <w:rFonts w:ascii="黑体" w:eastAsia="黑体" w:hAnsi="黑体" w:cs="黑体" w:hint="eastAsia"/>
                <w:b/>
                <w:sz w:val="24"/>
              </w:rPr>
              <w:t>对事故发生负有责任的单位、有关人员和中介机构的</w:t>
            </w:r>
            <w:r>
              <w:rPr>
                <w:rFonts w:ascii="黑体" w:eastAsia="黑体" w:hAnsi="黑体" w:cs="黑体" w:hint="eastAsia"/>
                <w:b/>
                <w:sz w:val="24"/>
              </w:rPr>
              <w:t>进行监督检查</w:t>
            </w:r>
          </w:p>
          <w:p w:rsidR="00EB31FB" w:rsidRDefault="00EB31FB" w:rsidP="00120D88">
            <w:pPr>
              <w:rPr>
                <w:rFonts w:ascii="Verdana" w:hAnsi="Verdana" w:cs="Arial"/>
                <w:color w:val="FF0000"/>
                <w:kern w:val="0"/>
                <w:sz w:val="20"/>
                <w:szCs w:val="20"/>
              </w:rPr>
            </w:pPr>
          </w:p>
          <w:p w:rsidR="00EB31FB" w:rsidRPr="00EB31FB" w:rsidRDefault="00EB31FB" w:rsidP="00120D88">
            <w:pPr>
              <w:rPr>
                <w:rFonts w:ascii="黑体" w:eastAsia="黑体" w:hAnsi="黑体" w:cs="黑体"/>
                <w:b/>
                <w:sz w:val="24"/>
              </w:rPr>
            </w:pPr>
          </w:p>
        </w:tc>
      </w:tr>
    </w:tbl>
    <w:p w:rsidR="00E419D2" w:rsidRDefault="00E419D2">
      <w:pPr>
        <w:jc w:val="center"/>
        <w:rPr>
          <w:rFonts w:ascii="文星标宋" w:eastAsia="文星标宋" w:hAnsi="文星标宋" w:cs="文星标宋"/>
          <w:sz w:val="44"/>
          <w:szCs w:val="44"/>
        </w:rPr>
      </w:pPr>
    </w:p>
    <w:sectPr w:rsidR="00E419D2" w:rsidSect="008E7D64">
      <w:footerReference w:type="default" r:id="rId9"/>
      <w:pgSz w:w="11906" w:h="16838"/>
      <w:pgMar w:top="2155" w:right="1588" w:bottom="1588" w:left="1588" w:header="851" w:footer="992" w:gutter="0"/>
      <w:pgNumType w:fmt="numberInDash"/>
      <w:cols w:space="720"/>
      <w:docGrid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63" w:rsidRDefault="004C3B63">
      <w:r>
        <w:separator/>
      </w:r>
    </w:p>
  </w:endnote>
  <w:endnote w:type="continuationSeparator" w:id="0">
    <w:p w:rsidR="004C3B63" w:rsidRDefault="004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文星标宋">
    <w:altName w:val="Arial Unicode MS"/>
    <w:panose1 w:val="02010604000101010101"/>
    <w:charset w:val="86"/>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696339"/>
      <w:docPartObj>
        <w:docPartGallery w:val="Page Numbers (Bottom of Page)"/>
        <w:docPartUnique/>
      </w:docPartObj>
    </w:sdtPr>
    <w:sdtEndPr/>
    <w:sdtContent>
      <w:p w:rsidR="00874D06" w:rsidRDefault="00874D06">
        <w:pPr>
          <w:pStyle w:val="a4"/>
          <w:jc w:val="center"/>
        </w:pPr>
        <w:r>
          <w:fldChar w:fldCharType="begin"/>
        </w:r>
        <w:r>
          <w:instrText>PAGE   \* MERGEFORMAT</w:instrText>
        </w:r>
        <w:r>
          <w:fldChar w:fldCharType="separate"/>
        </w:r>
        <w:r w:rsidR="00120D88" w:rsidRPr="00120D88">
          <w:rPr>
            <w:noProof/>
            <w:lang w:val="zh-CN"/>
          </w:rPr>
          <w:t>-</w:t>
        </w:r>
        <w:r w:rsidR="00120D88">
          <w:rPr>
            <w:noProof/>
          </w:rPr>
          <w:t xml:space="preserve"> 1 -</w:t>
        </w:r>
        <w:r>
          <w:fldChar w:fldCharType="end"/>
        </w:r>
      </w:p>
    </w:sdtContent>
  </w:sdt>
  <w:p w:rsidR="00874D06" w:rsidRDefault="00874D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63" w:rsidRDefault="004C3B63">
      <w:r>
        <w:separator/>
      </w:r>
    </w:p>
  </w:footnote>
  <w:footnote w:type="continuationSeparator" w:id="0">
    <w:p w:rsidR="004C3B63" w:rsidRDefault="004C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2831"/>
    <w:multiLevelType w:val="hybridMultilevel"/>
    <w:tmpl w:val="10BC70DA"/>
    <w:lvl w:ilvl="0" w:tplc="0B46D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8D28E7"/>
    <w:multiLevelType w:val="hybridMultilevel"/>
    <w:tmpl w:val="E15E6864"/>
    <w:lvl w:ilvl="0" w:tplc="0B46D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E92906"/>
    <w:multiLevelType w:val="hybridMultilevel"/>
    <w:tmpl w:val="234ECC12"/>
    <w:lvl w:ilvl="0" w:tplc="0B46D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B77C34"/>
    <w:multiLevelType w:val="hybridMultilevel"/>
    <w:tmpl w:val="481CE290"/>
    <w:lvl w:ilvl="0" w:tplc="0B46DF4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A20A48"/>
    <w:multiLevelType w:val="hybridMultilevel"/>
    <w:tmpl w:val="852C648A"/>
    <w:lvl w:ilvl="0" w:tplc="0B46D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D203FF"/>
    <w:multiLevelType w:val="hybridMultilevel"/>
    <w:tmpl w:val="548A9A12"/>
    <w:lvl w:ilvl="0" w:tplc="0B46DF4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1A4144D"/>
    <w:multiLevelType w:val="hybridMultilevel"/>
    <w:tmpl w:val="98B60AC4"/>
    <w:lvl w:ilvl="0" w:tplc="AF7EEBE6">
      <w:start w:val="1"/>
      <w:numFmt w:val="japaneseCounting"/>
      <w:lvlText w:val="(%1)"/>
      <w:lvlJc w:val="left"/>
      <w:pPr>
        <w:ind w:left="720" w:hanging="720"/>
      </w:pPr>
      <w:rPr>
        <w:rFonts w:ascii="黑体" w:eastAsia="黑体" w:hAnsi="黑体" w:cs="黑体" w:hint="default"/>
        <w:b/>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6A6539"/>
    <w:multiLevelType w:val="hybridMultilevel"/>
    <w:tmpl w:val="1EC0FDA0"/>
    <w:lvl w:ilvl="0" w:tplc="0B46D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90040D2"/>
    <w:multiLevelType w:val="hybridMultilevel"/>
    <w:tmpl w:val="F90CF0EC"/>
    <w:lvl w:ilvl="0" w:tplc="0B46DF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4"/>
  </w:num>
  <w:num w:numId="4">
    <w:abstractNumId w:val="3"/>
  </w:num>
  <w:num w:numId="5">
    <w:abstractNumId w:val="5"/>
  </w:num>
  <w:num w:numId="6">
    <w:abstractNumId w:val="2"/>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39"/>
    <w:rsid w:val="00017946"/>
    <w:rsid w:val="00045ED4"/>
    <w:rsid w:val="000E1B48"/>
    <w:rsid w:val="00103152"/>
    <w:rsid w:val="001110EA"/>
    <w:rsid w:val="00120D88"/>
    <w:rsid w:val="001418C3"/>
    <w:rsid w:val="00157C10"/>
    <w:rsid w:val="001624CB"/>
    <w:rsid w:val="001876E6"/>
    <w:rsid w:val="00197E82"/>
    <w:rsid w:val="002232F7"/>
    <w:rsid w:val="002704D4"/>
    <w:rsid w:val="0028725C"/>
    <w:rsid w:val="003241C5"/>
    <w:rsid w:val="003511EB"/>
    <w:rsid w:val="003C3859"/>
    <w:rsid w:val="003E5108"/>
    <w:rsid w:val="0040574C"/>
    <w:rsid w:val="00462015"/>
    <w:rsid w:val="004B7DBC"/>
    <w:rsid w:val="004C3B63"/>
    <w:rsid w:val="005216CF"/>
    <w:rsid w:val="0052778C"/>
    <w:rsid w:val="005317B2"/>
    <w:rsid w:val="00543007"/>
    <w:rsid w:val="005C5478"/>
    <w:rsid w:val="00626D50"/>
    <w:rsid w:val="00643B1A"/>
    <w:rsid w:val="00657DEB"/>
    <w:rsid w:val="006A0795"/>
    <w:rsid w:val="006E517B"/>
    <w:rsid w:val="006E5679"/>
    <w:rsid w:val="00703DDF"/>
    <w:rsid w:val="007143D1"/>
    <w:rsid w:val="00735240"/>
    <w:rsid w:val="00757430"/>
    <w:rsid w:val="00792B60"/>
    <w:rsid w:val="00816290"/>
    <w:rsid w:val="00843A7F"/>
    <w:rsid w:val="00871FA5"/>
    <w:rsid w:val="00874D06"/>
    <w:rsid w:val="008D7FC9"/>
    <w:rsid w:val="008E7D64"/>
    <w:rsid w:val="00937D73"/>
    <w:rsid w:val="00942DA3"/>
    <w:rsid w:val="009430D2"/>
    <w:rsid w:val="00946C99"/>
    <w:rsid w:val="00947691"/>
    <w:rsid w:val="00970680"/>
    <w:rsid w:val="009A7BD0"/>
    <w:rsid w:val="00A152FF"/>
    <w:rsid w:val="00A32471"/>
    <w:rsid w:val="00A52A5B"/>
    <w:rsid w:val="00A81051"/>
    <w:rsid w:val="00AC1089"/>
    <w:rsid w:val="00B41364"/>
    <w:rsid w:val="00B63149"/>
    <w:rsid w:val="00B77734"/>
    <w:rsid w:val="00B878F0"/>
    <w:rsid w:val="00CC7FA9"/>
    <w:rsid w:val="00CE4B88"/>
    <w:rsid w:val="00D1062F"/>
    <w:rsid w:val="00D1276D"/>
    <w:rsid w:val="00D9131D"/>
    <w:rsid w:val="00D93D39"/>
    <w:rsid w:val="00DC48D3"/>
    <w:rsid w:val="00E10AA8"/>
    <w:rsid w:val="00E41821"/>
    <w:rsid w:val="00E419D2"/>
    <w:rsid w:val="00E43EB7"/>
    <w:rsid w:val="00EB31FB"/>
    <w:rsid w:val="00EB3FEA"/>
    <w:rsid w:val="00EF46C7"/>
    <w:rsid w:val="00FE3248"/>
    <w:rsid w:val="07322FCE"/>
    <w:rsid w:val="0BE313B5"/>
    <w:rsid w:val="0BF40A83"/>
    <w:rsid w:val="1FF023E4"/>
    <w:rsid w:val="2A3D09A2"/>
    <w:rsid w:val="30EC2E26"/>
    <w:rsid w:val="33F72970"/>
    <w:rsid w:val="376A2396"/>
    <w:rsid w:val="3F8A52EE"/>
    <w:rsid w:val="46CB0CA2"/>
    <w:rsid w:val="53333860"/>
    <w:rsid w:val="5DDC0D30"/>
    <w:rsid w:val="60A556F0"/>
    <w:rsid w:val="62842CAE"/>
    <w:rsid w:val="70FD09C1"/>
    <w:rsid w:val="72553EEA"/>
    <w:rsid w:val="78846FCC"/>
    <w:rsid w:val="7D2E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9"/>
      <w:szCs w:val="29"/>
      <w:lang w:val="zh-CN" w:bidi="zh-CN"/>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character" w:styleId="a7">
    <w:name w:val="Hyperlink"/>
    <w:basedOn w:val="a0"/>
    <w:uiPriority w:val="99"/>
    <w:qFormat/>
    <w:rPr>
      <w:color w:val="0000FF"/>
      <w:u w:val="single"/>
    </w:rPr>
  </w:style>
  <w:style w:type="paragraph" w:styleId="a8">
    <w:name w:val="Balloon Text"/>
    <w:basedOn w:val="a"/>
    <w:link w:val="Char1"/>
    <w:rsid w:val="00B41364"/>
    <w:rPr>
      <w:sz w:val="18"/>
      <w:szCs w:val="18"/>
    </w:rPr>
  </w:style>
  <w:style w:type="character" w:customStyle="1" w:styleId="Char1">
    <w:name w:val="批注框文本 Char"/>
    <w:basedOn w:val="a0"/>
    <w:link w:val="a8"/>
    <w:rsid w:val="00B41364"/>
    <w:rPr>
      <w:rFonts w:ascii="Calibri" w:eastAsia="宋体" w:hAnsi="Calibri" w:cs="Times New Roman"/>
      <w:kern w:val="2"/>
      <w:sz w:val="18"/>
      <w:szCs w:val="18"/>
    </w:rPr>
  </w:style>
  <w:style w:type="paragraph" w:styleId="a9">
    <w:name w:val="List Paragraph"/>
    <w:basedOn w:val="a"/>
    <w:uiPriority w:val="34"/>
    <w:qFormat/>
    <w:rsid w:val="00B41364"/>
    <w:pPr>
      <w:ind w:firstLineChars="200" w:firstLine="420"/>
    </w:pPr>
    <w:rPr>
      <w:rFonts w:asciiTheme="minorHAnsi" w:eastAsiaTheme="minorEastAsia" w:hAnsiTheme="minorHAnsi" w:cstheme="minorBidi"/>
      <w:szCs w:val="22"/>
    </w:rPr>
  </w:style>
  <w:style w:type="table" w:styleId="aa">
    <w:name w:val="Table Grid"/>
    <w:basedOn w:val="a1"/>
    <w:rsid w:val="009A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946C99"/>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uiPriority w:val="99"/>
    <w:rsid w:val="00B77734"/>
    <w:rPr>
      <w:rFonts w:ascii="Calibri" w:eastAsia="宋体" w:hAnsi="Calibri" w:cs="Times New Roman"/>
      <w:kern w:val="2"/>
      <w:sz w:val="18"/>
      <w:szCs w:val="24"/>
    </w:rPr>
  </w:style>
  <w:style w:type="character" w:customStyle="1" w:styleId="Char">
    <w:name w:val="页脚 Char"/>
    <w:basedOn w:val="a0"/>
    <w:link w:val="a4"/>
    <w:uiPriority w:val="99"/>
    <w:rsid w:val="00B77734"/>
    <w:rPr>
      <w:rFonts w:ascii="Calibri" w:eastAsia="宋体" w:hAnsi="Calibri" w:cs="Times New Roman"/>
      <w:kern w:val="2"/>
      <w:sz w:val="18"/>
      <w:szCs w:val="24"/>
    </w:rPr>
  </w:style>
  <w:style w:type="numbering" w:customStyle="1" w:styleId="1">
    <w:name w:val="无列表1"/>
    <w:next w:val="a2"/>
    <w:uiPriority w:val="99"/>
    <w:semiHidden/>
    <w:unhideWhenUsed/>
    <w:rsid w:val="00B77734"/>
  </w:style>
  <w:style w:type="paragraph" w:styleId="ac">
    <w:name w:val="Date"/>
    <w:basedOn w:val="a"/>
    <w:next w:val="a"/>
    <w:link w:val="Char2"/>
    <w:rsid w:val="00B77734"/>
    <w:pPr>
      <w:ind w:leftChars="2500" w:left="100"/>
    </w:pPr>
    <w:rPr>
      <w:rFonts w:ascii="Times New Roman" w:eastAsia="仿宋_GB2312" w:hAnsi="Times New Roman"/>
      <w:sz w:val="32"/>
      <w:szCs w:val="32"/>
    </w:rPr>
  </w:style>
  <w:style w:type="character" w:customStyle="1" w:styleId="Char2">
    <w:name w:val="日期 Char"/>
    <w:basedOn w:val="a0"/>
    <w:link w:val="ac"/>
    <w:rsid w:val="00B77734"/>
    <w:rPr>
      <w:rFonts w:ascii="Times New Roman" w:eastAsia="仿宋_GB2312" w:hAnsi="Times New Roman" w:cs="Times New Roman"/>
      <w:kern w:val="2"/>
      <w:sz w:val="32"/>
      <w:szCs w:val="32"/>
    </w:rPr>
  </w:style>
  <w:style w:type="paragraph" w:customStyle="1" w:styleId="p0">
    <w:name w:val="p0"/>
    <w:basedOn w:val="a"/>
    <w:rsid w:val="00B77734"/>
    <w:pPr>
      <w:widowControl/>
    </w:pPr>
    <w:rPr>
      <w:rFonts w:ascii="Times New Roman" w:hAnsi="Times New Roman"/>
      <w:kern w:val="0"/>
      <w:szCs w:val="21"/>
    </w:rPr>
  </w:style>
  <w:style w:type="paragraph" w:customStyle="1" w:styleId="Char3">
    <w:name w:val="Char"/>
    <w:basedOn w:val="a"/>
    <w:rsid w:val="00B77734"/>
    <w:pPr>
      <w:widowControl/>
      <w:spacing w:after="160" w:line="240" w:lineRule="exact"/>
      <w:jc w:val="left"/>
    </w:pPr>
    <w:rPr>
      <w:rFonts w:ascii="Verdana" w:eastAsia="仿宋_GB2312" w:hAnsi="Verdana"/>
      <w:kern w:val="0"/>
      <w:sz w:val="24"/>
      <w:szCs w:val="32"/>
      <w:lang w:eastAsia="en-US"/>
    </w:rPr>
  </w:style>
  <w:style w:type="character" w:styleId="ad">
    <w:name w:val="FollowedHyperlink"/>
    <w:basedOn w:val="a0"/>
    <w:uiPriority w:val="99"/>
    <w:unhideWhenUsed/>
    <w:rsid w:val="00B77734"/>
    <w:rPr>
      <w:color w:val="800080"/>
      <w:u w:val="single"/>
    </w:rPr>
  </w:style>
  <w:style w:type="paragraph" w:customStyle="1" w:styleId="font5">
    <w:name w:val="font5"/>
    <w:basedOn w:val="a"/>
    <w:rsid w:val="00B7773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7773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B7773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xl66">
    <w:name w:val="xl66"/>
    <w:basedOn w:val="a"/>
    <w:rsid w:val="00B7773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rsid w:val="00B77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B77734"/>
    <w:pPr>
      <w:widowControl/>
      <w:spacing w:before="100" w:beforeAutospacing="1" w:after="100" w:afterAutospacing="1"/>
      <w:jc w:val="center"/>
    </w:pPr>
    <w:rPr>
      <w:rFonts w:ascii="宋体" w:hAnsi="宋体" w:cs="宋体"/>
      <w:kern w:val="0"/>
      <w:sz w:val="24"/>
    </w:rPr>
  </w:style>
  <w:style w:type="paragraph" w:customStyle="1" w:styleId="18">
    <w:name w:val="18"/>
    <w:basedOn w:val="a"/>
    <w:rsid w:val="00B77734"/>
    <w:pPr>
      <w:widowControl/>
      <w:spacing w:before="100" w:beforeAutospacing="1" w:after="100" w:afterAutospacing="1"/>
      <w:jc w:val="left"/>
    </w:pPr>
    <w:rPr>
      <w:rFonts w:ascii="宋体" w:hAnsi="宋体" w:cs="宋体"/>
      <w:kern w:val="0"/>
      <w:sz w:val="24"/>
    </w:rPr>
  </w:style>
  <w:style w:type="paragraph" w:customStyle="1" w:styleId="p17">
    <w:name w:val="p17"/>
    <w:basedOn w:val="a"/>
    <w:rsid w:val="00B77734"/>
    <w:pPr>
      <w:widowControl/>
      <w:spacing w:before="100" w:after="100"/>
      <w:jc w:val="left"/>
    </w:pPr>
    <w:rPr>
      <w:rFonts w:ascii="宋体" w:hAnsi="宋体" w:cs="宋体"/>
      <w:kern w:val="0"/>
      <w:sz w:val="24"/>
    </w:rPr>
  </w:style>
  <w:style w:type="paragraph" w:customStyle="1" w:styleId="16">
    <w:name w:val="16"/>
    <w:basedOn w:val="a"/>
    <w:rsid w:val="00B7773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 w:val="29"/>
      <w:szCs w:val="29"/>
      <w:lang w:val="zh-CN" w:bidi="zh-CN"/>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character" w:styleId="a7">
    <w:name w:val="Hyperlink"/>
    <w:basedOn w:val="a0"/>
    <w:uiPriority w:val="99"/>
    <w:qFormat/>
    <w:rPr>
      <w:color w:val="0000FF"/>
      <w:u w:val="single"/>
    </w:rPr>
  </w:style>
  <w:style w:type="paragraph" w:styleId="a8">
    <w:name w:val="Balloon Text"/>
    <w:basedOn w:val="a"/>
    <w:link w:val="Char1"/>
    <w:rsid w:val="00B41364"/>
    <w:rPr>
      <w:sz w:val="18"/>
      <w:szCs w:val="18"/>
    </w:rPr>
  </w:style>
  <w:style w:type="character" w:customStyle="1" w:styleId="Char1">
    <w:name w:val="批注框文本 Char"/>
    <w:basedOn w:val="a0"/>
    <w:link w:val="a8"/>
    <w:rsid w:val="00B41364"/>
    <w:rPr>
      <w:rFonts w:ascii="Calibri" w:eastAsia="宋体" w:hAnsi="Calibri" w:cs="Times New Roman"/>
      <w:kern w:val="2"/>
      <w:sz w:val="18"/>
      <w:szCs w:val="18"/>
    </w:rPr>
  </w:style>
  <w:style w:type="paragraph" w:styleId="a9">
    <w:name w:val="List Paragraph"/>
    <w:basedOn w:val="a"/>
    <w:uiPriority w:val="34"/>
    <w:qFormat/>
    <w:rsid w:val="00B41364"/>
    <w:pPr>
      <w:ind w:firstLineChars="200" w:firstLine="420"/>
    </w:pPr>
    <w:rPr>
      <w:rFonts w:asciiTheme="minorHAnsi" w:eastAsiaTheme="minorEastAsia" w:hAnsiTheme="minorHAnsi" w:cstheme="minorBidi"/>
      <w:szCs w:val="22"/>
    </w:rPr>
  </w:style>
  <w:style w:type="table" w:styleId="aa">
    <w:name w:val="Table Grid"/>
    <w:basedOn w:val="a1"/>
    <w:rsid w:val="009A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rsid w:val="00946C99"/>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5"/>
    <w:uiPriority w:val="99"/>
    <w:rsid w:val="00B77734"/>
    <w:rPr>
      <w:rFonts w:ascii="Calibri" w:eastAsia="宋体" w:hAnsi="Calibri" w:cs="Times New Roman"/>
      <w:kern w:val="2"/>
      <w:sz w:val="18"/>
      <w:szCs w:val="24"/>
    </w:rPr>
  </w:style>
  <w:style w:type="character" w:customStyle="1" w:styleId="Char">
    <w:name w:val="页脚 Char"/>
    <w:basedOn w:val="a0"/>
    <w:link w:val="a4"/>
    <w:uiPriority w:val="99"/>
    <w:rsid w:val="00B77734"/>
    <w:rPr>
      <w:rFonts w:ascii="Calibri" w:eastAsia="宋体" w:hAnsi="Calibri" w:cs="Times New Roman"/>
      <w:kern w:val="2"/>
      <w:sz w:val="18"/>
      <w:szCs w:val="24"/>
    </w:rPr>
  </w:style>
  <w:style w:type="numbering" w:customStyle="1" w:styleId="1">
    <w:name w:val="无列表1"/>
    <w:next w:val="a2"/>
    <w:uiPriority w:val="99"/>
    <w:semiHidden/>
    <w:unhideWhenUsed/>
    <w:rsid w:val="00B77734"/>
  </w:style>
  <w:style w:type="paragraph" w:styleId="ac">
    <w:name w:val="Date"/>
    <w:basedOn w:val="a"/>
    <w:next w:val="a"/>
    <w:link w:val="Char2"/>
    <w:rsid w:val="00B77734"/>
    <w:pPr>
      <w:ind w:leftChars="2500" w:left="100"/>
    </w:pPr>
    <w:rPr>
      <w:rFonts w:ascii="Times New Roman" w:eastAsia="仿宋_GB2312" w:hAnsi="Times New Roman"/>
      <w:sz w:val="32"/>
      <w:szCs w:val="32"/>
    </w:rPr>
  </w:style>
  <w:style w:type="character" w:customStyle="1" w:styleId="Char2">
    <w:name w:val="日期 Char"/>
    <w:basedOn w:val="a0"/>
    <w:link w:val="ac"/>
    <w:rsid w:val="00B77734"/>
    <w:rPr>
      <w:rFonts w:ascii="Times New Roman" w:eastAsia="仿宋_GB2312" w:hAnsi="Times New Roman" w:cs="Times New Roman"/>
      <w:kern w:val="2"/>
      <w:sz w:val="32"/>
      <w:szCs w:val="32"/>
    </w:rPr>
  </w:style>
  <w:style w:type="paragraph" w:customStyle="1" w:styleId="p0">
    <w:name w:val="p0"/>
    <w:basedOn w:val="a"/>
    <w:rsid w:val="00B77734"/>
    <w:pPr>
      <w:widowControl/>
    </w:pPr>
    <w:rPr>
      <w:rFonts w:ascii="Times New Roman" w:hAnsi="Times New Roman"/>
      <w:kern w:val="0"/>
      <w:szCs w:val="21"/>
    </w:rPr>
  </w:style>
  <w:style w:type="paragraph" w:customStyle="1" w:styleId="Char3">
    <w:name w:val="Char"/>
    <w:basedOn w:val="a"/>
    <w:rsid w:val="00B77734"/>
    <w:pPr>
      <w:widowControl/>
      <w:spacing w:after="160" w:line="240" w:lineRule="exact"/>
      <w:jc w:val="left"/>
    </w:pPr>
    <w:rPr>
      <w:rFonts w:ascii="Verdana" w:eastAsia="仿宋_GB2312" w:hAnsi="Verdana"/>
      <w:kern w:val="0"/>
      <w:sz w:val="24"/>
      <w:szCs w:val="32"/>
      <w:lang w:eastAsia="en-US"/>
    </w:rPr>
  </w:style>
  <w:style w:type="character" w:styleId="ad">
    <w:name w:val="FollowedHyperlink"/>
    <w:basedOn w:val="a0"/>
    <w:uiPriority w:val="99"/>
    <w:unhideWhenUsed/>
    <w:rsid w:val="00B77734"/>
    <w:rPr>
      <w:color w:val="800080"/>
      <w:u w:val="single"/>
    </w:rPr>
  </w:style>
  <w:style w:type="paragraph" w:customStyle="1" w:styleId="font5">
    <w:name w:val="font5"/>
    <w:basedOn w:val="a"/>
    <w:rsid w:val="00B77734"/>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7773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B7773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xl66">
    <w:name w:val="xl66"/>
    <w:basedOn w:val="a"/>
    <w:rsid w:val="00B7773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rsid w:val="00B777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B77734"/>
    <w:pPr>
      <w:widowControl/>
      <w:spacing w:before="100" w:beforeAutospacing="1" w:after="100" w:afterAutospacing="1"/>
      <w:jc w:val="center"/>
    </w:pPr>
    <w:rPr>
      <w:rFonts w:ascii="宋体" w:hAnsi="宋体" w:cs="宋体"/>
      <w:kern w:val="0"/>
      <w:sz w:val="24"/>
    </w:rPr>
  </w:style>
  <w:style w:type="paragraph" w:customStyle="1" w:styleId="18">
    <w:name w:val="18"/>
    <w:basedOn w:val="a"/>
    <w:rsid w:val="00B77734"/>
    <w:pPr>
      <w:widowControl/>
      <w:spacing w:before="100" w:beforeAutospacing="1" w:after="100" w:afterAutospacing="1"/>
      <w:jc w:val="left"/>
    </w:pPr>
    <w:rPr>
      <w:rFonts w:ascii="宋体" w:hAnsi="宋体" w:cs="宋体"/>
      <w:kern w:val="0"/>
      <w:sz w:val="24"/>
    </w:rPr>
  </w:style>
  <w:style w:type="paragraph" w:customStyle="1" w:styleId="p17">
    <w:name w:val="p17"/>
    <w:basedOn w:val="a"/>
    <w:rsid w:val="00B77734"/>
    <w:pPr>
      <w:widowControl/>
      <w:spacing w:before="100" w:after="100"/>
      <w:jc w:val="left"/>
    </w:pPr>
    <w:rPr>
      <w:rFonts w:ascii="宋体" w:hAnsi="宋体" w:cs="宋体"/>
      <w:kern w:val="0"/>
      <w:sz w:val="24"/>
    </w:rPr>
  </w:style>
  <w:style w:type="paragraph" w:customStyle="1" w:styleId="16">
    <w:name w:val="16"/>
    <w:basedOn w:val="a"/>
    <w:rsid w:val="00B7773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7781">
      <w:bodyDiv w:val="1"/>
      <w:marLeft w:val="0"/>
      <w:marRight w:val="0"/>
      <w:marTop w:val="0"/>
      <w:marBottom w:val="0"/>
      <w:divBdr>
        <w:top w:val="none" w:sz="0" w:space="0" w:color="auto"/>
        <w:left w:val="none" w:sz="0" w:space="0" w:color="auto"/>
        <w:bottom w:val="none" w:sz="0" w:space="0" w:color="auto"/>
        <w:right w:val="none" w:sz="0" w:space="0" w:color="auto"/>
      </w:divBdr>
    </w:div>
    <w:div w:id="195436900">
      <w:bodyDiv w:val="1"/>
      <w:marLeft w:val="0"/>
      <w:marRight w:val="0"/>
      <w:marTop w:val="0"/>
      <w:marBottom w:val="0"/>
      <w:divBdr>
        <w:top w:val="none" w:sz="0" w:space="0" w:color="auto"/>
        <w:left w:val="none" w:sz="0" w:space="0" w:color="auto"/>
        <w:bottom w:val="none" w:sz="0" w:space="0" w:color="auto"/>
        <w:right w:val="none" w:sz="0" w:space="0" w:color="auto"/>
      </w:divBdr>
    </w:div>
    <w:div w:id="304626285">
      <w:bodyDiv w:val="1"/>
      <w:marLeft w:val="0"/>
      <w:marRight w:val="0"/>
      <w:marTop w:val="0"/>
      <w:marBottom w:val="0"/>
      <w:divBdr>
        <w:top w:val="none" w:sz="0" w:space="0" w:color="auto"/>
        <w:left w:val="none" w:sz="0" w:space="0" w:color="auto"/>
        <w:bottom w:val="none" w:sz="0" w:space="0" w:color="auto"/>
        <w:right w:val="none" w:sz="0" w:space="0" w:color="auto"/>
      </w:divBdr>
    </w:div>
    <w:div w:id="324625010">
      <w:bodyDiv w:val="1"/>
      <w:marLeft w:val="0"/>
      <w:marRight w:val="0"/>
      <w:marTop w:val="0"/>
      <w:marBottom w:val="0"/>
      <w:divBdr>
        <w:top w:val="none" w:sz="0" w:space="0" w:color="auto"/>
        <w:left w:val="none" w:sz="0" w:space="0" w:color="auto"/>
        <w:bottom w:val="none" w:sz="0" w:space="0" w:color="auto"/>
        <w:right w:val="none" w:sz="0" w:space="0" w:color="auto"/>
      </w:divBdr>
    </w:div>
    <w:div w:id="372779023">
      <w:bodyDiv w:val="1"/>
      <w:marLeft w:val="0"/>
      <w:marRight w:val="0"/>
      <w:marTop w:val="0"/>
      <w:marBottom w:val="0"/>
      <w:divBdr>
        <w:top w:val="none" w:sz="0" w:space="0" w:color="auto"/>
        <w:left w:val="none" w:sz="0" w:space="0" w:color="auto"/>
        <w:bottom w:val="none" w:sz="0" w:space="0" w:color="auto"/>
        <w:right w:val="none" w:sz="0" w:space="0" w:color="auto"/>
      </w:divBdr>
    </w:div>
    <w:div w:id="529149989">
      <w:bodyDiv w:val="1"/>
      <w:marLeft w:val="0"/>
      <w:marRight w:val="0"/>
      <w:marTop w:val="0"/>
      <w:marBottom w:val="0"/>
      <w:divBdr>
        <w:top w:val="none" w:sz="0" w:space="0" w:color="auto"/>
        <w:left w:val="none" w:sz="0" w:space="0" w:color="auto"/>
        <w:bottom w:val="none" w:sz="0" w:space="0" w:color="auto"/>
        <w:right w:val="none" w:sz="0" w:space="0" w:color="auto"/>
      </w:divBdr>
    </w:div>
    <w:div w:id="1089035182">
      <w:bodyDiv w:val="1"/>
      <w:marLeft w:val="0"/>
      <w:marRight w:val="0"/>
      <w:marTop w:val="0"/>
      <w:marBottom w:val="0"/>
      <w:divBdr>
        <w:top w:val="none" w:sz="0" w:space="0" w:color="auto"/>
        <w:left w:val="none" w:sz="0" w:space="0" w:color="auto"/>
        <w:bottom w:val="none" w:sz="0" w:space="0" w:color="auto"/>
        <w:right w:val="none" w:sz="0" w:space="0" w:color="auto"/>
      </w:divBdr>
    </w:div>
    <w:div w:id="1283612120">
      <w:bodyDiv w:val="1"/>
      <w:marLeft w:val="0"/>
      <w:marRight w:val="0"/>
      <w:marTop w:val="0"/>
      <w:marBottom w:val="0"/>
      <w:divBdr>
        <w:top w:val="none" w:sz="0" w:space="0" w:color="auto"/>
        <w:left w:val="none" w:sz="0" w:space="0" w:color="auto"/>
        <w:bottom w:val="none" w:sz="0" w:space="0" w:color="auto"/>
        <w:right w:val="none" w:sz="0" w:space="0" w:color="auto"/>
      </w:divBdr>
    </w:div>
    <w:div w:id="1285499192">
      <w:bodyDiv w:val="1"/>
      <w:marLeft w:val="0"/>
      <w:marRight w:val="0"/>
      <w:marTop w:val="0"/>
      <w:marBottom w:val="0"/>
      <w:divBdr>
        <w:top w:val="none" w:sz="0" w:space="0" w:color="auto"/>
        <w:left w:val="none" w:sz="0" w:space="0" w:color="auto"/>
        <w:bottom w:val="none" w:sz="0" w:space="0" w:color="auto"/>
        <w:right w:val="none" w:sz="0" w:space="0" w:color="auto"/>
      </w:divBdr>
    </w:div>
    <w:div w:id="1450736188">
      <w:bodyDiv w:val="1"/>
      <w:marLeft w:val="0"/>
      <w:marRight w:val="0"/>
      <w:marTop w:val="0"/>
      <w:marBottom w:val="0"/>
      <w:divBdr>
        <w:top w:val="none" w:sz="0" w:space="0" w:color="auto"/>
        <w:left w:val="none" w:sz="0" w:space="0" w:color="auto"/>
        <w:bottom w:val="none" w:sz="0" w:space="0" w:color="auto"/>
        <w:right w:val="none" w:sz="0" w:space="0" w:color="auto"/>
      </w:divBdr>
    </w:div>
    <w:div w:id="1635016706">
      <w:bodyDiv w:val="1"/>
      <w:marLeft w:val="0"/>
      <w:marRight w:val="0"/>
      <w:marTop w:val="0"/>
      <w:marBottom w:val="0"/>
      <w:divBdr>
        <w:top w:val="none" w:sz="0" w:space="0" w:color="auto"/>
        <w:left w:val="none" w:sz="0" w:space="0" w:color="auto"/>
        <w:bottom w:val="none" w:sz="0" w:space="0" w:color="auto"/>
        <w:right w:val="none" w:sz="0" w:space="0" w:color="auto"/>
      </w:divBdr>
    </w:div>
    <w:div w:id="1960605225">
      <w:bodyDiv w:val="1"/>
      <w:marLeft w:val="0"/>
      <w:marRight w:val="0"/>
      <w:marTop w:val="0"/>
      <w:marBottom w:val="0"/>
      <w:divBdr>
        <w:top w:val="none" w:sz="0" w:space="0" w:color="auto"/>
        <w:left w:val="none" w:sz="0" w:space="0" w:color="auto"/>
        <w:bottom w:val="none" w:sz="0" w:space="0" w:color="auto"/>
        <w:right w:val="none" w:sz="0" w:space="0" w:color="auto"/>
      </w:divBdr>
    </w:div>
    <w:div w:id="209670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43</cp:revision>
  <cp:lastPrinted>2021-01-08T06:53:00Z</cp:lastPrinted>
  <dcterms:created xsi:type="dcterms:W3CDTF">2014-10-29T12:08:00Z</dcterms:created>
  <dcterms:modified xsi:type="dcterms:W3CDTF">2021-01-08T07:47:00Z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