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3" w:firstLineChars="20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highlight w:val="none"/>
          <w:lang w:val="en-US" w:eastAsia="zh-CN"/>
        </w:rPr>
        <w:t>耕地质量提升计划政策措施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中共中央 国务院关于加强耕地保护和改进占补平衡的意见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(中发〔2017〕4号)、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山东省国土资源厅关于改进管理方式切实落实耕地占补平衡的通知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》（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鲁国土资发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〔2018〕9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号）、《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山东省自然资源厅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 xml:space="preserve"> 山东省财政厅关于规范和改进耕地占补平衡管理工作的通知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》（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鲁自然资规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〔2019〕5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</w:rPr>
        <w:t>号）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等文件精神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进行耕地质量提升。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1ZTAxYWI4YTJiOGE0YmRlOTA5ZjM1ZGI1MjRiZDYifQ=="/>
  </w:docVars>
  <w:rsids>
    <w:rsidRoot w:val="00000000"/>
    <w:rsid w:val="6F77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2022-05-19T02:54:09Z</dcterms:created>
  <dc:creator>Administrator</dc:creator>
  <cp:lastModifiedBy>小辉煌～</cp:lastModifiedBy>
  <dcterms:modified xsi:type="dcterms:W3CDTF">2022-05-19T02:57:06Z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ADC59022D3284BA8939FF484175D46B3</vt:lpwstr>
  </property>
</Properties>
</file>