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jc w:val="center"/>
        <w:rPr>
          <w:rFonts w:ascii="Times New Roman" w:hAnsi="Times New Roman" w:eastAsia="方正小标宋_GBK" w:cs="Times New Roman"/>
          <w:color w:val="000000"/>
          <w:sz w:val="44"/>
          <w:szCs w:val="44"/>
        </w:rPr>
      </w:pPr>
      <w:bookmarkStart w:id="0" w:name="_GoBack"/>
      <w:r>
        <w:rPr>
          <w:rFonts w:hint="eastAsia" w:ascii="Times New Roman" w:hAnsi="Times New Roman" w:eastAsia="方正小标宋_GBK" w:cs="Times New Roman"/>
          <w:color w:val="000000"/>
          <w:sz w:val="44"/>
          <w:szCs w:val="44"/>
          <w:lang w:val="en-US" w:eastAsia="zh-CN"/>
        </w:rPr>
        <w:t>昌乐县</w:t>
      </w:r>
      <w:bookmarkEnd w:id="0"/>
      <w:r>
        <w:rPr>
          <w:rFonts w:hint="default" w:ascii="Times New Roman" w:hAnsi="Times New Roman" w:eastAsia="方正小标宋_GBK" w:cs="Times New Roman"/>
          <w:color w:val="000000"/>
          <w:sz w:val="44"/>
          <w:szCs w:val="44"/>
        </w:rPr>
        <w:t>自然资源领域基层政务公开标准目录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654"/>
        <w:gridCol w:w="1118"/>
        <w:gridCol w:w="2014"/>
        <w:gridCol w:w="2050"/>
        <w:gridCol w:w="1295"/>
        <w:gridCol w:w="1200"/>
        <w:gridCol w:w="2987"/>
        <w:gridCol w:w="354"/>
        <w:gridCol w:w="409"/>
        <w:gridCol w:w="423"/>
        <w:gridCol w:w="396"/>
        <w:gridCol w:w="436"/>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restart"/>
            <w:noWrap w:val="0"/>
            <w:vAlign w:val="center"/>
          </w:tcPr>
          <w:p>
            <w:pPr>
              <w:widowControl/>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序号</w:t>
            </w:r>
          </w:p>
        </w:tc>
        <w:tc>
          <w:tcPr>
            <w:tcW w:w="1772" w:type="dxa"/>
            <w:gridSpan w:val="2"/>
            <w:noWrap w:val="0"/>
            <w:vAlign w:val="center"/>
          </w:tcPr>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公开事项</w:t>
            </w:r>
          </w:p>
        </w:tc>
        <w:tc>
          <w:tcPr>
            <w:tcW w:w="2014" w:type="dxa"/>
            <w:vMerge w:val="restart"/>
            <w:noWrap w:val="0"/>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公开内容</w:t>
            </w:r>
          </w:p>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（要素）</w:t>
            </w:r>
          </w:p>
        </w:tc>
        <w:tc>
          <w:tcPr>
            <w:tcW w:w="2050" w:type="dxa"/>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公开依据</w:t>
            </w:r>
          </w:p>
        </w:tc>
        <w:tc>
          <w:tcPr>
            <w:tcW w:w="1295"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公开时限</w:t>
            </w:r>
          </w:p>
        </w:tc>
        <w:tc>
          <w:tcPr>
            <w:tcW w:w="1200" w:type="dxa"/>
            <w:vMerge w:val="restart"/>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公开主体</w:t>
            </w:r>
          </w:p>
        </w:tc>
        <w:tc>
          <w:tcPr>
            <w:tcW w:w="2987" w:type="dxa"/>
            <w:vMerge w:val="restart"/>
            <w:noWrap w:val="0"/>
            <w:vAlign w:val="center"/>
          </w:tcPr>
          <w:p>
            <w:pPr>
              <w:adjustRightInd w:val="0"/>
              <w:snapToGrid w:val="0"/>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公开渠道和载体</w:t>
            </w:r>
          </w:p>
        </w:tc>
        <w:tc>
          <w:tcPr>
            <w:tcW w:w="763" w:type="dxa"/>
            <w:gridSpan w:val="2"/>
            <w:noWrap w:val="0"/>
            <w:vAlign w:val="center"/>
          </w:tcPr>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公开对象</w:t>
            </w:r>
          </w:p>
        </w:tc>
        <w:tc>
          <w:tcPr>
            <w:tcW w:w="819"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公开方式</w:t>
            </w:r>
          </w:p>
        </w:tc>
        <w:tc>
          <w:tcPr>
            <w:tcW w:w="841" w:type="dxa"/>
            <w:gridSpan w:val="2"/>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noWrap w:val="0"/>
            <w:vAlign w:val="center"/>
          </w:tcPr>
          <w:p>
            <w:pPr>
              <w:jc w:val="center"/>
              <w:rPr>
                <w:rFonts w:hint="eastAsia" w:ascii="宋体" w:hAnsi="宋体" w:eastAsia="宋体" w:cs="宋体"/>
                <w:color w:val="auto"/>
                <w:sz w:val="21"/>
                <w:szCs w:val="21"/>
              </w:rPr>
            </w:pPr>
          </w:p>
        </w:tc>
        <w:tc>
          <w:tcPr>
            <w:tcW w:w="654" w:type="dxa"/>
            <w:noWrap w:val="0"/>
            <w:vAlign w:val="center"/>
          </w:tcPr>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一级事项</w:t>
            </w:r>
          </w:p>
        </w:tc>
        <w:tc>
          <w:tcPr>
            <w:tcW w:w="1118" w:type="dxa"/>
            <w:noWrap w:val="0"/>
            <w:vAlign w:val="center"/>
          </w:tcPr>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二级</w:t>
            </w:r>
          </w:p>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事项</w:t>
            </w:r>
          </w:p>
        </w:tc>
        <w:tc>
          <w:tcPr>
            <w:tcW w:w="2014" w:type="dxa"/>
            <w:vMerge w:val="continue"/>
            <w:noWrap w:val="0"/>
            <w:vAlign w:val="center"/>
          </w:tcPr>
          <w:p>
            <w:pPr>
              <w:jc w:val="center"/>
              <w:rPr>
                <w:rFonts w:hint="eastAsia" w:ascii="宋体" w:hAnsi="宋体" w:eastAsia="宋体" w:cs="宋体"/>
                <w:color w:val="auto"/>
                <w:sz w:val="21"/>
                <w:szCs w:val="21"/>
              </w:rPr>
            </w:pPr>
          </w:p>
        </w:tc>
        <w:tc>
          <w:tcPr>
            <w:tcW w:w="2050" w:type="dxa"/>
            <w:vMerge w:val="continue"/>
            <w:noWrap w:val="0"/>
            <w:vAlign w:val="center"/>
          </w:tcPr>
          <w:p>
            <w:pPr>
              <w:adjustRightInd w:val="0"/>
              <w:snapToGrid w:val="0"/>
              <w:spacing w:line="276" w:lineRule="auto"/>
              <w:jc w:val="center"/>
              <w:rPr>
                <w:rFonts w:hint="eastAsia" w:ascii="宋体" w:hAnsi="宋体" w:eastAsia="宋体" w:cs="宋体"/>
                <w:color w:val="auto"/>
                <w:sz w:val="21"/>
                <w:szCs w:val="21"/>
              </w:rPr>
            </w:pPr>
          </w:p>
        </w:tc>
        <w:tc>
          <w:tcPr>
            <w:tcW w:w="1295" w:type="dxa"/>
            <w:vMerge w:val="continue"/>
            <w:noWrap w:val="0"/>
            <w:vAlign w:val="center"/>
          </w:tcPr>
          <w:p>
            <w:pPr>
              <w:rPr>
                <w:rFonts w:hint="eastAsia" w:ascii="宋体" w:hAnsi="宋体" w:eastAsia="宋体" w:cs="宋体"/>
                <w:color w:val="auto"/>
                <w:sz w:val="21"/>
                <w:szCs w:val="21"/>
              </w:rPr>
            </w:pPr>
          </w:p>
        </w:tc>
        <w:tc>
          <w:tcPr>
            <w:tcW w:w="1200" w:type="dxa"/>
            <w:vMerge w:val="continue"/>
            <w:noWrap w:val="0"/>
            <w:vAlign w:val="center"/>
          </w:tcPr>
          <w:p>
            <w:pPr>
              <w:jc w:val="center"/>
              <w:rPr>
                <w:rFonts w:hint="eastAsia" w:ascii="宋体" w:hAnsi="宋体" w:eastAsia="宋体" w:cs="宋体"/>
                <w:color w:val="auto"/>
                <w:sz w:val="21"/>
                <w:szCs w:val="21"/>
              </w:rPr>
            </w:pPr>
          </w:p>
        </w:tc>
        <w:tc>
          <w:tcPr>
            <w:tcW w:w="2987" w:type="dxa"/>
            <w:vMerge w:val="continue"/>
            <w:noWrap w:val="0"/>
            <w:vAlign w:val="center"/>
          </w:tcPr>
          <w:p>
            <w:pPr>
              <w:adjustRightInd w:val="0"/>
              <w:snapToGrid w:val="0"/>
              <w:spacing w:line="300" w:lineRule="auto"/>
              <w:jc w:val="left"/>
              <w:rPr>
                <w:rFonts w:hint="eastAsia" w:ascii="宋体" w:hAnsi="宋体" w:eastAsia="宋体" w:cs="宋体"/>
                <w:color w:val="auto"/>
                <w:sz w:val="21"/>
                <w:szCs w:val="21"/>
              </w:rPr>
            </w:pPr>
          </w:p>
        </w:tc>
        <w:tc>
          <w:tcPr>
            <w:tcW w:w="354" w:type="dxa"/>
            <w:noWrap w:val="0"/>
            <w:vAlign w:val="center"/>
          </w:tcPr>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全社会</w:t>
            </w:r>
          </w:p>
        </w:tc>
        <w:tc>
          <w:tcPr>
            <w:tcW w:w="409" w:type="dxa"/>
            <w:noWrap w:val="0"/>
            <w:vAlign w:val="center"/>
          </w:tcPr>
          <w:p>
            <w:pPr>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特定群体</w:t>
            </w:r>
          </w:p>
        </w:tc>
        <w:tc>
          <w:tcPr>
            <w:tcW w:w="423"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主动</w:t>
            </w:r>
          </w:p>
        </w:tc>
        <w:tc>
          <w:tcPr>
            <w:tcW w:w="39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依申请</w:t>
            </w:r>
          </w:p>
        </w:tc>
        <w:tc>
          <w:tcPr>
            <w:tcW w:w="436"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县级</w:t>
            </w:r>
          </w:p>
        </w:tc>
        <w:tc>
          <w:tcPr>
            <w:tcW w:w="405" w:type="dxa"/>
            <w:noWrap w:val="0"/>
            <w:vAlign w:val="center"/>
          </w:tcPr>
          <w:p>
            <w:pPr>
              <w:jc w:val="center"/>
              <w:rPr>
                <w:rFonts w:hint="eastAsia" w:ascii="宋体" w:hAnsi="宋体" w:eastAsia="宋体" w:cs="宋体"/>
                <w:color w:val="auto"/>
                <w:sz w:val="21"/>
                <w:szCs w:val="21"/>
              </w:rPr>
            </w:pPr>
            <w:r>
              <w:rPr>
                <w:rFonts w:hint="eastAsia" w:ascii="宋体" w:hAnsi="宋体" w:eastAsia="宋体" w:cs="宋体"/>
                <w:b/>
                <w:color w:val="auto"/>
                <w:kern w:val="0"/>
                <w:sz w:val="21"/>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机构信息</w:t>
            </w:r>
          </w:p>
        </w:tc>
        <w:tc>
          <w:tcPr>
            <w:tcW w:w="1118"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自然资源</w:t>
            </w:r>
            <w:r>
              <w:rPr>
                <w:rFonts w:hint="eastAsia" w:ascii="宋体" w:hAnsi="宋体" w:eastAsia="宋体" w:cs="宋体"/>
                <w:color w:val="auto"/>
                <w:kern w:val="0"/>
                <w:sz w:val="21"/>
                <w:szCs w:val="21"/>
                <w:lang w:eastAsia="zh-CN"/>
              </w:rPr>
              <w:t>主管</w:t>
            </w:r>
            <w:r>
              <w:rPr>
                <w:rFonts w:hint="eastAsia" w:ascii="宋体" w:hAnsi="宋体" w:eastAsia="宋体" w:cs="宋体"/>
                <w:color w:val="auto"/>
                <w:kern w:val="0"/>
                <w:sz w:val="21"/>
                <w:szCs w:val="21"/>
              </w:rPr>
              <w:t>部门及派出机构、公共服务机构信息</w:t>
            </w:r>
          </w:p>
        </w:tc>
        <w:tc>
          <w:tcPr>
            <w:tcW w:w="2014"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机构名称、机构职能、内设机构、办公地址、</w:t>
            </w:r>
            <w:r>
              <w:rPr>
                <w:rFonts w:hint="eastAsia" w:ascii="宋体" w:hAnsi="宋体" w:eastAsia="宋体" w:cs="宋体"/>
                <w:color w:val="auto"/>
                <w:kern w:val="0"/>
                <w:sz w:val="21"/>
                <w:szCs w:val="21"/>
                <w:lang w:eastAsia="zh-CN"/>
              </w:rPr>
              <w:t>办公时间、</w:t>
            </w:r>
            <w:r>
              <w:rPr>
                <w:rFonts w:hint="eastAsia" w:ascii="宋体" w:hAnsi="宋体" w:eastAsia="宋体" w:cs="宋体"/>
                <w:color w:val="auto"/>
                <w:kern w:val="0"/>
                <w:sz w:val="21"/>
                <w:szCs w:val="21"/>
              </w:rPr>
              <w:t>办公电话、</w:t>
            </w:r>
            <w:r>
              <w:rPr>
                <w:rFonts w:hint="eastAsia" w:ascii="宋体" w:hAnsi="宋体" w:eastAsia="宋体" w:cs="宋体"/>
                <w:color w:val="auto"/>
                <w:kern w:val="0"/>
                <w:sz w:val="21"/>
                <w:szCs w:val="21"/>
                <w:lang w:eastAsia="zh-CN"/>
              </w:rPr>
              <w:t>负责人姓名、</w:t>
            </w:r>
            <w:r>
              <w:rPr>
                <w:rFonts w:hint="eastAsia" w:ascii="宋体" w:hAnsi="宋体" w:eastAsia="宋体" w:cs="宋体"/>
                <w:color w:val="auto"/>
                <w:kern w:val="0"/>
                <w:sz w:val="21"/>
                <w:szCs w:val="21"/>
              </w:rPr>
              <w:t>权责清单</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《政府信息公开条例》</w:t>
            </w:r>
            <w:r>
              <w:rPr>
                <w:rFonts w:hint="eastAsia" w:ascii="宋体" w:hAnsi="宋体" w:eastAsia="宋体" w:cs="宋体"/>
                <w:color w:val="auto"/>
                <w:kern w:val="0"/>
                <w:sz w:val="21"/>
                <w:szCs w:val="21"/>
                <w:lang w:eastAsia="zh-CN"/>
              </w:rPr>
              <w:t>《关于推行地方各级政府工作部门权力清单制度的指导意见》</w:t>
            </w:r>
            <w:r>
              <w:rPr>
                <w:rFonts w:hint="eastAsia" w:ascii="宋体" w:hAnsi="宋体" w:eastAsia="宋体" w:cs="宋体"/>
                <w:color w:val="auto"/>
                <w:kern w:val="0"/>
                <w:szCs w:val="21"/>
              </w:rPr>
              <w:t>（中办发〔2015〕21号）</w:t>
            </w:r>
          </w:p>
        </w:tc>
        <w:tc>
          <w:tcPr>
            <w:tcW w:w="1295"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jc w:val="center"/>
              <w:rPr>
                <w:rFonts w:hint="eastAsia" w:ascii="宋体" w:hAnsi="宋体" w:eastAsia="宋体" w:cs="宋体"/>
                <w:color w:val="auto"/>
                <w:kern w:val="0"/>
                <w:sz w:val="21"/>
                <w:szCs w:val="21"/>
              </w:rPr>
            </w:pPr>
          </w:p>
        </w:tc>
        <w:tc>
          <w:tcPr>
            <w:tcW w:w="42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jc w:val="center"/>
              <w:rPr>
                <w:rFonts w:hint="eastAsia" w:ascii="宋体" w:hAnsi="宋体" w:eastAsia="宋体" w:cs="宋体"/>
                <w:color w:val="auto"/>
                <w:kern w:val="0"/>
                <w:sz w:val="21"/>
                <w:szCs w:val="21"/>
              </w:rPr>
            </w:pPr>
          </w:p>
        </w:tc>
        <w:tc>
          <w:tcPr>
            <w:tcW w:w="436"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公共服务</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政策</w:t>
            </w:r>
            <w:r>
              <w:rPr>
                <w:rFonts w:hint="eastAsia" w:ascii="宋体" w:hAnsi="宋体" w:eastAsia="宋体" w:cs="宋体"/>
                <w:color w:val="auto"/>
                <w:kern w:val="0"/>
                <w:sz w:val="21"/>
                <w:szCs w:val="21"/>
              </w:rPr>
              <w:t>文件</w:t>
            </w:r>
          </w:p>
        </w:tc>
        <w:tc>
          <w:tcPr>
            <w:tcW w:w="2014"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本级政府及</w:t>
            </w:r>
            <w:r>
              <w:rPr>
                <w:rFonts w:hint="eastAsia" w:ascii="宋体" w:hAnsi="宋体" w:eastAsia="宋体" w:cs="宋体"/>
                <w:color w:val="auto"/>
                <w:kern w:val="0"/>
                <w:sz w:val="21"/>
                <w:szCs w:val="21"/>
              </w:rPr>
              <w:t>自然资源</w:t>
            </w:r>
            <w:r>
              <w:rPr>
                <w:rFonts w:hint="eastAsia" w:ascii="宋体" w:hAnsi="宋体" w:eastAsia="宋体" w:cs="宋体"/>
                <w:color w:val="auto"/>
                <w:kern w:val="0"/>
                <w:sz w:val="21"/>
                <w:szCs w:val="21"/>
                <w:lang w:eastAsia="zh-CN"/>
              </w:rPr>
              <w:t>主管部门出台的自然资源政策文件</w:t>
            </w:r>
            <w:r>
              <w:rPr>
                <w:rFonts w:hint="eastAsia" w:ascii="宋体" w:hAnsi="宋体" w:eastAsia="宋体" w:cs="宋体"/>
                <w:color w:val="auto"/>
                <w:kern w:val="0"/>
                <w:sz w:val="21"/>
                <w:szCs w:val="21"/>
              </w:rPr>
              <w:t>及相关解读</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《政府信息公开条例》《自然资源规范性文件管理规定》（自然资源部令第2号）</w:t>
            </w:r>
          </w:p>
        </w:tc>
        <w:tc>
          <w:tcPr>
            <w:tcW w:w="1295"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 xml:space="preserve"> </w:t>
            </w:r>
          </w:p>
        </w:tc>
        <w:tc>
          <w:tcPr>
            <w:tcW w:w="3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jc w:val="center"/>
              <w:rPr>
                <w:rFonts w:hint="eastAsia" w:ascii="宋体" w:hAnsi="宋体" w:eastAsia="宋体" w:cs="宋体"/>
                <w:color w:val="auto"/>
                <w:kern w:val="0"/>
                <w:sz w:val="21"/>
                <w:szCs w:val="21"/>
              </w:rPr>
            </w:pPr>
          </w:p>
        </w:tc>
        <w:tc>
          <w:tcPr>
            <w:tcW w:w="42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jc w:val="center"/>
              <w:rPr>
                <w:rFonts w:hint="eastAsia" w:ascii="宋体" w:hAnsi="宋体" w:eastAsia="宋体" w:cs="宋体"/>
                <w:color w:val="auto"/>
                <w:kern w:val="0"/>
                <w:sz w:val="21"/>
                <w:szCs w:val="21"/>
              </w:rPr>
            </w:pPr>
          </w:p>
        </w:tc>
        <w:tc>
          <w:tcPr>
            <w:tcW w:w="436"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公共服务</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自然资源领域</w:t>
            </w:r>
            <w:r>
              <w:rPr>
                <w:rFonts w:hint="eastAsia" w:ascii="宋体" w:hAnsi="宋体" w:eastAsia="宋体" w:cs="宋体"/>
                <w:color w:val="auto"/>
                <w:kern w:val="0"/>
                <w:sz w:val="21"/>
                <w:szCs w:val="21"/>
              </w:rPr>
              <w:t>专项规划</w:t>
            </w:r>
          </w:p>
        </w:tc>
        <w:tc>
          <w:tcPr>
            <w:tcW w:w="2014"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矿产资源、</w:t>
            </w:r>
            <w:r>
              <w:rPr>
                <w:rFonts w:hint="eastAsia" w:ascii="宋体" w:hAnsi="宋体" w:eastAsia="宋体" w:cs="宋体"/>
                <w:color w:val="auto"/>
                <w:kern w:val="0"/>
                <w:sz w:val="21"/>
                <w:szCs w:val="21"/>
                <w:lang w:eastAsia="zh-CN"/>
              </w:rPr>
              <w:t>基础测绘</w:t>
            </w:r>
            <w:r>
              <w:rPr>
                <w:rFonts w:hint="eastAsia" w:ascii="宋体" w:hAnsi="宋体" w:eastAsia="宋体" w:cs="宋体"/>
                <w:color w:val="auto"/>
                <w:kern w:val="0"/>
                <w:sz w:val="21"/>
                <w:szCs w:val="21"/>
              </w:rPr>
              <w:t>等规划（涉密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《政府信息公开条例》</w:t>
            </w:r>
            <w:r>
              <w:rPr>
                <w:rFonts w:hint="eastAsia" w:ascii="宋体" w:hAnsi="宋体" w:eastAsia="宋体" w:cs="宋体"/>
                <w:color w:val="auto"/>
                <w:kern w:val="0"/>
                <w:sz w:val="21"/>
                <w:szCs w:val="21"/>
                <w:lang w:eastAsia="zh-CN"/>
              </w:rPr>
              <w:t>《测绘法》</w:t>
            </w:r>
            <w:r>
              <w:rPr>
                <w:rFonts w:hint="eastAsia" w:ascii="宋体" w:hAnsi="宋体" w:eastAsia="宋体" w:cs="宋体"/>
                <w:color w:val="auto"/>
                <w:kern w:val="0"/>
                <w:szCs w:val="21"/>
              </w:rPr>
              <w:t>《矿产资源规划编制实施办法》</w:t>
            </w:r>
          </w:p>
        </w:tc>
        <w:tc>
          <w:tcPr>
            <w:tcW w:w="1295"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jc w:val="center"/>
              <w:rPr>
                <w:rFonts w:hint="eastAsia" w:ascii="宋体" w:hAnsi="宋体" w:eastAsia="宋体" w:cs="宋体"/>
                <w:color w:val="auto"/>
                <w:kern w:val="0"/>
                <w:sz w:val="21"/>
                <w:szCs w:val="21"/>
              </w:rPr>
            </w:pPr>
          </w:p>
        </w:tc>
        <w:tc>
          <w:tcPr>
            <w:tcW w:w="42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jc w:val="center"/>
              <w:rPr>
                <w:rFonts w:hint="eastAsia" w:ascii="宋体" w:hAnsi="宋体" w:eastAsia="宋体" w:cs="宋体"/>
                <w:color w:val="auto"/>
                <w:kern w:val="0"/>
                <w:sz w:val="21"/>
                <w:szCs w:val="21"/>
              </w:rPr>
            </w:pPr>
          </w:p>
        </w:tc>
        <w:tc>
          <w:tcPr>
            <w:tcW w:w="436"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公共服务</w:t>
            </w:r>
          </w:p>
        </w:tc>
        <w:tc>
          <w:tcPr>
            <w:tcW w:w="1118"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重大决策预公开</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自然资源领域重大决策事项的意见征集（含意见的采纳情况）等（依法不予公开的决策事项除外）</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《重大行政决策程序暂行条例》</w:t>
            </w:r>
          </w:p>
        </w:tc>
        <w:tc>
          <w:tcPr>
            <w:tcW w:w="1295" w:type="dxa"/>
            <w:noWrap w:val="0"/>
            <w:vAlign w:val="center"/>
          </w:tcPr>
          <w:p>
            <w:pPr>
              <w:widowControl/>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向社会公开征求意见期限一般不少于</w:t>
            </w:r>
            <w:r>
              <w:rPr>
                <w:rFonts w:hint="eastAsia" w:ascii="宋体" w:hAnsi="宋体" w:eastAsia="宋体" w:cs="宋体"/>
                <w:color w:val="auto"/>
                <w:kern w:val="0"/>
                <w:sz w:val="21"/>
                <w:szCs w:val="21"/>
                <w:lang w:val="en-US" w:eastAsia="zh-CN"/>
              </w:rPr>
              <w:t>30日；因情况紧急等原因需要缩短期限的，公开征求意见时应当予以说明</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5</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公共服务</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回应关切</w:t>
            </w:r>
          </w:p>
        </w:tc>
        <w:tc>
          <w:tcPr>
            <w:tcW w:w="2014"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对涉及到自然资源领域经济社会热点、群众广泛关注的热点、咨询的相关问题等进行回应</w:t>
            </w:r>
            <w:r>
              <w:rPr>
                <w:rFonts w:hint="eastAsia" w:ascii="宋体" w:hAnsi="宋体" w:eastAsia="宋体" w:cs="宋体"/>
                <w:color w:val="auto"/>
                <w:kern w:val="0"/>
                <w:sz w:val="21"/>
                <w:szCs w:val="21"/>
                <w:lang w:eastAsia="zh-CN"/>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《国务院</w:t>
            </w:r>
            <w:r>
              <w:rPr>
                <w:rFonts w:hint="eastAsia" w:ascii="宋体" w:hAnsi="宋体" w:cs="宋体"/>
                <w:color w:val="auto"/>
                <w:kern w:val="0"/>
                <w:sz w:val="21"/>
                <w:szCs w:val="21"/>
                <w:lang w:eastAsia="zh-CN"/>
              </w:rPr>
              <w:t>办公厅</w:t>
            </w:r>
            <w:r>
              <w:rPr>
                <w:rFonts w:hint="eastAsia" w:ascii="宋体" w:hAnsi="宋体" w:eastAsia="宋体" w:cs="宋体"/>
                <w:color w:val="auto"/>
                <w:kern w:val="0"/>
                <w:sz w:val="21"/>
                <w:szCs w:val="21"/>
              </w:rPr>
              <w:t>关于进一步加强政府信息公开回应社会关切提升政府公信力的意见》（国办发〔2013〕100号）《国务院办公厅关于在政务公开工作中进一步做好政务舆情回应的通知》（国办发〔2016〕61号）《国务院办公厅印发&lt;关于全面推进政务公开工作的意见&gt;实施细则的通知》（国办发〔2016〕80号）</w:t>
            </w:r>
          </w:p>
        </w:tc>
        <w:tc>
          <w:tcPr>
            <w:tcW w:w="1295"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及时回应</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6</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公共服务</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办事指南</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适用范围、项目信息、审批依据、受理机构、决定机构、审批数量、申请条件、申请材料、申请接收、办理基本流程、办理方式、办结时限、收费依据及标准、审批结果、结果送达、申请人权利和义务、咨询途径、监督和投诉渠道、办公地址和时间</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《政府信息公开条例》《国务院办公厅关于简化优化公共服务流程方便基层群众办事创业的通知》（国办发〔2015〕86号）</w:t>
            </w:r>
          </w:p>
        </w:tc>
        <w:tc>
          <w:tcPr>
            <w:tcW w:w="1295"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实时公开</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7</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财政</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财政信息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县级</w:t>
            </w:r>
            <w:r>
              <w:rPr>
                <w:rFonts w:hint="eastAsia" w:ascii="宋体" w:hAnsi="宋体" w:eastAsia="宋体" w:cs="宋体"/>
                <w:color w:val="auto"/>
                <w:kern w:val="0"/>
                <w:sz w:val="21"/>
                <w:szCs w:val="21"/>
              </w:rPr>
              <w:t>自然资源</w:t>
            </w:r>
            <w:r>
              <w:rPr>
                <w:rFonts w:hint="eastAsia" w:ascii="宋体" w:hAnsi="宋体" w:eastAsia="宋体" w:cs="宋体"/>
                <w:color w:val="auto"/>
                <w:kern w:val="0"/>
                <w:sz w:val="21"/>
                <w:szCs w:val="21"/>
                <w:lang w:eastAsia="zh-CN"/>
              </w:rPr>
              <w:t>主管</w:t>
            </w:r>
            <w:r>
              <w:rPr>
                <w:rFonts w:hint="eastAsia" w:ascii="宋体" w:hAnsi="宋体" w:eastAsia="宋体" w:cs="宋体"/>
                <w:color w:val="auto"/>
                <w:kern w:val="0"/>
                <w:sz w:val="21"/>
                <w:szCs w:val="21"/>
              </w:rPr>
              <w:t>部门财政预决算及政府</w:t>
            </w:r>
            <w:r>
              <w:rPr>
                <w:rFonts w:hint="eastAsia" w:ascii="宋体" w:hAnsi="宋体" w:eastAsia="宋体" w:cs="宋体"/>
                <w:color w:val="auto"/>
                <w:kern w:val="0"/>
                <w:sz w:val="21"/>
                <w:szCs w:val="21"/>
                <w:lang w:eastAsia="zh-CN"/>
              </w:rPr>
              <w:t>集中</w:t>
            </w:r>
            <w:r>
              <w:rPr>
                <w:rFonts w:hint="eastAsia" w:ascii="宋体" w:hAnsi="宋体" w:eastAsia="宋体" w:cs="宋体"/>
                <w:color w:val="auto"/>
                <w:kern w:val="0"/>
                <w:sz w:val="21"/>
                <w:szCs w:val="21"/>
              </w:rPr>
              <w:t>采购信息</w:t>
            </w:r>
          </w:p>
        </w:tc>
        <w:tc>
          <w:tcPr>
            <w:tcW w:w="2050" w:type="dxa"/>
            <w:noWrap w:val="0"/>
            <w:vAlign w:val="center"/>
          </w:tcPr>
          <w:p>
            <w:pPr>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8</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调查监测</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国土调查</w:t>
            </w:r>
            <w:r>
              <w:rPr>
                <w:rFonts w:hint="eastAsia" w:ascii="宋体" w:hAnsi="宋体" w:eastAsia="宋体" w:cs="宋体"/>
                <w:color w:val="auto"/>
                <w:kern w:val="0"/>
                <w:sz w:val="21"/>
                <w:szCs w:val="21"/>
                <w:lang w:eastAsia="zh-CN"/>
              </w:rPr>
              <w:t>基本信息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国土</w:t>
            </w:r>
            <w:r>
              <w:rPr>
                <w:rFonts w:hint="eastAsia" w:ascii="宋体" w:hAnsi="宋体" w:eastAsia="宋体" w:cs="宋体"/>
                <w:color w:val="auto"/>
                <w:kern w:val="0"/>
                <w:sz w:val="21"/>
                <w:szCs w:val="21"/>
              </w:rPr>
              <w:t>利用现状</w:t>
            </w:r>
            <w:r>
              <w:rPr>
                <w:rFonts w:hint="eastAsia" w:ascii="宋体" w:hAnsi="宋体" w:eastAsia="宋体" w:cs="宋体"/>
                <w:color w:val="auto"/>
                <w:kern w:val="0"/>
                <w:sz w:val="21"/>
                <w:szCs w:val="21"/>
                <w:lang w:eastAsia="zh-CN"/>
              </w:rPr>
              <w:t>主要数据</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《政府信息公开条例》《土地调查条例》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lang w:val="en-US" w:eastAsia="zh-CN"/>
              </w:rPr>
              <w:t>9</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调查监测</w:t>
            </w:r>
          </w:p>
        </w:tc>
        <w:tc>
          <w:tcPr>
            <w:tcW w:w="1118"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国土调查</w:t>
            </w:r>
            <w:r>
              <w:rPr>
                <w:rFonts w:hint="eastAsia" w:ascii="宋体" w:hAnsi="宋体" w:eastAsia="宋体" w:cs="宋体"/>
                <w:color w:val="auto"/>
                <w:kern w:val="0"/>
                <w:sz w:val="21"/>
                <w:szCs w:val="21"/>
                <w:lang w:eastAsia="zh-CN"/>
              </w:rPr>
              <w:t>地类信息</w:t>
            </w:r>
          </w:p>
        </w:tc>
        <w:tc>
          <w:tcPr>
            <w:tcW w:w="2014" w:type="dxa"/>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所辖区域内特定范围或地块的国土调查地类信息（涉密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《政府信息公开条例》《土地调查条例》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收到政府信息公开申请起20个工作日内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p>
        </w:tc>
        <w:tc>
          <w:tcPr>
            <w:tcW w:w="409"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23" w:type="dxa"/>
            <w:noWrap w:val="0"/>
            <w:vAlign w:val="center"/>
          </w:tcPr>
          <w:p>
            <w:pPr>
              <w:widowControl/>
              <w:jc w:val="center"/>
              <w:rPr>
                <w:rFonts w:hint="eastAsia" w:ascii="宋体" w:hAnsi="宋体" w:eastAsia="宋体" w:cs="宋体"/>
                <w:color w:val="auto"/>
                <w:kern w:val="0"/>
                <w:sz w:val="21"/>
                <w:szCs w:val="21"/>
              </w:rPr>
            </w:pPr>
          </w:p>
        </w:tc>
        <w:tc>
          <w:tcPr>
            <w:tcW w:w="39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调查监测</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地理国情监测成果</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地理国情监测信息（涉密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《关于全面开展地理国情监测的指导意见》</w:t>
            </w:r>
            <w:r>
              <w:rPr>
                <w:rFonts w:hint="eastAsia" w:ascii="宋体" w:hAnsi="宋体" w:eastAsia="宋体" w:cs="宋体"/>
                <w:color w:val="auto"/>
                <w:kern w:val="0"/>
                <w:sz w:val="21"/>
                <w:szCs w:val="21"/>
                <w:lang w:eastAsia="zh-CN"/>
              </w:rPr>
              <w:t>（国测国发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8号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确权登记</w:t>
            </w:r>
          </w:p>
        </w:tc>
        <w:tc>
          <w:tcPr>
            <w:tcW w:w="1118"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不动产登记</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不同登记类型申请登记或申请登记资料查询所需的材料目录、示范文本</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办理时限</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收费依据和标准等信息</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《不动产登记暂行条例》《不动产登记暂行条例实施细则》《不动产登记资料查询暂行办法》《国家发展改革委财政部关于不动产登记收费标准等有关问题的通知》</w:t>
            </w:r>
            <w:r>
              <w:rPr>
                <w:rFonts w:hint="eastAsia" w:ascii="宋体" w:hAnsi="宋体" w:eastAsia="宋体" w:cs="宋体"/>
                <w:color w:val="auto"/>
                <w:kern w:val="0"/>
                <w:sz w:val="21"/>
                <w:szCs w:val="21"/>
                <w:lang w:eastAsia="zh-CN"/>
              </w:rPr>
              <w:t>（发改价格规</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2559号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实时公开</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确权登记</w:t>
            </w:r>
          </w:p>
        </w:tc>
        <w:tc>
          <w:tcPr>
            <w:tcW w:w="1118"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自然资源登簿前公告</w:t>
            </w:r>
          </w:p>
        </w:tc>
        <w:tc>
          <w:tcPr>
            <w:tcW w:w="2014"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自然资源拟登簿事项</w:t>
            </w:r>
            <w:r>
              <w:rPr>
                <w:rFonts w:hint="eastAsia" w:ascii="宋体" w:hAnsi="宋体" w:eastAsia="宋体" w:cs="宋体"/>
                <w:color w:val="auto"/>
                <w:kern w:val="0"/>
                <w:sz w:val="21"/>
                <w:szCs w:val="21"/>
              </w:rPr>
              <w:t>（涉及国家秘密以及《不动产登记暂行条例》规定的不动产登记的相关内容除外）</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《自然资源统一确权登记暂行办法》</w:t>
            </w:r>
            <w:r>
              <w:rPr>
                <w:rFonts w:hint="eastAsia" w:ascii="宋体" w:hAnsi="宋体" w:eastAsia="宋体" w:cs="宋体"/>
                <w:color w:val="auto"/>
                <w:kern w:val="0"/>
                <w:sz w:val="21"/>
                <w:szCs w:val="21"/>
                <w:lang w:eastAsia="zh-CN"/>
              </w:rPr>
              <w:t>（自然资发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116号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公告期不少于</w:t>
            </w:r>
            <w:r>
              <w:rPr>
                <w:rFonts w:hint="eastAsia" w:ascii="宋体" w:hAnsi="宋体" w:eastAsia="宋体" w:cs="宋体"/>
                <w:color w:val="auto"/>
                <w:kern w:val="0"/>
                <w:sz w:val="21"/>
                <w:szCs w:val="21"/>
                <w:lang w:val="en-US" w:eastAsia="zh-CN"/>
              </w:rPr>
              <w:t>15个工作日</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确权登记</w:t>
            </w:r>
          </w:p>
        </w:tc>
        <w:tc>
          <w:tcPr>
            <w:tcW w:w="1118"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自然资源</w:t>
            </w:r>
            <w:r>
              <w:rPr>
                <w:rFonts w:hint="eastAsia" w:ascii="宋体" w:hAnsi="宋体" w:eastAsia="宋体" w:cs="宋体"/>
                <w:color w:val="auto"/>
                <w:kern w:val="0"/>
                <w:sz w:val="21"/>
                <w:szCs w:val="21"/>
                <w:lang w:eastAsia="zh-CN"/>
              </w:rPr>
              <w:t>确权登记结果公开</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自然资源登记簿等登记结果信息</w:t>
            </w:r>
            <w:r>
              <w:rPr>
                <w:rFonts w:hint="eastAsia" w:ascii="宋体" w:hAnsi="宋体" w:eastAsia="宋体" w:cs="宋体"/>
                <w:color w:val="auto"/>
                <w:kern w:val="0"/>
                <w:sz w:val="21"/>
                <w:szCs w:val="21"/>
              </w:rPr>
              <w:t>（涉及国家秘密以及《不动产登记暂行条例》规定的不动产登记的相关内容除外）</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《自然资源统一确权登记暂行办法》</w:t>
            </w:r>
            <w:r>
              <w:rPr>
                <w:rFonts w:hint="eastAsia" w:ascii="宋体" w:hAnsi="宋体" w:eastAsia="宋体" w:cs="宋体"/>
                <w:color w:val="auto"/>
                <w:kern w:val="0"/>
                <w:sz w:val="21"/>
                <w:szCs w:val="21"/>
                <w:lang w:eastAsia="zh-CN"/>
              </w:rPr>
              <w:t>（自然资发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116号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1</w:t>
            </w:r>
            <w:r>
              <w:rPr>
                <w:rFonts w:hint="eastAsia" w:ascii="宋体" w:hAnsi="宋体" w:eastAsia="宋体" w:cs="宋体"/>
                <w:color w:val="auto"/>
                <w:kern w:val="0"/>
                <w:sz w:val="21"/>
                <w:szCs w:val="21"/>
                <w:lang w:val="en-US" w:eastAsia="zh-CN"/>
              </w:rPr>
              <w:t>4</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土地供应计划</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国有建设用地供应总量、结构、布局、时序和方式；落实计划供应的宗地等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务院办公厅关于推进公共资源配置领域政府信息公开的意见》（国办发〔2017〕97号）《招标拍卖挂牌出让国有建设用地使用权规定》（国土资源部令第39号）《国有建设用地供应计划编制规范（试行）》（国土资发〔2010〕117号）</w:t>
            </w:r>
          </w:p>
        </w:tc>
        <w:tc>
          <w:tcPr>
            <w:tcW w:w="1295"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每年3月31日前</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u w:val="single"/>
              </w:rPr>
              <w:t xml:space="preserve">中国土地市场网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5</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土地出让公告</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国有建设用地使用权出让公告、项目概况、澄清或者修改事项、联系方式</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《国务院办公厅关于推进公共资源配置领域政府信息公开的意见》（国办发〔2017〕97号）《招标拍卖挂牌出让国有建设用地使用权规定》（国土资源部令第39号）</w:t>
            </w:r>
            <w:r>
              <w:rPr>
                <w:rFonts w:hint="eastAsia" w:ascii="宋体" w:hAnsi="宋体" w:eastAsia="宋体" w:cs="宋体"/>
                <w:color w:val="auto"/>
                <w:kern w:val="0"/>
                <w:sz w:val="21"/>
                <w:szCs w:val="21"/>
                <w:lang w:eastAsia="zh-CN"/>
              </w:rPr>
              <w:t>《国土资源部关于印发</w:t>
            </w:r>
            <w:r>
              <w:rPr>
                <w:rFonts w:hint="eastAsia" w:ascii="宋体" w:hAnsi="宋体" w:eastAsia="宋体" w:cs="宋体"/>
                <w:color w:val="auto"/>
                <w:kern w:val="0"/>
                <w:sz w:val="21"/>
                <w:szCs w:val="21"/>
                <w:lang w:val="en-US" w:eastAsia="zh-CN"/>
              </w:rPr>
              <w:t>&lt;招标拍卖挂牌出让国有土地使用权规范&gt;（试行）</w:t>
            </w:r>
            <w:r>
              <w:rPr>
                <w:rFonts w:hint="eastAsia" w:ascii="宋体" w:hAnsi="宋体" w:eastAsia="宋体" w:cs="宋体"/>
                <w:color w:val="auto"/>
                <w:kern w:val="0"/>
                <w:sz w:val="21"/>
                <w:szCs w:val="21"/>
                <w:lang w:eastAsia="zh-CN"/>
              </w:rPr>
              <w:t>和</w:t>
            </w:r>
            <w:r>
              <w:rPr>
                <w:rFonts w:hint="eastAsia" w:ascii="宋体" w:hAnsi="宋体" w:eastAsia="宋体" w:cs="宋体"/>
                <w:color w:val="auto"/>
                <w:kern w:val="0"/>
                <w:sz w:val="21"/>
                <w:szCs w:val="21"/>
                <w:lang w:val="en-US" w:eastAsia="zh-CN"/>
              </w:rPr>
              <w:t>&lt;</w:t>
            </w:r>
            <w:r>
              <w:rPr>
                <w:rFonts w:hint="eastAsia" w:ascii="宋体" w:hAnsi="宋体" w:eastAsia="宋体" w:cs="宋体"/>
                <w:color w:val="auto"/>
                <w:kern w:val="0"/>
                <w:sz w:val="21"/>
                <w:szCs w:val="21"/>
                <w:lang w:eastAsia="zh-CN"/>
              </w:rPr>
              <w:t>协议出让国有土地使用权规范</w:t>
            </w:r>
            <w:r>
              <w:rPr>
                <w:rFonts w:hint="eastAsia" w:ascii="宋体" w:hAnsi="宋体" w:eastAsia="宋体" w:cs="宋体"/>
                <w:color w:val="auto"/>
                <w:kern w:val="0"/>
                <w:sz w:val="21"/>
                <w:szCs w:val="21"/>
                <w:lang w:val="en-US" w:eastAsia="zh-CN"/>
              </w:rPr>
              <w:t>&gt;(试行)的通知</w:t>
            </w:r>
            <w:r>
              <w:rPr>
                <w:rFonts w:hint="eastAsia" w:ascii="宋体" w:hAnsi="宋体" w:eastAsia="宋体" w:cs="宋体"/>
                <w:color w:val="auto"/>
                <w:kern w:val="0"/>
                <w:sz w:val="21"/>
                <w:szCs w:val="21"/>
                <w:lang w:eastAsia="zh-CN"/>
              </w:rPr>
              <w:t>》（国土资发</w:t>
            </w: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06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114号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组织招拍挂活动20日前</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中国土地市场网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6</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土地出让结果</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国有建设用地使用权出让结果信息（成交单位、土地位置、面积、用途、开发程度、土地级别、容积率、出让年限、供地方式、受让人、成交价格、成交时间）</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《国务院办公厅关于推进公共资源配置领域政府信息公开的意见》（国办发〔2017〕97号）《招标拍卖挂牌出让国有建设用地使用权规定》（国土资源部令第39号）</w:t>
            </w:r>
            <w:r>
              <w:rPr>
                <w:rFonts w:hint="eastAsia" w:ascii="宋体" w:hAnsi="宋体" w:eastAsia="宋体" w:cs="宋体"/>
                <w:color w:val="auto"/>
                <w:kern w:val="0"/>
                <w:sz w:val="21"/>
                <w:szCs w:val="21"/>
                <w:lang w:eastAsia="zh-CN"/>
              </w:rPr>
              <w:t>《国土资源部关于印发</w:t>
            </w:r>
            <w:r>
              <w:rPr>
                <w:rFonts w:hint="eastAsia" w:ascii="宋体" w:hAnsi="宋体" w:eastAsia="宋体" w:cs="宋体"/>
                <w:color w:val="auto"/>
                <w:kern w:val="0"/>
                <w:sz w:val="21"/>
                <w:szCs w:val="21"/>
                <w:lang w:val="en-US" w:eastAsia="zh-CN"/>
              </w:rPr>
              <w:t>&lt;招标拍卖挂牌出让国有土地使用权规范&gt;（试行）</w:t>
            </w:r>
            <w:r>
              <w:rPr>
                <w:rFonts w:hint="eastAsia" w:ascii="宋体" w:hAnsi="宋体" w:eastAsia="宋体" w:cs="宋体"/>
                <w:color w:val="auto"/>
                <w:kern w:val="0"/>
                <w:sz w:val="21"/>
                <w:szCs w:val="21"/>
                <w:lang w:eastAsia="zh-CN"/>
              </w:rPr>
              <w:t>和</w:t>
            </w:r>
            <w:r>
              <w:rPr>
                <w:rFonts w:hint="eastAsia" w:ascii="宋体" w:hAnsi="宋体" w:eastAsia="宋体" w:cs="宋体"/>
                <w:color w:val="auto"/>
                <w:kern w:val="0"/>
                <w:sz w:val="21"/>
                <w:szCs w:val="21"/>
                <w:lang w:val="en-US" w:eastAsia="zh-CN"/>
              </w:rPr>
              <w:t>&lt;</w:t>
            </w:r>
            <w:r>
              <w:rPr>
                <w:rFonts w:hint="eastAsia" w:ascii="宋体" w:hAnsi="宋体" w:eastAsia="宋体" w:cs="宋体"/>
                <w:color w:val="auto"/>
                <w:kern w:val="0"/>
                <w:sz w:val="21"/>
                <w:szCs w:val="21"/>
                <w:lang w:eastAsia="zh-CN"/>
              </w:rPr>
              <w:t>协议出让国有土地使用权规范</w:t>
            </w:r>
            <w:r>
              <w:rPr>
                <w:rFonts w:hint="eastAsia" w:ascii="宋体" w:hAnsi="宋体" w:eastAsia="宋体" w:cs="宋体"/>
                <w:color w:val="auto"/>
                <w:kern w:val="0"/>
                <w:sz w:val="21"/>
                <w:szCs w:val="21"/>
                <w:lang w:val="en-US" w:eastAsia="zh-CN"/>
              </w:rPr>
              <w:t>&gt;(试行)的通知</w:t>
            </w:r>
            <w:r>
              <w:rPr>
                <w:rFonts w:hint="eastAsia" w:ascii="宋体" w:hAnsi="宋体" w:eastAsia="宋体" w:cs="宋体"/>
                <w:color w:val="auto"/>
                <w:kern w:val="0"/>
                <w:sz w:val="21"/>
                <w:szCs w:val="21"/>
                <w:lang w:eastAsia="zh-CN"/>
              </w:rPr>
              <w:t>》（国土资发</w:t>
            </w: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06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114号</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《关于加强房地产用地供应和监管有关问题的通知》（国土资发﹝2010﹞34号）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信息形成或变更之日起10个工作日内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u w:val="single"/>
              </w:rPr>
              <w:t xml:space="preserve">中国土地市场网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划拨用地批前公示</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公示用地的申请人、项目名称、项目类型、申请用地面积等情况</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国土资源部关于贯彻落实</w:t>
            </w:r>
            <w:r>
              <w:rPr>
                <w:rFonts w:hint="eastAsia" w:ascii="宋体" w:hAnsi="宋体" w:eastAsia="宋体" w:cs="宋体"/>
                <w:color w:val="auto"/>
                <w:kern w:val="0"/>
                <w:sz w:val="21"/>
                <w:szCs w:val="21"/>
                <w:lang w:val="en-US" w:eastAsia="zh-CN"/>
              </w:rPr>
              <w:t>&lt;</w:t>
            </w:r>
            <w:r>
              <w:rPr>
                <w:rFonts w:hint="eastAsia" w:ascii="宋体" w:hAnsi="宋体" w:eastAsia="宋体" w:cs="宋体"/>
                <w:color w:val="auto"/>
                <w:kern w:val="0"/>
                <w:sz w:val="21"/>
                <w:szCs w:val="21"/>
              </w:rPr>
              <w:t>国务院关于促进节约集约用地的通知</w:t>
            </w:r>
            <w:r>
              <w:rPr>
                <w:rFonts w:hint="eastAsia" w:ascii="宋体" w:hAnsi="宋体" w:eastAsia="宋体" w:cs="宋体"/>
                <w:color w:val="auto"/>
                <w:kern w:val="0"/>
                <w:sz w:val="21"/>
                <w:szCs w:val="21"/>
                <w:lang w:val="en-US" w:eastAsia="zh-CN"/>
              </w:rPr>
              <w:t>&gt;的通知</w:t>
            </w:r>
            <w:r>
              <w:rPr>
                <w:rFonts w:hint="eastAsia" w:ascii="宋体" w:hAnsi="宋体" w:eastAsia="宋体" w:cs="宋体"/>
                <w:color w:val="auto"/>
                <w:kern w:val="0"/>
                <w:sz w:val="21"/>
                <w:szCs w:val="21"/>
              </w:rPr>
              <w:t>》（国土资发〔2008〕16号）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划拨用地报批10日前</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中国土地市场网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划拨用地结果公示</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公示用地项目名称、土地使用权人、地块的位置、用途、面积、空间范围、土地使用条件、开竣工时间等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国土资源部关于贯彻落实</w:t>
            </w:r>
            <w:r>
              <w:rPr>
                <w:rFonts w:hint="eastAsia" w:ascii="宋体" w:hAnsi="宋体" w:eastAsia="宋体" w:cs="宋体"/>
                <w:color w:val="auto"/>
                <w:kern w:val="0"/>
                <w:sz w:val="21"/>
                <w:szCs w:val="21"/>
                <w:lang w:val="en-US" w:eastAsia="zh-CN"/>
              </w:rPr>
              <w:t>&lt;</w:t>
            </w:r>
            <w:r>
              <w:rPr>
                <w:rFonts w:hint="eastAsia" w:ascii="宋体" w:hAnsi="宋体" w:eastAsia="宋体" w:cs="宋体"/>
                <w:color w:val="auto"/>
                <w:kern w:val="0"/>
                <w:sz w:val="21"/>
                <w:szCs w:val="21"/>
              </w:rPr>
              <w:t>国务院关于促进节约集约用地的通知</w:t>
            </w:r>
            <w:r>
              <w:rPr>
                <w:rFonts w:hint="eastAsia" w:ascii="宋体" w:hAnsi="宋体" w:eastAsia="宋体" w:cs="宋体"/>
                <w:color w:val="auto"/>
                <w:kern w:val="0"/>
                <w:sz w:val="21"/>
                <w:szCs w:val="21"/>
                <w:lang w:val="en-US" w:eastAsia="zh-CN"/>
              </w:rPr>
              <w:t>&gt;的通知</w:t>
            </w:r>
            <w:r>
              <w:rPr>
                <w:rFonts w:hint="eastAsia" w:ascii="宋体" w:hAnsi="宋体" w:eastAsia="宋体" w:cs="宋体"/>
                <w:color w:val="auto"/>
                <w:kern w:val="0"/>
                <w:sz w:val="21"/>
                <w:szCs w:val="21"/>
              </w:rPr>
              <w:t>》（国土资发〔2008〕16号）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中国土地市场网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19</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闲置土地</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闲置土地</w:t>
            </w:r>
            <w:r>
              <w:rPr>
                <w:rFonts w:hint="eastAsia" w:ascii="宋体" w:hAnsi="宋体" w:eastAsia="宋体" w:cs="宋体"/>
                <w:color w:val="auto"/>
                <w:kern w:val="0"/>
                <w:sz w:val="21"/>
                <w:szCs w:val="21"/>
                <w:lang w:eastAsia="zh-CN"/>
              </w:rPr>
              <w:t>位置、国有建设用地使用权人名称、闲置时间等</w:t>
            </w:r>
            <w:r>
              <w:rPr>
                <w:rFonts w:hint="eastAsia" w:ascii="宋体" w:hAnsi="宋体" w:eastAsia="宋体" w:cs="宋体"/>
                <w:color w:val="auto"/>
                <w:kern w:val="0"/>
                <w:sz w:val="21"/>
                <w:szCs w:val="21"/>
              </w:rPr>
              <w:t>信息</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《闲置土地处置办法》（国土资源部令第53号）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《闲置土地认定书》下达后</w:t>
            </w:r>
            <w:r>
              <w:rPr>
                <w:rFonts w:hint="eastAsia" w:ascii="宋体" w:hAnsi="宋体" w:eastAsia="宋体" w:cs="宋体"/>
                <w:color w:val="auto"/>
                <w:kern w:val="0"/>
                <w:sz w:val="21"/>
                <w:szCs w:val="21"/>
                <w:lang w:val="en-US" w:eastAsia="zh-CN"/>
              </w:rPr>
              <w:t>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住宅用地信息公开</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存量</w:t>
            </w:r>
            <w:r>
              <w:rPr>
                <w:rFonts w:hint="eastAsia" w:ascii="宋体" w:hAnsi="宋体" w:eastAsia="宋体" w:cs="宋体"/>
                <w:color w:val="auto"/>
                <w:kern w:val="0"/>
                <w:sz w:val="21"/>
                <w:szCs w:val="21"/>
              </w:rPr>
              <w:t>住宅用地</w:t>
            </w:r>
            <w:r>
              <w:rPr>
                <w:rFonts w:hint="eastAsia" w:ascii="宋体" w:hAnsi="宋体" w:eastAsia="宋体" w:cs="宋体"/>
                <w:color w:val="auto"/>
                <w:kern w:val="0"/>
                <w:sz w:val="21"/>
                <w:szCs w:val="21"/>
                <w:lang w:eastAsia="zh-CN"/>
              </w:rPr>
              <w:t>项目具体位置、土地面积、开发企业等信息</w:t>
            </w:r>
            <w:r>
              <w:rPr>
                <w:rFonts w:hint="eastAsia" w:ascii="宋体" w:hAnsi="宋体" w:eastAsia="宋体" w:cs="宋体"/>
                <w:color w:val="auto"/>
                <w:kern w:val="0"/>
                <w:sz w:val="21"/>
                <w:szCs w:val="21"/>
                <w:lang w:val="en-US" w:eastAsia="zh-CN"/>
              </w:rPr>
              <w:t xml:space="preserve"> </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自然资源部办公厅关于进一步规范存量住宅用地信息公开工作的函</w:t>
            </w:r>
            <w:r>
              <w:rPr>
                <w:rFonts w:hint="eastAsia" w:ascii="宋体" w:hAnsi="宋体" w:eastAsia="宋体" w:cs="宋体"/>
                <w:color w:val="auto"/>
                <w:kern w:val="0"/>
                <w:sz w:val="21"/>
                <w:szCs w:val="21"/>
              </w:rPr>
              <w:t>》（自然资办函〔2021〕1432号）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每季度初10日内要完成存量住宅用地信息更新</w:t>
            </w:r>
          </w:p>
        </w:tc>
        <w:tc>
          <w:tcPr>
            <w:tcW w:w="1200" w:type="dxa"/>
            <w:noWrap w:val="0"/>
            <w:vAlign w:val="center"/>
          </w:tcPr>
          <w:p>
            <w:pPr>
              <w:widowControl/>
              <w:jc w:val="center"/>
              <w:rPr>
                <w:rFonts w:hint="eastAsia" w:ascii="宋体" w:hAnsi="宋体" w:eastAsia="宋体" w:cs="宋体"/>
                <w:color w:val="auto"/>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国有土地使用权出让和划拨</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地价信息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县（市、区）基准地价</w:t>
            </w:r>
            <w:r>
              <w:rPr>
                <w:rFonts w:hint="eastAsia" w:ascii="宋体" w:hAnsi="宋体" w:eastAsia="宋体" w:cs="宋体"/>
                <w:color w:val="auto"/>
                <w:kern w:val="0"/>
                <w:sz w:val="21"/>
                <w:szCs w:val="21"/>
                <w:lang w:eastAsia="zh-CN"/>
              </w:rPr>
              <w:t>、标定地价及</w:t>
            </w:r>
            <w:r>
              <w:rPr>
                <w:rFonts w:hint="eastAsia" w:ascii="宋体" w:hAnsi="宋体" w:eastAsia="宋体" w:cs="宋体"/>
                <w:color w:val="auto"/>
                <w:kern w:val="0"/>
                <w:sz w:val="21"/>
                <w:szCs w:val="21"/>
              </w:rPr>
              <w:t>调整</w:t>
            </w:r>
            <w:r>
              <w:rPr>
                <w:rFonts w:hint="eastAsia" w:ascii="宋体" w:hAnsi="宋体" w:eastAsia="宋体" w:cs="宋体"/>
                <w:color w:val="auto"/>
                <w:kern w:val="0"/>
                <w:sz w:val="21"/>
                <w:szCs w:val="21"/>
                <w:lang w:eastAsia="zh-CN"/>
              </w:rPr>
              <w:t>信息</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《城市房地产管理法》《国务院关于加强国有土地资产管理的通知》（国发</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2001</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15号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3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2</w:t>
            </w:r>
          </w:p>
        </w:tc>
        <w:tc>
          <w:tcPr>
            <w:tcW w:w="654"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国土空间规划编制</w:t>
            </w:r>
          </w:p>
        </w:tc>
        <w:tc>
          <w:tcPr>
            <w:tcW w:w="1118" w:type="dxa"/>
            <w:vMerge w:val="restart"/>
            <w:noWrap w:val="0"/>
            <w:vAlign w:val="center"/>
          </w:tcPr>
          <w:p>
            <w:pPr>
              <w:jc w:val="center"/>
              <w:rPr>
                <w:rFonts w:hint="eastAsia" w:ascii="宋体" w:hAnsi="宋体" w:eastAsia="宋体" w:cs="宋体"/>
                <w:color w:val="auto"/>
                <w:kern w:val="0"/>
                <w:sz w:val="21"/>
                <w:szCs w:val="21"/>
              </w:rPr>
            </w:pP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县</w:t>
            </w:r>
            <w:r>
              <w:rPr>
                <w:rFonts w:hint="eastAsia" w:ascii="宋体" w:hAnsi="宋体" w:eastAsia="宋体" w:cs="宋体"/>
                <w:color w:val="auto"/>
                <w:kern w:val="0"/>
                <w:sz w:val="21"/>
                <w:szCs w:val="21"/>
                <w:lang w:eastAsia="zh-CN"/>
              </w:rPr>
              <w:t>级</w:t>
            </w:r>
            <w:r>
              <w:rPr>
                <w:rFonts w:hint="eastAsia" w:ascii="宋体" w:hAnsi="宋体" w:eastAsia="宋体" w:cs="宋体"/>
                <w:color w:val="auto"/>
                <w:kern w:val="0"/>
                <w:sz w:val="21"/>
                <w:szCs w:val="21"/>
              </w:rPr>
              <w:t>国土空间总体规划</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Cs w:val="21"/>
              </w:rPr>
              <w:t>批前公示：规划草案</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restart"/>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土地管理法》</w:t>
            </w:r>
            <w:r>
              <w:rPr>
                <w:rFonts w:hint="eastAsia" w:ascii="宋体" w:hAnsi="宋体" w:eastAsia="宋体" w:cs="宋体"/>
                <w:color w:val="auto"/>
                <w:kern w:val="0"/>
                <w:sz w:val="21"/>
                <w:szCs w:val="21"/>
              </w:rPr>
              <w:t>《城乡规划法》《政府信息公开条例》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批前公示时间不得少于30日</w:t>
            </w:r>
          </w:p>
        </w:tc>
        <w:tc>
          <w:tcPr>
            <w:tcW w:w="1200"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vMerge w:val="restart"/>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■政府网站 </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□便民服务站 □入户/现场 </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vMerge w:val="restart"/>
            <w:noWrap w:val="0"/>
            <w:vAlign w:val="center"/>
          </w:tcPr>
          <w:p>
            <w:pPr>
              <w:widowControl/>
              <w:jc w:val="center"/>
              <w:rPr>
                <w:rFonts w:hint="eastAsia" w:ascii="宋体" w:hAnsi="宋体" w:eastAsia="宋体" w:cs="宋体"/>
                <w:color w:val="auto"/>
                <w:kern w:val="0"/>
                <w:sz w:val="21"/>
                <w:szCs w:val="21"/>
              </w:rPr>
            </w:pPr>
          </w:p>
        </w:tc>
        <w:tc>
          <w:tcPr>
            <w:tcW w:w="42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vMerge w:val="restart"/>
            <w:noWrap w:val="0"/>
            <w:vAlign w:val="center"/>
          </w:tcPr>
          <w:p>
            <w:pPr>
              <w:widowControl/>
              <w:jc w:val="center"/>
              <w:rPr>
                <w:rFonts w:hint="eastAsia" w:ascii="宋体" w:hAnsi="宋体" w:eastAsia="宋体" w:cs="宋体"/>
                <w:color w:val="auto"/>
                <w:kern w:val="0"/>
                <w:sz w:val="21"/>
                <w:szCs w:val="21"/>
              </w:rPr>
            </w:pPr>
          </w:p>
        </w:tc>
        <w:tc>
          <w:tcPr>
            <w:tcW w:w="436"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vMerge w:val="restart"/>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433" w:type="dxa"/>
            <w:vMerge w:val="continue"/>
            <w:noWrap w:val="0"/>
            <w:vAlign w:val="center"/>
          </w:tcPr>
          <w:p>
            <w:pPr>
              <w:widowControl/>
              <w:jc w:val="center"/>
              <w:rPr>
                <w:rFonts w:hint="eastAsia" w:ascii="宋体" w:hAnsi="宋体" w:eastAsia="宋体" w:cs="宋体"/>
                <w:color w:val="auto"/>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noWrap w:val="0"/>
            <w:vAlign w:val="center"/>
          </w:tcPr>
          <w:p>
            <w:pPr>
              <w:widowControl/>
              <w:rPr>
                <w:rFonts w:hint="eastAsia" w:ascii="宋体" w:hAnsi="宋体" w:eastAsia="宋体" w:cs="宋体"/>
                <w:color w:val="auto"/>
                <w:kern w:val="0"/>
                <w:sz w:val="21"/>
                <w:szCs w:val="21"/>
              </w:rPr>
            </w:pPr>
            <w:r>
              <w:rPr>
                <w:rFonts w:hint="eastAsia"/>
                <w:color w:val="auto"/>
              </w:rPr>
              <w:t>批后公布：规划批准文件、规划文本及图件</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r>
              <w:rPr>
                <w:rFonts w:hint="eastAsia"/>
                <w:color w:val="auto"/>
              </w:rPr>
              <w:t>，可同时采用公众易懂的多样化形式进行规划编制成果内容的公布公示</w:t>
            </w:r>
          </w:p>
        </w:tc>
        <w:tc>
          <w:tcPr>
            <w:tcW w:w="2050" w:type="dxa"/>
            <w:vMerge w:val="continue"/>
            <w:noWrap w:val="0"/>
            <w:vAlign w:val="center"/>
          </w:tcPr>
          <w:p>
            <w:pPr>
              <w:widowControl/>
              <w:adjustRightInd w:val="0"/>
              <w:snapToGrid w:val="0"/>
              <w:spacing w:line="276" w:lineRule="auto"/>
              <w:rPr>
                <w:rFonts w:hint="eastAsia" w:ascii="宋体" w:hAnsi="宋体" w:eastAsia="宋体" w:cs="宋体"/>
                <w:color w:val="auto"/>
                <w:kern w:val="0"/>
                <w:sz w:val="21"/>
                <w:szCs w:val="21"/>
              </w:rPr>
            </w:pP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批后公布应在规划批准后20个工作日内向社会公布</w:t>
            </w:r>
          </w:p>
        </w:tc>
        <w:tc>
          <w:tcPr>
            <w:tcW w:w="1200" w:type="dxa"/>
            <w:vMerge w:val="continue"/>
            <w:noWrap w:val="0"/>
            <w:vAlign w:val="center"/>
          </w:tcPr>
          <w:p>
            <w:pPr>
              <w:widowControl/>
              <w:rPr>
                <w:rFonts w:hint="eastAsia" w:ascii="宋体" w:hAnsi="宋体" w:eastAsia="宋体" w:cs="宋体"/>
                <w:color w:val="auto"/>
                <w:kern w:val="0"/>
                <w:sz w:val="21"/>
                <w:szCs w:val="21"/>
              </w:rPr>
            </w:pPr>
          </w:p>
        </w:tc>
        <w:tc>
          <w:tcPr>
            <w:tcW w:w="2987" w:type="dxa"/>
            <w:vMerge w:val="continue"/>
            <w:noWrap w:val="0"/>
            <w:vAlign w:val="center"/>
          </w:tcPr>
          <w:p>
            <w:pPr>
              <w:widowControl/>
              <w:adjustRightInd w:val="0"/>
              <w:snapToGrid w:val="0"/>
              <w:spacing w:line="300" w:lineRule="auto"/>
              <w:rPr>
                <w:rFonts w:hint="eastAsia" w:ascii="宋体" w:hAnsi="宋体" w:eastAsia="宋体" w:cs="宋体"/>
                <w:color w:val="auto"/>
                <w:kern w:val="0"/>
                <w:sz w:val="21"/>
                <w:szCs w:val="21"/>
              </w:rPr>
            </w:pPr>
          </w:p>
        </w:tc>
        <w:tc>
          <w:tcPr>
            <w:tcW w:w="354" w:type="dxa"/>
            <w:vMerge w:val="continue"/>
            <w:noWrap w:val="0"/>
            <w:vAlign w:val="center"/>
          </w:tcPr>
          <w:p>
            <w:pPr>
              <w:widowControl/>
              <w:rPr>
                <w:rFonts w:hint="eastAsia" w:ascii="宋体" w:hAnsi="宋体" w:eastAsia="宋体" w:cs="宋体"/>
                <w:color w:val="auto"/>
                <w:kern w:val="0"/>
                <w:sz w:val="21"/>
                <w:szCs w:val="21"/>
              </w:rPr>
            </w:pPr>
          </w:p>
        </w:tc>
        <w:tc>
          <w:tcPr>
            <w:tcW w:w="409" w:type="dxa"/>
            <w:vMerge w:val="continue"/>
            <w:noWrap w:val="0"/>
            <w:vAlign w:val="center"/>
          </w:tcPr>
          <w:p>
            <w:pPr>
              <w:widowControl/>
              <w:rPr>
                <w:rFonts w:hint="eastAsia" w:ascii="宋体" w:hAnsi="宋体" w:eastAsia="宋体" w:cs="宋体"/>
                <w:color w:val="auto"/>
                <w:kern w:val="0"/>
                <w:sz w:val="21"/>
                <w:szCs w:val="21"/>
              </w:rPr>
            </w:pPr>
          </w:p>
        </w:tc>
        <w:tc>
          <w:tcPr>
            <w:tcW w:w="423" w:type="dxa"/>
            <w:vMerge w:val="continue"/>
            <w:noWrap w:val="0"/>
            <w:vAlign w:val="center"/>
          </w:tcPr>
          <w:p>
            <w:pPr>
              <w:widowControl/>
              <w:rPr>
                <w:rFonts w:hint="eastAsia" w:ascii="宋体" w:hAnsi="宋体" w:eastAsia="宋体" w:cs="宋体"/>
                <w:color w:val="auto"/>
                <w:kern w:val="0"/>
                <w:sz w:val="21"/>
                <w:szCs w:val="21"/>
              </w:rPr>
            </w:pPr>
          </w:p>
        </w:tc>
        <w:tc>
          <w:tcPr>
            <w:tcW w:w="396" w:type="dxa"/>
            <w:vMerge w:val="continue"/>
            <w:noWrap w:val="0"/>
            <w:vAlign w:val="center"/>
          </w:tcPr>
          <w:p>
            <w:pPr>
              <w:widowControl/>
              <w:rPr>
                <w:rFonts w:hint="eastAsia" w:ascii="宋体" w:hAnsi="宋体" w:eastAsia="宋体" w:cs="宋体"/>
                <w:color w:val="auto"/>
                <w:kern w:val="0"/>
                <w:sz w:val="21"/>
                <w:szCs w:val="21"/>
              </w:rPr>
            </w:pPr>
          </w:p>
        </w:tc>
        <w:tc>
          <w:tcPr>
            <w:tcW w:w="436" w:type="dxa"/>
            <w:vMerge w:val="continue"/>
            <w:noWrap w:val="0"/>
            <w:vAlign w:val="center"/>
          </w:tcPr>
          <w:p>
            <w:pPr>
              <w:widowControl/>
              <w:rPr>
                <w:rFonts w:hint="eastAsia" w:ascii="宋体" w:hAnsi="宋体" w:eastAsia="宋体" w:cs="宋体"/>
                <w:color w:val="auto"/>
                <w:kern w:val="0"/>
                <w:sz w:val="21"/>
                <w:szCs w:val="21"/>
              </w:rPr>
            </w:pPr>
          </w:p>
        </w:tc>
        <w:tc>
          <w:tcPr>
            <w:tcW w:w="405" w:type="dxa"/>
            <w:vMerge w:val="continue"/>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43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3</w:t>
            </w:r>
          </w:p>
        </w:tc>
        <w:tc>
          <w:tcPr>
            <w:tcW w:w="654"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国土空间规划编制</w:t>
            </w:r>
          </w:p>
        </w:tc>
        <w:tc>
          <w:tcPr>
            <w:tcW w:w="1118"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详细规划</w:t>
            </w:r>
            <w:r>
              <w:rPr>
                <w:rFonts w:hint="eastAsia" w:ascii="宋体" w:hAnsi="宋体" w:eastAsia="宋体" w:cs="宋体"/>
                <w:color w:val="auto"/>
                <w:kern w:val="0"/>
                <w:szCs w:val="21"/>
              </w:rPr>
              <w:t>（城镇开发边界内）</w:t>
            </w:r>
          </w:p>
        </w:tc>
        <w:tc>
          <w:tcPr>
            <w:tcW w:w="2014" w:type="dxa"/>
            <w:vMerge w:val="restart"/>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Cs w:val="21"/>
              </w:rPr>
              <w:t>批前公示：规划草案</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restart"/>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土地管理法》</w:t>
            </w:r>
            <w:r>
              <w:rPr>
                <w:rFonts w:hint="eastAsia" w:ascii="宋体" w:hAnsi="宋体" w:eastAsia="宋体" w:cs="宋体"/>
                <w:color w:val="auto"/>
                <w:kern w:val="0"/>
                <w:sz w:val="21"/>
                <w:szCs w:val="21"/>
              </w:rPr>
              <w:t>《城乡规划法》《政府信息公开条例》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批前公示时间不得少于30日</w:t>
            </w:r>
          </w:p>
        </w:tc>
        <w:tc>
          <w:tcPr>
            <w:tcW w:w="1200"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vMerge w:val="restart"/>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vMerge w:val="restart"/>
            <w:noWrap w:val="0"/>
            <w:vAlign w:val="center"/>
          </w:tcPr>
          <w:p>
            <w:pPr>
              <w:widowControl/>
              <w:rPr>
                <w:rFonts w:hint="eastAsia" w:ascii="宋体" w:hAnsi="宋体" w:eastAsia="宋体" w:cs="宋体"/>
                <w:color w:val="auto"/>
                <w:kern w:val="0"/>
                <w:sz w:val="21"/>
                <w:szCs w:val="21"/>
              </w:rPr>
            </w:pPr>
          </w:p>
        </w:tc>
        <w:tc>
          <w:tcPr>
            <w:tcW w:w="42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vMerge w:val="restart"/>
            <w:noWrap w:val="0"/>
            <w:vAlign w:val="center"/>
          </w:tcPr>
          <w:p>
            <w:pPr>
              <w:widowControl/>
              <w:rPr>
                <w:rFonts w:hint="eastAsia" w:ascii="宋体" w:hAnsi="宋体" w:eastAsia="宋体" w:cs="宋体"/>
                <w:color w:val="auto"/>
                <w:kern w:val="0"/>
                <w:sz w:val="21"/>
                <w:szCs w:val="21"/>
              </w:rPr>
            </w:pPr>
          </w:p>
        </w:tc>
        <w:tc>
          <w:tcPr>
            <w:tcW w:w="436"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33" w:type="dxa"/>
            <w:vMerge w:val="continue"/>
            <w:noWrap w:val="0"/>
            <w:vAlign w:val="center"/>
          </w:tcPr>
          <w:p>
            <w:pPr>
              <w:widowControl/>
              <w:jc w:val="center"/>
              <w:rPr>
                <w:rFonts w:hint="eastAsia" w:ascii="宋体" w:hAnsi="宋体" w:eastAsia="宋体" w:cs="宋体"/>
                <w:color w:val="auto"/>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vMerge w:val="continue"/>
            <w:noWrap w:val="0"/>
            <w:vAlign w:val="center"/>
          </w:tcPr>
          <w:p>
            <w:pPr>
              <w:widowControl/>
              <w:rPr>
                <w:rFonts w:hint="eastAsia" w:ascii="宋体" w:hAnsi="宋体" w:eastAsia="宋体" w:cs="宋体"/>
                <w:color w:val="auto"/>
                <w:sz w:val="21"/>
                <w:szCs w:val="21"/>
              </w:rPr>
            </w:pPr>
          </w:p>
        </w:tc>
        <w:tc>
          <w:tcPr>
            <w:tcW w:w="2050" w:type="dxa"/>
            <w:vMerge w:val="continue"/>
            <w:noWrap w:val="0"/>
            <w:vAlign w:val="center"/>
          </w:tcPr>
          <w:p>
            <w:pPr>
              <w:widowControl/>
              <w:adjustRightInd w:val="0"/>
              <w:snapToGrid w:val="0"/>
              <w:spacing w:line="276" w:lineRule="auto"/>
              <w:rPr>
                <w:rFonts w:hint="eastAsia" w:ascii="宋体" w:hAnsi="宋体" w:eastAsia="宋体" w:cs="宋体"/>
                <w:color w:val="auto"/>
                <w:sz w:val="21"/>
                <w:szCs w:val="21"/>
              </w:rPr>
            </w:pPr>
          </w:p>
        </w:tc>
        <w:tc>
          <w:tcPr>
            <w:tcW w:w="1295" w:type="dxa"/>
            <w:vMerge w:val="restart"/>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收到政府信息公开申请起20个工作日内</w:t>
            </w:r>
          </w:p>
        </w:tc>
        <w:tc>
          <w:tcPr>
            <w:tcW w:w="1200" w:type="dxa"/>
            <w:vMerge w:val="continue"/>
            <w:noWrap w:val="0"/>
            <w:vAlign w:val="center"/>
          </w:tcPr>
          <w:p>
            <w:pPr>
              <w:widowControl/>
              <w:rPr>
                <w:rFonts w:hint="eastAsia" w:ascii="宋体" w:hAnsi="宋体" w:eastAsia="宋体" w:cs="宋体"/>
                <w:color w:val="auto"/>
                <w:kern w:val="0"/>
                <w:sz w:val="21"/>
                <w:szCs w:val="21"/>
              </w:rPr>
            </w:pPr>
          </w:p>
        </w:tc>
        <w:tc>
          <w:tcPr>
            <w:tcW w:w="2987" w:type="dxa"/>
            <w:vMerge w:val="continue"/>
            <w:noWrap w:val="0"/>
            <w:vAlign w:val="center"/>
          </w:tcPr>
          <w:p>
            <w:pPr>
              <w:widowControl/>
              <w:adjustRightInd w:val="0"/>
              <w:snapToGrid w:val="0"/>
              <w:spacing w:line="300" w:lineRule="auto"/>
              <w:rPr>
                <w:rFonts w:hint="eastAsia" w:ascii="宋体" w:hAnsi="宋体" w:eastAsia="宋体" w:cs="宋体"/>
                <w:color w:val="auto"/>
                <w:kern w:val="0"/>
                <w:sz w:val="21"/>
                <w:szCs w:val="21"/>
              </w:rPr>
            </w:pPr>
          </w:p>
        </w:tc>
        <w:tc>
          <w:tcPr>
            <w:tcW w:w="354" w:type="dxa"/>
            <w:vMerge w:val="continue"/>
            <w:noWrap w:val="0"/>
            <w:vAlign w:val="center"/>
          </w:tcPr>
          <w:p>
            <w:pPr>
              <w:widowControl/>
              <w:rPr>
                <w:rFonts w:hint="eastAsia" w:ascii="宋体" w:hAnsi="宋体" w:eastAsia="宋体" w:cs="宋体"/>
                <w:color w:val="auto"/>
                <w:kern w:val="0"/>
                <w:sz w:val="21"/>
                <w:szCs w:val="21"/>
              </w:rPr>
            </w:pPr>
          </w:p>
        </w:tc>
        <w:tc>
          <w:tcPr>
            <w:tcW w:w="409" w:type="dxa"/>
            <w:vMerge w:val="continue"/>
            <w:noWrap w:val="0"/>
            <w:vAlign w:val="center"/>
          </w:tcPr>
          <w:p>
            <w:pPr>
              <w:widowControl/>
              <w:rPr>
                <w:rFonts w:hint="eastAsia" w:ascii="宋体" w:hAnsi="宋体" w:eastAsia="宋体" w:cs="宋体"/>
                <w:color w:val="auto"/>
                <w:kern w:val="0"/>
                <w:sz w:val="21"/>
                <w:szCs w:val="21"/>
              </w:rPr>
            </w:pPr>
          </w:p>
        </w:tc>
        <w:tc>
          <w:tcPr>
            <w:tcW w:w="423" w:type="dxa"/>
            <w:vMerge w:val="continue"/>
            <w:noWrap w:val="0"/>
            <w:vAlign w:val="center"/>
          </w:tcPr>
          <w:p>
            <w:pPr>
              <w:widowControl/>
              <w:rPr>
                <w:rFonts w:hint="eastAsia" w:ascii="宋体" w:hAnsi="宋体" w:eastAsia="宋体" w:cs="宋体"/>
                <w:color w:val="auto"/>
                <w:kern w:val="0"/>
                <w:sz w:val="21"/>
                <w:szCs w:val="21"/>
              </w:rPr>
            </w:pPr>
          </w:p>
        </w:tc>
        <w:tc>
          <w:tcPr>
            <w:tcW w:w="396" w:type="dxa"/>
            <w:vMerge w:val="continue"/>
            <w:noWrap w:val="0"/>
            <w:vAlign w:val="center"/>
          </w:tcPr>
          <w:p>
            <w:pPr>
              <w:widowControl/>
              <w:rPr>
                <w:rFonts w:hint="eastAsia" w:ascii="宋体" w:hAnsi="宋体" w:eastAsia="宋体" w:cs="宋体"/>
                <w:color w:val="auto"/>
                <w:kern w:val="0"/>
                <w:sz w:val="21"/>
                <w:szCs w:val="21"/>
              </w:rPr>
            </w:pPr>
          </w:p>
        </w:tc>
        <w:tc>
          <w:tcPr>
            <w:tcW w:w="436" w:type="dxa"/>
            <w:vMerge w:val="continue"/>
            <w:noWrap w:val="0"/>
            <w:vAlign w:val="center"/>
          </w:tcPr>
          <w:p>
            <w:pPr>
              <w:widowControl/>
              <w:rPr>
                <w:rFonts w:hint="eastAsia" w:ascii="宋体" w:hAnsi="宋体" w:eastAsia="宋体" w:cs="宋体"/>
                <w:color w:val="auto"/>
                <w:kern w:val="0"/>
                <w:sz w:val="21"/>
                <w:szCs w:val="21"/>
              </w:rPr>
            </w:pPr>
          </w:p>
        </w:tc>
        <w:tc>
          <w:tcPr>
            <w:tcW w:w="405" w:type="dxa"/>
            <w:vMerge w:val="continue"/>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433" w:type="dxa"/>
            <w:vMerge w:val="continue"/>
            <w:noWrap w:val="0"/>
            <w:vAlign w:val="center"/>
          </w:tcPr>
          <w:p>
            <w:pPr>
              <w:widowControl/>
              <w:jc w:val="center"/>
              <w:rPr>
                <w:rFonts w:hint="eastAsia" w:ascii="宋体" w:hAnsi="宋体" w:eastAsia="宋体" w:cs="宋体"/>
                <w:color w:val="auto"/>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noWrap w:val="0"/>
            <w:vAlign w:val="center"/>
          </w:tcPr>
          <w:p>
            <w:pPr>
              <w:widowControl/>
              <w:rPr>
                <w:rFonts w:hint="eastAsia" w:ascii="宋体" w:hAnsi="宋体" w:eastAsia="宋体" w:cs="宋体"/>
                <w:color w:val="auto"/>
                <w:kern w:val="0"/>
                <w:sz w:val="21"/>
                <w:szCs w:val="21"/>
              </w:rPr>
            </w:pPr>
            <w:r>
              <w:rPr>
                <w:rFonts w:hint="eastAsia"/>
                <w:color w:val="auto"/>
              </w:rPr>
              <w:t>批后公布：规划批准文件、规划文本及图件</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continue"/>
            <w:noWrap w:val="0"/>
            <w:vAlign w:val="center"/>
          </w:tcPr>
          <w:p>
            <w:pPr>
              <w:widowControl/>
              <w:adjustRightInd w:val="0"/>
              <w:snapToGrid w:val="0"/>
              <w:spacing w:line="276" w:lineRule="auto"/>
              <w:rPr>
                <w:rFonts w:hint="eastAsia" w:ascii="宋体" w:hAnsi="宋体" w:eastAsia="宋体" w:cs="宋体"/>
                <w:color w:val="auto"/>
                <w:kern w:val="0"/>
                <w:sz w:val="21"/>
                <w:szCs w:val="21"/>
              </w:rPr>
            </w:pPr>
          </w:p>
        </w:tc>
        <w:tc>
          <w:tcPr>
            <w:tcW w:w="1295" w:type="dxa"/>
            <w:vMerge w:val="continue"/>
            <w:noWrap w:val="0"/>
            <w:vAlign w:val="center"/>
          </w:tcPr>
          <w:p>
            <w:pPr>
              <w:widowControl/>
              <w:rPr>
                <w:rFonts w:hint="eastAsia" w:ascii="宋体" w:hAnsi="宋体" w:eastAsia="宋体" w:cs="宋体"/>
                <w:color w:val="auto"/>
                <w:kern w:val="0"/>
                <w:sz w:val="21"/>
                <w:szCs w:val="21"/>
              </w:rPr>
            </w:pPr>
          </w:p>
        </w:tc>
        <w:tc>
          <w:tcPr>
            <w:tcW w:w="1200" w:type="dxa"/>
            <w:vMerge w:val="continue"/>
            <w:noWrap w:val="0"/>
            <w:vAlign w:val="center"/>
          </w:tcPr>
          <w:p>
            <w:pPr>
              <w:widowControl/>
              <w:rPr>
                <w:rFonts w:hint="eastAsia" w:ascii="宋体" w:hAnsi="宋体" w:eastAsia="宋体" w:cs="宋体"/>
                <w:color w:val="auto"/>
                <w:kern w:val="0"/>
                <w:sz w:val="21"/>
                <w:szCs w:val="21"/>
              </w:rPr>
            </w:pPr>
          </w:p>
        </w:tc>
        <w:tc>
          <w:tcPr>
            <w:tcW w:w="2987" w:type="dxa"/>
            <w:vMerge w:val="continue"/>
            <w:noWrap w:val="0"/>
            <w:vAlign w:val="center"/>
          </w:tcPr>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rPr>
                <w:rFonts w:hint="eastAsia" w:ascii="宋体" w:hAnsi="宋体" w:eastAsia="宋体" w:cs="宋体"/>
                <w:color w:val="auto"/>
                <w:kern w:val="0"/>
                <w:sz w:val="21"/>
                <w:szCs w:val="21"/>
              </w:rPr>
            </w:pPr>
          </w:p>
        </w:tc>
        <w:tc>
          <w:tcPr>
            <w:tcW w:w="409"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23" w:type="dxa"/>
            <w:noWrap w:val="0"/>
            <w:vAlign w:val="center"/>
          </w:tcPr>
          <w:p>
            <w:pPr>
              <w:widowControl/>
              <w:rPr>
                <w:rFonts w:hint="eastAsia" w:ascii="宋体" w:hAnsi="宋体" w:eastAsia="宋体" w:cs="宋体"/>
                <w:color w:val="auto"/>
                <w:kern w:val="0"/>
                <w:sz w:val="21"/>
                <w:szCs w:val="21"/>
              </w:rPr>
            </w:pPr>
          </w:p>
        </w:tc>
        <w:tc>
          <w:tcPr>
            <w:tcW w:w="396"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36" w:type="dxa"/>
            <w:vMerge w:val="continue"/>
            <w:noWrap w:val="0"/>
            <w:vAlign w:val="center"/>
          </w:tcPr>
          <w:p>
            <w:pPr>
              <w:widowControl/>
              <w:rPr>
                <w:rFonts w:hint="eastAsia" w:ascii="宋体" w:hAnsi="宋体" w:eastAsia="宋体" w:cs="宋体"/>
                <w:color w:val="auto"/>
                <w:kern w:val="0"/>
                <w:sz w:val="21"/>
                <w:szCs w:val="21"/>
              </w:rPr>
            </w:pPr>
          </w:p>
        </w:tc>
        <w:tc>
          <w:tcPr>
            <w:tcW w:w="405" w:type="dxa"/>
            <w:vMerge w:val="continue"/>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4</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国土空间规划编制</w:t>
            </w:r>
          </w:p>
        </w:tc>
        <w:tc>
          <w:tcPr>
            <w:tcW w:w="1118"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自然资源主管部门组织编制的国土空间专项</w:t>
            </w:r>
            <w:r>
              <w:rPr>
                <w:rFonts w:hint="eastAsia" w:ascii="宋体" w:hAnsi="宋体" w:eastAsia="宋体" w:cs="宋体"/>
                <w:color w:val="auto"/>
                <w:kern w:val="0"/>
                <w:sz w:val="21"/>
                <w:szCs w:val="21"/>
                <w:lang w:eastAsia="zh-CN"/>
              </w:rPr>
              <w:t>规划</w:t>
            </w:r>
          </w:p>
        </w:tc>
        <w:tc>
          <w:tcPr>
            <w:tcW w:w="2014" w:type="dxa"/>
            <w:noWrap w:val="0"/>
            <w:vAlign w:val="center"/>
          </w:tcPr>
          <w:p>
            <w:pPr>
              <w:widowControl/>
              <w:rPr>
                <w:rFonts w:hint="eastAsia" w:ascii="宋体" w:hAnsi="宋体" w:eastAsia="宋体" w:cs="宋体"/>
                <w:color w:val="auto"/>
                <w:kern w:val="0"/>
                <w:sz w:val="21"/>
                <w:szCs w:val="21"/>
              </w:rPr>
            </w:pPr>
            <w:r>
              <w:rPr>
                <w:rFonts w:hint="eastAsia"/>
                <w:color w:val="auto"/>
              </w:rPr>
              <w:t>批后公布：规划批准文件、规划文本及图件</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信息形成或变更之日起20个工作日内</w:t>
            </w:r>
          </w:p>
        </w:tc>
        <w:tc>
          <w:tcPr>
            <w:tcW w:w="1200" w:type="dxa"/>
            <w:noWrap w:val="0"/>
            <w:vAlign w:val="center"/>
          </w:tcPr>
          <w:p>
            <w:pPr>
              <w:widowControl/>
              <w:jc w:val="lef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5</w:t>
            </w:r>
          </w:p>
        </w:tc>
        <w:tc>
          <w:tcPr>
            <w:tcW w:w="654"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国土空间规划编制</w:t>
            </w:r>
          </w:p>
        </w:tc>
        <w:tc>
          <w:tcPr>
            <w:tcW w:w="1118" w:type="dxa"/>
            <w:vMerge w:val="restart"/>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乡（镇）国土空间总体规划</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Cs w:val="21"/>
              </w:rPr>
              <w:t>批前公示：规划草案</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restart"/>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土地管理法》</w:t>
            </w:r>
            <w:r>
              <w:rPr>
                <w:rFonts w:hint="eastAsia" w:ascii="宋体" w:hAnsi="宋体" w:eastAsia="宋体" w:cs="宋体"/>
                <w:color w:val="auto"/>
                <w:kern w:val="0"/>
                <w:sz w:val="21"/>
                <w:szCs w:val="21"/>
              </w:rPr>
              <w:t>《城乡规划法》《政府信息公开条例》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批前公示时间不得少于30日</w:t>
            </w:r>
          </w:p>
        </w:tc>
        <w:tc>
          <w:tcPr>
            <w:tcW w:w="1200"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rPr>
              <w:t>/乡镇人民政府</w:t>
            </w:r>
          </w:p>
        </w:tc>
        <w:tc>
          <w:tcPr>
            <w:tcW w:w="2987" w:type="dxa"/>
            <w:vMerge w:val="restart"/>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vMerge w:val="restart"/>
            <w:noWrap w:val="0"/>
            <w:vAlign w:val="center"/>
          </w:tcPr>
          <w:p>
            <w:pPr>
              <w:widowControl/>
              <w:jc w:val="center"/>
              <w:rPr>
                <w:rFonts w:hint="eastAsia" w:ascii="宋体" w:hAnsi="宋体" w:eastAsia="宋体" w:cs="宋体"/>
                <w:color w:val="auto"/>
                <w:kern w:val="0"/>
                <w:sz w:val="21"/>
                <w:szCs w:val="21"/>
              </w:rPr>
            </w:pPr>
          </w:p>
        </w:tc>
        <w:tc>
          <w:tcPr>
            <w:tcW w:w="42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vMerge w:val="restart"/>
            <w:noWrap w:val="0"/>
            <w:vAlign w:val="center"/>
          </w:tcPr>
          <w:p>
            <w:pPr>
              <w:widowControl/>
              <w:jc w:val="center"/>
              <w:rPr>
                <w:rFonts w:hint="eastAsia" w:ascii="宋体" w:hAnsi="宋体" w:eastAsia="宋体" w:cs="宋体"/>
                <w:color w:val="auto"/>
                <w:kern w:val="0"/>
                <w:sz w:val="21"/>
                <w:szCs w:val="21"/>
              </w:rPr>
            </w:pPr>
          </w:p>
        </w:tc>
        <w:tc>
          <w:tcPr>
            <w:tcW w:w="436"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noWrap w:val="0"/>
            <w:vAlign w:val="center"/>
          </w:tcPr>
          <w:p>
            <w:pPr>
              <w:widowControl/>
              <w:jc w:val="center"/>
              <w:rPr>
                <w:rFonts w:hint="eastAsia" w:ascii="宋体" w:hAnsi="宋体" w:eastAsia="宋体" w:cs="宋体"/>
                <w:color w:val="auto"/>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noWrap w:val="0"/>
            <w:vAlign w:val="center"/>
          </w:tcPr>
          <w:p>
            <w:pPr>
              <w:widowControl/>
              <w:rPr>
                <w:rFonts w:hint="eastAsia" w:ascii="宋体" w:hAnsi="宋体" w:eastAsia="宋体" w:cs="宋体"/>
                <w:color w:val="auto"/>
                <w:kern w:val="0"/>
                <w:sz w:val="21"/>
                <w:szCs w:val="21"/>
              </w:rPr>
            </w:pPr>
            <w:r>
              <w:rPr>
                <w:rFonts w:hint="eastAsia"/>
                <w:color w:val="auto"/>
              </w:rPr>
              <w:t>批后公布：规划批准文件、规划文本及图件</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continue"/>
            <w:noWrap w:val="0"/>
            <w:vAlign w:val="center"/>
          </w:tcPr>
          <w:p>
            <w:pPr>
              <w:widowControl/>
              <w:adjustRightInd w:val="0"/>
              <w:snapToGrid w:val="0"/>
              <w:spacing w:line="276" w:lineRule="auto"/>
              <w:rPr>
                <w:rFonts w:hint="eastAsia" w:ascii="宋体" w:hAnsi="宋体" w:eastAsia="宋体" w:cs="宋体"/>
                <w:color w:val="auto"/>
                <w:kern w:val="0"/>
                <w:sz w:val="21"/>
                <w:szCs w:val="21"/>
              </w:rPr>
            </w:pPr>
          </w:p>
        </w:tc>
        <w:tc>
          <w:tcPr>
            <w:tcW w:w="1295" w:type="dxa"/>
            <w:noWrap w:val="0"/>
            <w:vAlign w:val="center"/>
          </w:tcPr>
          <w:p>
            <w:pPr>
              <w:widowControl/>
              <w:adjustRightInd w:val="0"/>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批后公布应在规划批准后20个工作日内向社会公布</w:t>
            </w:r>
          </w:p>
        </w:tc>
        <w:tc>
          <w:tcPr>
            <w:tcW w:w="1200" w:type="dxa"/>
            <w:vMerge w:val="continue"/>
            <w:noWrap w:val="0"/>
            <w:vAlign w:val="center"/>
          </w:tcPr>
          <w:p>
            <w:pPr>
              <w:widowControl/>
              <w:rPr>
                <w:rFonts w:hint="eastAsia" w:ascii="宋体" w:hAnsi="宋体" w:eastAsia="宋体" w:cs="宋体"/>
                <w:color w:val="auto"/>
                <w:kern w:val="0"/>
                <w:sz w:val="21"/>
                <w:szCs w:val="21"/>
              </w:rPr>
            </w:pPr>
          </w:p>
        </w:tc>
        <w:tc>
          <w:tcPr>
            <w:tcW w:w="2987" w:type="dxa"/>
            <w:vMerge w:val="continue"/>
            <w:noWrap w:val="0"/>
            <w:vAlign w:val="center"/>
          </w:tcPr>
          <w:p>
            <w:pPr>
              <w:widowControl/>
              <w:adjustRightInd w:val="0"/>
              <w:snapToGrid w:val="0"/>
              <w:spacing w:line="300" w:lineRule="auto"/>
              <w:rPr>
                <w:rFonts w:hint="eastAsia" w:ascii="宋体" w:hAnsi="宋体" w:eastAsia="宋体" w:cs="宋体"/>
                <w:color w:val="auto"/>
                <w:kern w:val="0"/>
                <w:sz w:val="21"/>
                <w:szCs w:val="21"/>
              </w:rPr>
            </w:pPr>
          </w:p>
        </w:tc>
        <w:tc>
          <w:tcPr>
            <w:tcW w:w="354" w:type="dxa"/>
            <w:vMerge w:val="continue"/>
            <w:noWrap w:val="0"/>
            <w:vAlign w:val="center"/>
          </w:tcPr>
          <w:p>
            <w:pPr>
              <w:widowControl/>
              <w:rPr>
                <w:rFonts w:hint="eastAsia" w:ascii="宋体" w:hAnsi="宋体" w:eastAsia="宋体" w:cs="宋体"/>
                <w:color w:val="auto"/>
                <w:kern w:val="0"/>
                <w:sz w:val="21"/>
                <w:szCs w:val="21"/>
              </w:rPr>
            </w:pPr>
          </w:p>
        </w:tc>
        <w:tc>
          <w:tcPr>
            <w:tcW w:w="409" w:type="dxa"/>
            <w:vMerge w:val="continue"/>
            <w:noWrap w:val="0"/>
            <w:vAlign w:val="center"/>
          </w:tcPr>
          <w:p>
            <w:pPr>
              <w:widowControl/>
              <w:rPr>
                <w:rFonts w:hint="eastAsia" w:ascii="宋体" w:hAnsi="宋体" w:eastAsia="宋体" w:cs="宋体"/>
                <w:color w:val="auto"/>
                <w:kern w:val="0"/>
                <w:sz w:val="21"/>
                <w:szCs w:val="21"/>
              </w:rPr>
            </w:pPr>
          </w:p>
        </w:tc>
        <w:tc>
          <w:tcPr>
            <w:tcW w:w="423" w:type="dxa"/>
            <w:vMerge w:val="continue"/>
            <w:noWrap w:val="0"/>
            <w:vAlign w:val="center"/>
          </w:tcPr>
          <w:p>
            <w:pPr>
              <w:widowControl/>
              <w:rPr>
                <w:rFonts w:hint="eastAsia" w:ascii="宋体" w:hAnsi="宋体" w:eastAsia="宋体" w:cs="宋体"/>
                <w:color w:val="auto"/>
                <w:kern w:val="0"/>
                <w:sz w:val="21"/>
                <w:szCs w:val="21"/>
              </w:rPr>
            </w:pPr>
          </w:p>
        </w:tc>
        <w:tc>
          <w:tcPr>
            <w:tcW w:w="396" w:type="dxa"/>
            <w:vMerge w:val="continue"/>
            <w:noWrap w:val="0"/>
            <w:vAlign w:val="center"/>
          </w:tcPr>
          <w:p>
            <w:pPr>
              <w:widowControl/>
              <w:rPr>
                <w:rFonts w:hint="eastAsia" w:ascii="宋体" w:hAnsi="宋体" w:eastAsia="宋体" w:cs="宋体"/>
                <w:color w:val="auto"/>
                <w:kern w:val="0"/>
                <w:sz w:val="21"/>
                <w:szCs w:val="21"/>
              </w:rPr>
            </w:pPr>
          </w:p>
        </w:tc>
        <w:tc>
          <w:tcPr>
            <w:tcW w:w="436" w:type="dxa"/>
            <w:vMerge w:val="continue"/>
            <w:noWrap w:val="0"/>
            <w:vAlign w:val="center"/>
          </w:tcPr>
          <w:p>
            <w:pPr>
              <w:widowControl/>
              <w:rPr>
                <w:rFonts w:hint="eastAsia" w:ascii="宋体" w:hAnsi="宋体" w:eastAsia="宋体" w:cs="宋体"/>
                <w:color w:val="auto"/>
                <w:kern w:val="0"/>
                <w:sz w:val="21"/>
                <w:szCs w:val="21"/>
              </w:rPr>
            </w:pPr>
          </w:p>
        </w:tc>
        <w:tc>
          <w:tcPr>
            <w:tcW w:w="405" w:type="dxa"/>
            <w:vMerge w:val="continue"/>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3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6</w:t>
            </w:r>
          </w:p>
        </w:tc>
        <w:tc>
          <w:tcPr>
            <w:tcW w:w="654"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国土空间规划编制</w:t>
            </w:r>
          </w:p>
        </w:tc>
        <w:tc>
          <w:tcPr>
            <w:tcW w:w="1118"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村庄规划</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Cs w:val="21"/>
              </w:rPr>
              <w:t>批前公示：规划草案</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restart"/>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土地管理法》</w:t>
            </w:r>
            <w:r>
              <w:rPr>
                <w:rFonts w:hint="eastAsia" w:ascii="宋体" w:hAnsi="宋体" w:eastAsia="宋体" w:cs="宋体"/>
                <w:color w:val="auto"/>
                <w:kern w:val="0"/>
                <w:sz w:val="21"/>
                <w:szCs w:val="21"/>
              </w:rPr>
              <w:t>《城乡规划法》《政府信息公开条例》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批前公示时间不得少于30日</w:t>
            </w:r>
          </w:p>
        </w:tc>
        <w:tc>
          <w:tcPr>
            <w:tcW w:w="1200"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rPr>
              <w:t>/乡镇人民政府</w:t>
            </w:r>
          </w:p>
        </w:tc>
        <w:tc>
          <w:tcPr>
            <w:tcW w:w="2987" w:type="dxa"/>
            <w:vMerge w:val="restart"/>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vMerge w:val="restart"/>
            <w:noWrap w:val="0"/>
            <w:vAlign w:val="center"/>
          </w:tcPr>
          <w:p>
            <w:pPr>
              <w:widowControl/>
              <w:jc w:val="center"/>
              <w:rPr>
                <w:rFonts w:hint="eastAsia" w:ascii="宋体" w:hAnsi="宋体" w:eastAsia="宋体" w:cs="宋体"/>
                <w:color w:val="auto"/>
                <w:kern w:val="0"/>
                <w:sz w:val="21"/>
                <w:szCs w:val="21"/>
              </w:rPr>
            </w:pPr>
          </w:p>
        </w:tc>
        <w:tc>
          <w:tcPr>
            <w:tcW w:w="423"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vMerge w:val="restart"/>
            <w:noWrap w:val="0"/>
            <w:vAlign w:val="center"/>
          </w:tcPr>
          <w:p>
            <w:pPr>
              <w:widowControl/>
              <w:jc w:val="center"/>
              <w:rPr>
                <w:rFonts w:hint="eastAsia" w:ascii="宋体" w:hAnsi="宋体" w:eastAsia="宋体" w:cs="宋体"/>
                <w:color w:val="auto"/>
                <w:kern w:val="0"/>
                <w:sz w:val="21"/>
                <w:szCs w:val="21"/>
              </w:rPr>
            </w:pPr>
          </w:p>
        </w:tc>
        <w:tc>
          <w:tcPr>
            <w:tcW w:w="436"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vMerge w:val="restart"/>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33" w:type="dxa"/>
            <w:vMerge w:val="continue"/>
            <w:noWrap w:val="0"/>
            <w:vAlign w:val="center"/>
          </w:tcPr>
          <w:p>
            <w:pPr>
              <w:widowControl/>
              <w:jc w:val="center"/>
              <w:rPr>
                <w:rFonts w:hint="eastAsia" w:ascii="宋体" w:hAnsi="宋体" w:eastAsia="宋体" w:cs="宋体"/>
                <w:color w:val="auto"/>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noWrap w:val="0"/>
            <w:vAlign w:val="center"/>
          </w:tcPr>
          <w:p>
            <w:pPr>
              <w:widowControl/>
              <w:rPr>
                <w:rFonts w:hint="eastAsia" w:ascii="宋体" w:hAnsi="宋体" w:eastAsia="宋体" w:cs="宋体"/>
                <w:color w:val="auto"/>
                <w:kern w:val="0"/>
                <w:sz w:val="21"/>
                <w:szCs w:val="21"/>
              </w:rPr>
            </w:pPr>
            <w:r>
              <w:rPr>
                <w:rFonts w:hint="eastAsia"/>
                <w:color w:val="auto"/>
              </w:rPr>
              <w:t>批后公布：规划批准文件、规划文本及图件</w:t>
            </w:r>
            <w:r>
              <w:rPr>
                <w:rFonts w:hint="eastAsia" w:ascii="宋体" w:hAnsi="宋体" w:eastAsia="宋体" w:cs="宋体"/>
                <w:color w:val="auto"/>
                <w:kern w:val="0"/>
                <w:sz w:val="21"/>
                <w:szCs w:val="21"/>
              </w:rPr>
              <w:t>（涉密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vMerge w:val="continue"/>
            <w:noWrap w:val="0"/>
            <w:vAlign w:val="center"/>
          </w:tcPr>
          <w:p>
            <w:pPr>
              <w:widowControl/>
              <w:adjustRightInd w:val="0"/>
              <w:snapToGrid w:val="0"/>
              <w:spacing w:line="276" w:lineRule="auto"/>
              <w:rPr>
                <w:rFonts w:hint="eastAsia" w:ascii="宋体" w:hAnsi="宋体" w:eastAsia="宋体" w:cs="宋体"/>
                <w:color w:val="auto"/>
                <w:kern w:val="0"/>
                <w:sz w:val="21"/>
                <w:szCs w:val="21"/>
              </w:rPr>
            </w:pP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批后公布应在规划批准后20个工作日内向社会公布</w:t>
            </w:r>
          </w:p>
        </w:tc>
        <w:tc>
          <w:tcPr>
            <w:tcW w:w="1200" w:type="dxa"/>
            <w:vMerge w:val="continue"/>
            <w:noWrap w:val="0"/>
            <w:vAlign w:val="center"/>
          </w:tcPr>
          <w:p>
            <w:pPr>
              <w:widowControl/>
              <w:rPr>
                <w:rFonts w:hint="eastAsia" w:ascii="宋体" w:hAnsi="宋体" w:eastAsia="宋体" w:cs="宋体"/>
                <w:color w:val="auto"/>
                <w:kern w:val="0"/>
                <w:sz w:val="21"/>
                <w:szCs w:val="21"/>
              </w:rPr>
            </w:pPr>
          </w:p>
        </w:tc>
        <w:tc>
          <w:tcPr>
            <w:tcW w:w="2987" w:type="dxa"/>
            <w:vMerge w:val="continue"/>
            <w:noWrap w:val="0"/>
            <w:vAlign w:val="center"/>
          </w:tcPr>
          <w:p>
            <w:pPr>
              <w:widowControl/>
              <w:adjustRightInd w:val="0"/>
              <w:snapToGrid w:val="0"/>
              <w:spacing w:line="300" w:lineRule="auto"/>
              <w:rPr>
                <w:rFonts w:hint="eastAsia" w:ascii="宋体" w:hAnsi="宋体" w:eastAsia="宋体" w:cs="宋体"/>
                <w:color w:val="auto"/>
                <w:kern w:val="0"/>
                <w:sz w:val="21"/>
                <w:szCs w:val="21"/>
              </w:rPr>
            </w:pPr>
          </w:p>
        </w:tc>
        <w:tc>
          <w:tcPr>
            <w:tcW w:w="354" w:type="dxa"/>
            <w:vMerge w:val="continue"/>
            <w:noWrap w:val="0"/>
            <w:vAlign w:val="center"/>
          </w:tcPr>
          <w:p>
            <w:pPr>
              <w:widowControl/>
              <w:rPr>
                <w:rFonts w:hint="eastAsia" w:ascii="宋体" w:hAnsi="宋体" w:eastAsia="宋体" w:cs="宋体"/>
                <w:color w:val="auto"/>
                <w:kern w:val="0"/>
                <w:sz w:val="21"/>
                <w:szCs w:val="21"/>
              </w:rPr>
            </w:pPr>
          </w:p>
        </w:tc>
        <w:tc>
          <w:tcPr>
            <w:tcW w:w="409" w:type="dxa"/>
            <w:vMerge w:val="continue"/>
            <w:noWrap w:val="0"/>
            <w:vAlign w:val="center"/>
          </w:tcPr>
          <w:p>
            <w:pPr>
              <w:widowControl/>
              <w:rPr>
                <w:rFonts w:hint="eastAsia" w:ascii="宋体" w:hAnsi="宋体" w:eastAsia="宋体" w:cs="宋体"/>
                <w:color w:val="auto"/>
                <w:kern w:val="0"/>
                <w:sz w:val="21"/>
                <w:szCs w:val="21"/>
              </w:rPr>
            </w:pPr>
          </w:p>
        </w:tc>
        <w:tc>
          <w:tcPr>
            <w:tcW w:w="423" w:type="dxa"/>
            <w:vMerge w:val="continue"/>
            <w:noWrap w:val="0"/>
            <w:vAlign w:val="center"/>
          </w:tcPr>
          <w:p>
            <w:pPr>
              <w:widowControl/>
              <w:rPr>
                <w:rFonts w:hint="eastAsia" w:ascii="宋体" w:hAnsi="宋体" w:eastAsia="宋体" w:cs="宋体"/>
                <w:color w:val="auto"/>
                <w:kern w:val="0"/>
                <w:sz w:val="21"/>
                <w:szCs w:val="21"/>
              </w:rPr>
            </w:pPr>
          </w:p>
        </w:tc>
        <w:tc>
          <w:tcPr>
            <w:tcW w:w="396" w:type="dxa"/>
            <w:vMerge w:val="continue"/>
            <w:noWrap w:val="0"/>
            <w:vAlign w:val="center"/>
          </w:tcPr>
          <w:p>
            <w:pPr>
              <w:widowControl/>
              <w:rPr>
                <w:rFonts w:hint="eastAsia" w:ascii="宋体" w:hAnsi="宋体" w:eastAsia="宋体" w:cs="宋体"/>
                <w:color w:val="auto"/>
                <w:kern w:val="0"/>
                <w:sz w:val="21"/>
                <w:szCs w:val="21"/>
              </w:rPr>
            </w:pPr>
          </w:p>
        </w:tc>
        <w:tc>
          <w:tcPr>
            <w:tcW w:w="436" w:type="dxa"/>
            <w:vMerge w:val="continue"/>
            <w:noWrap w:val="0"/>
            <w:vAlign w:val="center"/>
          </w:tcPr>
          <w:p>
            <w:pPr>
              <w:widowControl/>
              <w:rPr>
                <w:rFonts w:hint="eastAsia" w:ascii="宋体" w:hAnsi="宋体" w:eastAsia="宋体" w:cs="宋体"/>
                <w:color w:val="auto"/>
                <w:kern w:val="0"/>
                <w:sz w:val="21"/>
                <w:szCs w:val="21"/>
              </w:rPr>
            </w:pPr>
          </w:p>
        </w:tc>
        <w:tc>
          <w:tcPr>
            <w:tcW w:w="405" w:type="dxa"/>
            <w:vMerge w:val="continue"/>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2</w:t>
            </w:r>
            <w:r>
              <w:rPr>
                <w:rFonts w:hint="eastAsia" w:ascii="宋体" w:hAnsi="宋体" w:eastAsia="宋体" w:cs="宋体"/>
                <w:color w:val="auto"/>
                <w:kern w:val="0"/>
                <w:sz w:val="21"/>
                <w:szCs w:val="21"/>
                <w:lang w:val="en-US" w:eastAsia="zh-CN"/>
              </w:rPr>
              <w:t>7</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规划</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许可</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建设项目用地预审与选址意见书</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建设项目用地预审与选址意见书证载内容（涉密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《行政许可法》《</w:t>
            </w:r>
            <w:r>
              <w:rPr>
                <w:rFonts w:hint="eastAsia" w:ascii="宋体" w:hAnsi="宋体" w:eastAsia="宋体" w:cs="宋体"/>
                <w:color w:val="auto"/>
                <w:kern w:val="0"/>
                <w:sz w:val="21"/>
                <w:szCs w:val="21"/>
                <w:lang w:eastAsia="zh-CN"/>
              </w:rPr>
              <w:t>土地管理法》</w:t>
            </w:r>
            <w:r>
              <w:rPr>
                <w:rFonts w:hint="eastAsia" w:ascii="宋体" w:hAnsi="宋体" w:eastAsia="宋体" w:cs="宋体"/>
                <w:color w:val="auto"/>
                <w:kern w:val="0"/>
                <w:sz w:val="21"/>
                <w:szCs w:val="21"/>
              </w:rPr>
              <w:t>《城乡规划法》《政府信息公开条例》</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2</w:t>
            </w:r>
            <w:r>
              <w:rPr>
                <w:rFonts w:hint="eastAsia" w:ascii="宋体" w:hAnsi="宋体" w:eastAsia="宋体" w:cs="宋体"/>
                <w:color w:val="auto"/>
                <w:kern w:val="0"/>
                <w:sz w:val="21"/>
                <w:szCs w:val="21"/>
                <w:lang w:val="en-US" w:eastAsia="zh-CN"/>
              </w:rPr>
              <w:t>8</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规划</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许可</w:t>
            </w:r>
          </w:p>
        </w:tc>
        <w:tc>
          <w:tcPr>
            <w:tcW w:w="1118" w:type="dxa"/>
            <w:noWrap w:val="0"/>
            <w:vAlign w:val="center"/>
          </w:tcPr>
          <w:p>
            <w:p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w:t>
            </w:r>
            <w:r>
              <w:rPr>
                <w:rFonts w:hint="eastAsia" w:ascii="宋体" w:hAnsi="宋体" w:cs="宋体"/>
                <w:color w:val="auto"/>
                <w:kern w:val="0"/>
                <w:sz w:val="21"/>
                <w:szCs w:val="21"/>
                <w:lang w:eastAsia="zh-CN"/>
              </w:rPr>
              <w:t>用</w:t>
            </w:r>
            <w:r>
              <w:rPr>
                <w:rFonts w:hint="eastAsia" w:ascii="宋体" w:hAnsi="宋体" w:eastAsia="宋体" w:cs="宋体"/>
                <w:color w:val="auto"/>
                <w:kern w:val="0"/>
                <w:sz w:val="21"/>
                <w:szCs w:val="21"/>
              </w:rPr>
              <w:t>地、临时建设用地规划许可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建设用地、临时建设用地规划许可证证载内容（涉密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《行政许可法》《城乡规划法》《政府信息公开条例》</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29</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规划</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许可</w:t>
            </w:r>
          </w:p>
        </w:tc>
        <w:tc>
          <w:tcPr>
            <w:tcW w:w="1118" w:type="dxa"/>
            <w:noWrap w:val="0"/>
            <w:vAlign w:val="center"/>
          </w:tcPr>
          <w:p>
            <w:pPr>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建设工程、临时建设工程规划许可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建设工程、临时建设工程规划许可证证载内容（涉密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《行政许可法》《城乡规划法》《政府信息公开条例》</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rPr>
              <w:t>/乡镇人民政府</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30</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规划</w:t>
            </w:r>
          </w:p>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许可</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乡村建设规划许可</w:t>
            </w:r>
          </w:p>
        </w:tc>
        <w:tc>
          <w:tcPr>
            <w:tcW w:w="2014" w:type="dxa"/>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乡村建设规划许可证证载内容（涉密</w:t>
            </w:r>
            <w:r>
              <w:rPr>
                <w:rFonts w:hint="eastAsia" w:ascii="宋体" w:hAnsi="宋体" w:eastAsia="宋体" w:cs="宋体"/>
                <w:color w:val="auto"/>
                <w:kern w:val="0"/>
                <w:sz w:val="21"/>
                <w:szCs w:val="21"/>
                <w:lang w:eastAsia="zh-CN"/>
              </w:rPr>
              <w:t>信息、法律法规规定不予公开的除外</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《行政许可法》《城乡规划法》《政府信息公开条例》</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矿山地质环境保护与土地复垦方案</w:t>
            </w:r>
            <w:r>
              <w:rPr>
                <w:rFonts w:hint="eastAsia" w:ascii="宋体" w:hAnsi="宋体" w:eastAsia="宋体" w:cs="宋体"/>
                <w:color w:val="auto"/>
                <w:kern w:val="0"/>
                <w:sz w:val="21"/>
                <w:szCs w:val="21"/>
                <w:lang w:eastAsia="zh-CN"/>
              </w:rPr>
              <w:t>审查</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审查</w:t>
            </w:r>
            <w:r>
              <w:rPr>
                <w:rFonts w:hint="eastAsia" w:ascii="宋体" w:hAnsi="宋体" w:eastAsia="宋体" w:cs="宋体"/>
                <w:color w:val="auto"/>
                <w:kern w:val="0"/>
                <w:sz w:val="21"/>
                <w:szCs w:val="21"/>
              </w:rPr>
              <w:t>结果</w:t>
            </w:r>
          </w:p>
        </w:tc>
        <w:tc>
          <w:tcPr>
            <w:tcW w:w="2014" w:type="dxa"/>
            <w:noWrap w:val="0"/>
            <w:vAlign w:val="center"/>
          </w:tcPr>
          <w:p>
            <w:pPr>
              <w:pStyle w:val="3"/>
              <w:shd w:val="clear" w:color="auto" w:fill="FFFFFF"/>
              <w:spacing w:before="0" w:beforeAutospacing="0" w:after="0" w:afterAutospacing="0"/>
              <w:ind w:left="0" w:leftChars="0" w:right="0"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拟通过审查的矿山地质环境保护与土地复垦方案公示、矿山地质环境保护与土地复垦方案</w:t>
            </w:r>
            <w:r>
              <w:rPr>
                <w:rFonts w:hint="eastAsia" w:ascii="宋体" w:hAnsi="宋体" w:cs="宋体"/>
                <w:color w:val="auto"/>
                <w:sz w:val="21"/>
                <w:szCs w:val="21"/>
                <w:lang w:eastAsia="zh-CN"/>
              </w:rPr>
              <w:t>审查结果</w:t>
            </w:r>
            <w:r>
              <w:rPr>
                <w:rFonts w:hint="eastAsia" w:ascii="宋体" w:hAnsi="宋体" w:eastAsia="宋体" w:cs="宋体"/>
                <w:color w:val="auto"/>
                <w:sz w:val="21"/>
                <w:szCs w:val="21"/>
              </w:rPr>
              <w:t>公告</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《政府信息公开条例》《国务院办公厅关于推进公共资源配置领域政府信息公开的意见》（国办发〔2017〕97号）</w:t>
            </w:r>
            <w:r>
              <w:rPr>
                <w:rFonts w:hint="eastAsia" w:ascii="宋体" w:hAnsi="宋体" w:eastAsia="宋体" w:cs="宋体"/>
                <w:color w:val="auto"/>
                <w:kern w:val="0"/>
                <w:sz w:val="21"/>
                <w:szCs w:val="21"/>
                <w:lang w:val="en-US" w:eastAsia="zh-CN"/>
              </w:rPr>
              <w:t>《土地复垦条例实施办法》（国土资源部第56号令）《关于加强矿山地质环境恢复和综合治理的指导意见》（国土资发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63号）</w:t>
            </w:r>
          </w:p>
        </w:tc>
        <w:tc>
          <w:tcPr>
            <w:tcW w:w="1295"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b w:val="0"/>
                <w:bCs w:val="0"/>
                <w:color w:val="auto"/>
                <w:kern w:val="0"/>
                <w:sz w:val="21"/>
                <w:szCs w:val="21"/>
                <w:lang w:eastAsia="zh-CN"/>
              </w:rPr>
              <w:t>方案公示不得少于</w:t>
            </w:r>
            <w:r>
              <w:rPr>
                <w:rFonts w:hint="eastAsia" w:ascii="宋体" w:hAnsi="宋体" w:eastAsia="宋体" w:cs="宋体"/>
                <w:b w:val="0"/>
                <w:bCs w:val="0"/>
                <w:color w:val="auto"/>
                <w:kern w:val="0"/>
                <w:sz w:val="21"/>
                <w:szCs w:val="21"/>
                <w:lang w:val="en-US" w:eastAsia="zh-CN"/>
              </w:rPr>
              <w:t>7个工作日，方案通过之日起</w:t>
            </w:r>
            <w:r>
              <w:rPr>
                <w:rFonts w:hint="eastAsia" w:ascii="宋体" w:hAnsi="宋体" w:eastAsia="宋体" w:cs="宋体"/>
                <w:b w:val="0"/>
                <w:bCs w:val="0"/>
                <w:color w:val="auto"/>
                <w:kern w:val="0"/>
                <w:sz w:val="21"/>
                <w:szCs w:val="21"/>
              </w:rPr>
              <w:t>20个工作日内</w:t>
            </w:r>
            <w:r>
              <w:rPr>
                <w:rFonts w:hint="eastAsia" w:ascii="宋体" w:hAnsi="宋体" w:eastAsia="宋体" w:cs="宋体"/>
                <w:b w:val="0"/>
                <w:bCs w:val="0"/>
                <w:color w:val="auto"/>
                <w:kern w:val="0"/>
                <w:sz w:val="21"/>
                <w:szCs w:val="21"/>
                <w:lang w:val="en-US" w:eastAsia="zh-CN"/>
              </w:rPr>
              <w:t>公告</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3</w:t>
            </w:r>
            <w:r>
              <w:rPr>
                <w:rFonts w:hint="eastAsia" w:ascii="宋体" w:hAnsi="宋体" w:eastAsia="宋体" w:cs="宋体"/>
                <w:color w:val="auto"/>
                <w:kern w:val="0"/>
                <w:sz w:val="21"/>
                <w:szCs w:val="21"/>
                <w:lang w:val="en-US" w:eastAsia="zh-CN"/>
              </w:rPr>
              <w:t>2</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生态修复项目批准</w:t>
            </w:r>
          </w:p>
        </w:tc>
        <w:tc>
          <w:tcPr>
            <w:tcW w:w="1118"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批准服务</w:t>
            </w:r>
            <w:r>
              <w:rPr>
                <w:rFonts w:hint="eastAsia" w:ascii="宋体" w:hAnsi="宋体" w:eastAsia="宋体" w:cs="宋体"/>
                <w:color w:val="auto"/>
                <w:kern w:val="0"/>
                <w:sz w:val="21"/>
                <w:szCs w:val="21"/>
                <w:lang w:eastAsia="zh-CN"/>
              </w:rPr>
              <w:t>信息</w:t>
            </w:r>
          </w:p>
        </w:tc>
        <w:tc>
          <w:tcPr>
            <w:tcW w:w="2014" w:type="dxa"/>
            <w:noWrap w:val="0"/>
            <w:vAlign w:val="center"/>
          </w:tcPr>
          <w:p>
            <w:pPr>
              <w:pStyle w:val="3"/>
              <w:shd w:val="clear" w:color="auto" w:fill="FFFFFF"/>
              <w:spacing w:before="0" w:beforeAutospacing="0" w:after="0" w:afterAutospacing="0"/>
              <w:jc w:val="both"/>
              <w:rPr>
                <w:rFonts w:hint="eastAsia" w:ascii="宋体" w:hAnsi="宋体" w:eastAsia="宋体" w:cs="宋体"/>
                <w:color w:val="auto"/>
                <w:sz w:val="21"/>
                <w:szCs w:val="21"/>
              </w:rPr>
            </w:pPr>
            <w:r>
              <w:rPr>
                <w:rFonts w:hint="eastAsia" w:ascii="宋体" w:hAnsi="宋体" w:eastAsia="宋体" w:cs="宋体"/>
                <w:color w:val="auto"/>
                <w:sz w:val="21"/>
                <w:szCs w:val="21"/>
              </w:rPr>
              <w:t>申报要求、申报材料清单、批准流程、办理时限、受理机构联系方式、监督举报方式等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《政府信息公开条例》《国务院办公厅关于推进重大建设项目批准和实施领域政府信息公开的意见》</w:t>
            </w:r>
            <w:r>
              <w:rPr>
                <w:rFonts w:hint="eastAsia" w:ascii="宋体" w:hAnsi="宋体" w:eastAsia="宋体" w:cs="宋体"/>
                <w:color w:val="auto"/>
                <w:kern w:val="0"/>
                <w:sz w:val="21"/>
                <w:szCs w:val="21"/>
                <w:lang w:eastAsia="zh-CN"/>
              </w:rPr>
              <w:t>（国办发</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94号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实时公开</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3</w:t>
            </w:r>
            <w:r>
              <w:rPr>
                <w:rFonts w:hint="eastAsia" w:ascii="宋体" w:hAnsi="宋体" w:eastAsia="宋体" w:cs="宋体"/>
                <w:color w:val="auto"/>
                <w:kern w:val="0"/>
                <w:sz w:val="21"/>
                <w:szCs w:val="21"/>
                <w:lang w:val="en-US" w:eastAsia="zh-CN"/>
              </w:rPr>
              <w:t>3</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生态修复重大工程实施</w:t>
            </w:r>
          </w:p>
        </w:tc>
        <w:tc>
          <w:tcPr>
            <w:tcW w:w="1118"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招标投标</w:t>
            </w:r>
            <w:r>
              <w:rPr>
                <w:rFonts w:hint="eastAsia" w:ascii="宋体" w:hAnsi="宋体" w:eastAsia="宋体" w:cs="宋体"/>
                <w:color w:val="auto"/>
                <w:kern w:val="0"/>
                <w:sz w:val="21"/>
                <w:szCs w:val="21"/>
                <w:lang w:eastAsia="zh-CN"/>
              </w:rPr>
              <w:t>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资格预审公告、招标公告、中标候选人公示、中标结果公示、合同订立及履行情况、招标投标违法处罚信息等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《政府信息公开条例》《国务院办公厅关于推进重大建设项目批准和实施领域政府信息公开的意见》</w:t>
            </w:r>
            <w:r>
              <w:rPr>
                <w:rFonts w:hint="eastAsia" w:ascii="宋体" w:hAnsi="宋体" w:eastAsia="宋体" w:cs="宋体"/>
                <w:color w:val="auto"/>
                <w:kern w:val="0"/>
                <w:sz w:val="21"/>
                <w:szCs w:val="21"/>
                <w:lang w:eastAsia="zh-CN"/>
              </w:rPr>
              <w:t>（国办发</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94号）《招标公告和公示信息发布管理办法》（发展改革委令</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10号）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34</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生态修复重大工程实施</w:t>
            </w:r>
          </w:p>
        </w:tc>
        <w:tc>
          <w:tcPr>
            <w:tcW w:w="1118"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重大设计变更信息</w:t>
            </w:r>
          </w:p>
        </w:tc>
        <w:tc>
          <w:tcPr>
            <w:tcW w:w="2014"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项目设计更变原因，主要变更内容、变更依据、批准单位、变更结果等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《政府信息公开条例》《国务院办公厅关于推进重大建设项目批准和实施领域政府信息公开的意见》</w:t>
            </w:r>
            <w:r>
              <w:rPr>
                <w:rFonts w:hint="eastAsia" w:ascii="宋体" w:hAnsi="宋体" w:eastAsia="宋体" w:cs="宋体"/>
                <w:color w:val="auto"/>
                <w:kern w:val="0"/>
                <w:sz w:val="21"/>
                <w:szCs w:val="21"/>
                <w:lang w:eastAsia="zh-CN"/>
              </w:rPr>
              <w:t>（国办发</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94号）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3</w:t>
            </w:r>
            <w:r>
              <w:rPr>
                <w:rFonts w:hint="eastAsia" w:ascii="宋体" w:hAnsi="宋体" w:eastAsia="宋体" w:cs="宋体"/>
                <w:color w:val="auto"/>
                <w:kern w:val="0"/>
                <w:sz w:val="21"/>
                <w:szCs w:val="21"/>
                <w:lang w:val="en-US" w:eastAsia="zh-CN"/>
              </w:rPr>
              <w:t>5</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生态修复重大工程实施</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施工有关信息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实施期限，实施单位及责任人，设计、施工、监理单位及其主要负责人、项目负责人信息、资质情况，施工单位项目管理机构设置、工作职责、主要管理制度，施工期环境保护措施落实情况等</w:t>
            </w:r>
          </w:p>
        </w:tc>
        <w:tc>
          <w:tcPr>
            <w:tcW w:w="2050" w:type="dxa"/>
            <w:noWrap w:val="0"/>
            <w:vAlign w:val="center"/>
          </w:tcPr>
          <w:p>
            <w:pPr>
              <w:widowControl/>
              <w:adjustRightInd w:val="0"/>
              <w:snapToGrid w:val="0"/>
              <w:spacing w:line="276" w:lineRule="auto"/>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《政府信息公开条例》《国务院办公厅关于推进重大建设项目批准和实施领域政府信息公开的意见》</w:t>
            </w:r>
            <w:r>
              <w:rPr>
                <w:rFonts w:hint="eastAsia" w:ascii="宋体" w:hAnsi="宋体" w:eastAsia="宋体" w:cs="宋体"/>
                <w:color w:val="auto"/>
                <w:kern w:val="0"/>
                <w:sz w:val="21"/>
                <w:szCs w:val="21"/>
                <w:lang w:eastAsia="zh-CN"/>
              </w:rPr>
              <w:t>（国办发</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94号）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3</w:t>
            </w:r>
            <w:r>
              <w:rPr>
                <w:rFonts w:hint="eastAsia" w:ascii="宋体" w:hAnsi="宋体" w:eastAsia="宋体" w:cs="宋体"/>
                <w:color w:val="auto"/>
                <w:kern w:val="0"/>
                <w:sz w:val="21"/>
                <w:szCs w:val="21"/>
                <w:lang w:val="en-US" w:eastAsia="zh-CN"/>
              </w:rPr>
              <w:t>6</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生态修复重大工程实施</w:t>
            </w:r>
          </w:p>
        </w:tc>
        <w:tc>
          <w:tcPr>
            <w:tcW w:w="1118"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质量安全监督</w:t>
            </w:r>
            <w:r>
              <w:rPr>
                <w:rFonts w:hint="eastAsia" w:ascii="宋体" w:hAnsi="宋体" w:eastAsia="宋体" w:cs="宋体"/>
                <w:color w:val="auto"/>
                <w:kern w:val="0"/>
                <w:sz w:val="21"/>
                <w:szCs w:val="21"/>
                <w:lang w:eastAsia="zh-CN"/>
              </w:rPr>
              <w:t>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质量安全监督机构及其联系方式、质量安全行政处罚情况等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《政府信息公开条例》《国务院办公厅关于推进重大建设项目批准和实施领域政府信息公开的意见》</w:t>
            </w:r>
            <w:r>
              <w:rPr>
                <w:rFonts w:hint="eastAsia" w:ascii="宋体" w:hAnsi="宋体" w:eastAsia="宋体" w:cs="宋体"/>
                <w:color w:val="auto"/>
                <w:kern w:val="0"/>
                <w:sz w:val="21"/>
                <w:szCs w:val="21"/>
                <w:lang w:eastAsia="zh-CN"/>
              </w:rPr>
              <w:t>（国办发</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94号）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3</w:t>
            </w:r>
            <w:r>
              <w:rPr>
                <w:rFonts w:hint="eastAsia" w:ascii="宋体" w:hAnsi="宋体" w:eastAsia="宋体" w:cs="宋体"/>
                <w:color w:val="auto"/>
                <w:kern w:val="0"/>
                <w:sz w:val="21"/>
                <w:szCs w:val="21"/>
                <w:lang w:val="en-US" w:eastAsia="zh-CN"/>
              </w:rPr>
              <w:t>7</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生态修复重大工程实施</w:t>
            </w:r>
          </w:p>
        </w:tc>
        <w:tc>
          <w:tcPr>
            <w:tcW w:w="1118"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工程竣工</w:t>
            </w:r>
            <w:r>
              <w:rPr>
                <w:rFonts w:hint="eastAsia" w:ascii="宋体" w:hAnsi="宋体" w:eastAsia="宋体" w:cs="宋体"/>
                <w:color w:val="auto"/>
                <w:kern w:val="0"/>
                <w:sz w:val="21"/>
                <w:szCs w:val="21"/>
                <w:lang w:eastAsia="zh-CN"/>
              </w:rPr>
              <w:t>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竣工验收时间、工程质量验收结果，竣工验收备案时间、备案编号、备案部门、交付使用时间，竣工决算审计单位、审计结论、财务决算金额等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《政府信息公开条例》《国务院办公厅关于推进重大建设项目批准和实施领域政府信息公开的意见》</w:t>
            </w:r>
            <w:r>
              <w:rPr>
                <w:rFonts w:hint="eastAsia" w:ascii="宋体" w:hAnsi="宋体" w:eastAsia="宋体" w:cs="宋体"/>
                <w:color w:val="auto"/>
                <w:kern w:val="0"/>
                <w:sz w:val="21"/>
                <w:szCs w:val="21"/>
                <w:lang w:eastAsia="zh-CN"/>
              </w:rPr>
              <w:t>（国办发</w:t>
            </w:r>
            <w:r>
              <w:rPr>
                <w:rFonts w:hint="eastAsia" w:ascii="宋体" w:hAnsi="宋体" w:eastAsia="宋体" w:cs="宋体"/>
                <w:color w:val="auto"/>
                <w:kern w:val="0"/>
                <w:sz w:val="21"/>
                <w:szCs w:val="21"/>
              </w:rPr>
              <w:t>〔2017〕</w:t>
            </w:r>
            <w:r>
              <w:rPr>
                <w:rFonts w:hint="eastAsia" w:ascii="宋体" w:hAnsi="宋体" w:eastAsia="宋体" w:cs="宋体"/>
                <w:color w:val="auto"/>
                <w:kern w:val="0"/>
                <w:sz w:val="21"/>
                <w:szCs w:val="21"/>
                <w:lang w:val="en-US" w:eastAsia="zh-CN"/>
              </w:rPr>
              <w:t>94号）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3</w:t>
            </w:r>
            <w:r>
              <w:rPr>
                <w:rFonts w:hint="eastAsia" w:ascii="宋体" w:hAnsi="宋体" w:eastAsia="宋体" w:cs="宋体"/>
                <w:color w:val="auto"/>
                <w:kern w:val="0"/>
                <w:sz w:val="21"/>
                <w:szCs w:val="21"/>
                <w:lang w:val="en-US" w:eastAsia="zh-CN"/>
              </w:rPr>
              <w:t>8</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用地审批</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农村集体经济组织兴办企业用地审核</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审批结果信息和相关批复文件（建设使用集体所有土地决定书</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《政府信息公开条例》《土地管理法》</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39</w:t>
            </w:r>
          </w:p>
        </w:tc>
        <w:tc>
          <w:tcPr>
            <w:tcW w:w="654" w:type="dxa"/>
            <w:noWrap w:val="0"/>
            <w:vAlign w:val="center"/>
          </w:tcPr>
          <w:p>
            <w:pPr>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用地审批</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乡（镇）村公共设施、公益事业建设用地审核</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审批结果信息和相关批复文件（</w:t>
            </w:r>
            <w:r>
              <w:rPr>
                <w:rFonts w:hint="eastAsia" w:ascii="宋体" w:hAnsi="宋体" w:eastAsia="宋体" w:cs="宋体"/>
                <w:color w:val="auto"/>
                <w:kern w:val="0"/>
                <w:sz w:val="21"/>
                <w:szCs w:val="21"/>
                <w:lang w:eastAsia="zh-CN"/>
              </w:rPr>
              <w:t>划拨</w:t>
            </w:r>
            <w:r>
              <w:rPr>
                <w:rFonts w:hint="eastAsia" w:ascii="宋体" w:hAnsi="宋体" w:eastAsia="宋体" w:cs="宋体"/>
                <w:color w:val="auto"/>
                <w:kern w:val="0"/>
                <w:sz w:val="21"/>
                <w:szCs w:val="21"/>
              </w:rPr>
              <w:t>决定书</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 xml:space="preserve"> </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《政府信息公开条例》《土地管理法》</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p>
            <w:pPr>
              <w:widowControl/>
              <w:adjustRightInd w:val="0"/>
              <w:snapToGrid w:val="0"/>
              <w:spacing w:line="300" w:lineRule="auto"/>
              <w:rPr>
                <w:rFonts w:hint="eastAsia" w:ascii="宋体" w:hAnsi="宋体" w:eastAsia="宋体" w:cs="宋体"/>
                <w:color w:val="auto"/>
                <w:kern w:val="0"/>
                <w:sz w:val="21"/>
                <w:szCs w:val="21"/>
              </w:rPr>
            </w:pP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40</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用地审批</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临时用地审批</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审批结果信息和相关批复文件（临时用地批准书等）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《政府信息公开条例》《土地管理法》</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用地审批</w:t>
            </w:r>
          </w:p>
        </w:tc>
        <w:tc>
          <w:tcPr>
            <w:tcW w:w="1118"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农用地转用审批</w:t>
            </w:r>
          </w:p>
        </w:tc>
        <w:tc>
          <w:tcPr>
            <w:tcW w:w="2014" w:type="dxa"/>
            <w:noWrap w:val="0"/>
            <w:vAlign w:val="center"/>
          </w:tcPr>
          <w:p>
            <w:pPr>
              <w:widowControl/>
              <w:jc w:val="left"/>
              <w:rPr>
                <w:rFonts w:hint="eastAsia" w:ascii="宋体" w:hAnsi="宋体" w:eastAsia="宋体" w:cs="宋体"/>
                <w:color w:val="auto"/>
                <w:kern w:val="0"/>
                <w:sz w:val="21"/>
                <w:szCs w:val="21"/>
              </w:rPr>
            </w:pPr>
          </w:p>
          <w:p>
            <w:pPr>
              <w:widowControl/>
              <w:numPr>
                <w:ilvl w:val="0"/>
                <w:numId w:val="0"/>
              </w:numPr>
              <w:tabs>
                <w:tab w:val="left" w:pos="312"/>
              </w:tabs>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经有批准权的人民政府审批通过的申报材料，包括建设用地请示、农用地转用方案等；2.农用地转用批准文件，包括国务院批准农用地转用批复文件、省级人民政府批准农用地转用批复文件、地方人民政府转发农用地转用批复文件、其他涉及农用地转用的批准文件等</w:t>
            </w:r>
            <w:r>
              <w:rPr>
                <w:rFonts w:hint="eastAsia" w:ascii="宋体" w:hAnsi="宋体" w:eastAsia="宋体" w:cs="宋体"/>
                <w:color w:val="auto"/>
                <w:kern w:val="0"/>
                <w:szCs w:val="21"/>
                <w:lang w:eastAsia="zh-CN"/>
              </w:rPr>
              <w:t>。</w:t>
            </w:r>
          </w:p>
          <w:p>
            <w:pPr>
              <w:widowControl/>
              <w:numPr>
                <w:ilvl w:val="0"/>
                <w:numId w:val="0"/>
              </w:numPr>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Cs w:val="21"/>
              </w:rPr>
              <w:t>其他相关报批材料和图件由各省（区、市）确定公开方式</w:t>
            </w:r>
            <w:r>
              <w:rPr>
                <w:rFonts w:hint="eastAsia" w:ascii="宋体" w:hAnsi="宋体" w:eastAsia="宋体" w:cs="宋体"/>
                <w:color w:val="auto"/>
                <w:kern w:val="0"/>
                <w:szCs w:val="21"/>
                <w:lang w:eastAsia="zh-CN"/>
              </w:rPr>
              <w:t>】</w:t>
            </w:r>
          </w:p>
        </w:tc>
        <w:tc>
          <w:tcPr>
            <w:tcW w:w="2050" w:type="dxa"/>
            <w:noWrap w:val="0"/>
            <w:vAlign w:val="center"/>
          </w:tcPr>
          <w:p>
            <w:pPr>
              <w:widowControl/>
              <w:adjustRightInd w:val="0"/>
              <w:snapToGrid w:val="0"/>
              <w:spacing w:line="276"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《政府信息公开条例》《土地管理法》</w:t>
            </w:r>
          </w:p>
        </w:tc>
        <w:tc>
          <w:tcPr>
            <w:tcW w:w="1295" w:type="dxa"/>
            <w:noWrap w:val="0"/>
            <w:vAlign w:val="center"/>
          </w:tcPr>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收到农用地转用批复文件之日起</w:t>
            </w:r>
            <w:r>
              <w:rPr>
                <w:rFonts w:hint="eastAsia" w:ascii="宋体" w:hAnsi="宋体" w:eastAsia="宋体" w:cs="宋体"/>
                <w:color w:val="auto"/>
                <w:kern w:val="0"/>
                <w:sz w:val="21"/>
                <w:szCs w:val="21"/>
                <w:lang w:eastAsia="zh-CN"/>
              </w:rPr>
              <w:t>2</w:t>
            </w:r>
            <w:r>
              <w:rPr>
                <w:rFonts w:hint="eastAsia" w:ascii="宋体" w:hAnsi="宋体" w:eastAsia="宋体" w:cs="宋体"/>
                <w:color w:val="auto"/>
                <w:kern w:val="0"/>
                <w:sz w:val="21"/>
                <w:szCs w:val="21"/>
              </w:rPr>
              <w:t>0个工作日内</w:t>
            </w:r>
          </w:p>
        </w:tc>
        <w:tc>
          <w:tcPr>
            <w:tcW w:w="1200" w:type="dxa"/>
            <w:noWrap w:val="0"/>
            <w:vAlign w:val="center"/>
          </w:tcPr>
          <w:p>
            <w:pPr>
              <w:jc w:val="lef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spacing w:line="26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bidi="ar"/>
              </w:rPr>
              <w:t>42</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农村集体土地征收</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征地管理政策</w:t>
            </w:r>
          </w:p>
        </w:tc>
        <w:tc>
          <w:tcPr>
            <w:tcW w:w="2014" w:type="dxa"/>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征地补偿安置法律以及适用于本地区的政策、技术标准等规定要求</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bidi="ar"/>
              </w:rPr>
              <w:t>法律法规和规章；征地前期工作、征地审查报批、征地组织实施规范性文件；征收农用地区片综合地价；地上附着物和青苗补偿费标准；被征地农民安置与社会保障有关规定；省级政府制订的征地补偿安置协议示范文本等材料</w:t>
            </w:r>
          </w:p>
          <w:p>
            <w:pPr>
              <w:widowControl/>
              <w:spacing w:line="260" w:lineRule="exact"/>
              <w:rPr>
                <w:rFonts w:hint="eastAsia" w:ascii="宋体" w:hAnsi="宋体" w:eastAsia="宋体" w:cs="宋体"/>
                <w:b/>
                <w:bCs/>
                <w:color w:val="auto"/>
                <w:kern w:val="0"/>
                <w:sz w:val="21"/>
                <w:szCs w:val="21"/>
                <w:lang w:eastAsia="zh-CN"/>
              </w:rPr>
            </w:pP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*征地工作流程图</w:t>
            </w:r>
            <w:r>
              <w:rPr>
                <w:rFonts w:hint="eastAsia" w:ascii="宋体" w:hAnsi="宋体" w:eastAsia="宋体" w:cs="宋体"/>
                <w:color w:val="auto"/>
                <w:kern w:val="0"/>
                <w:sz w:val="21"/>
                <w:szCs w:val="21"/>
                <w:lang w:eastAsia="zh-CN" w:bidi="ar"/>
              </w:rPr>
              <w:t>】</w:t>
            </w:r>
          </w:p>
        </w:tc>
        <w:tc>
          <w:tcPr>
            <w:tcW w:w="2050" w:type="dxa"/>
            <w:noWrap w:val="0"/>
            <w:vAlign w:val="center"/>
          </w:tcPr>
          <w:p>
            <w:pPr>
              <w:widowControl/>
              <w:adjustRightInd w:val="0"/>
              <w:snapToGrid w:val="0"/>
              <w:spacing w:line="276" w:lineRule="auto"/>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lang w:bidi="ar"/>
              </w:rPr>
              <w:t>《政府信息公开条例》</w:t>
            </w:r>
          </w:p>
        </w:tc>
        <w:tc>
          <w:tcPr>
            <w:tcW w:w="1295" w:type="dxa"/>
            <w:noWrap w:val="0"/>
            <w:vAlign w:val="center"/>
          </w:tcPr>
          <w:p>
            <w:pPr>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自形成或者变更之日起20个工作日内予以公开，法律法规另有规定的</w:t>
            </w:r>
            <w:r>
              <w:rPr>
                <w:rFonts w:hint="eastAsia" w:ascii="宋体" w:hAnsi="宋体" w:eastAsia="宋体" w:cs="宋体"/>
                <w:color w:val="auto"/>
                <w:kern w:val="0"/>
                <w:sz w:val="21"/>
                <w:szCs w:val="21"/>
                <w:lang w:eastAsia="zh-CN"/>
              </w:rPr>
              <w:t>从其规定</w:t>
            </w:r>
          </w:p>
        </w:tc>
        <w:tc>
          <w:tcPr>
            <w:tcW w:w="1200" w:type="dxa"/>
            <w:noWrap w:val="0"/>
            <w:vAlign w:val="center"/>
          </w:tcPr>
          <w:p>
            <w:pPr>
              <w:widowControl/>
              <w:spacing w:line="260" w:lineRule="exact"/>
              <w:rPr>
                <w:rFonts w:hint="eastAsia" w:ascii="宋体" w:hAnsi="宋体" w:eastAsia="宋体" w:cs="宋体"/>
                <w:b/>
                <w:bCs/>
                <w:color w:val="auto"/>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lang w:bidi="ar"/>
              </w:rPr>
              <w:t>/县级人民政府</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bidi="ar"/>
              </w:rPr>
              <w:t>征地信息公开平台</w:t>
            </w:r>
            <w:r>
              <w:rPr>
                <w:rFonts w:hint="eastAsia" w:ascii="宋体" w:hAnsi="宋体" w:eastAsia="宋体" w:cs="宋体"/>
                <w:color w:val="auto"/>
                <w:kern w:val="0"/>
                <w:sz w:val="21"/>
                <w:szCs w:val="21"/>
                <w:u w:val="single"/>
              </w:rPr>
              <w:t xml:space="preserve">  </w:t>
            </w:r>
          </w:p>
          <w:p>
            <w:pPr>
              <w:widowControl/>
              <w:adjustRightInd w:val="0"/>
              <w:snapToGrid w:val="0"/>
              <w:spacing w:line="300" w:lineRule="auto"/>
              <w:rPr>
                <w:rFonts w:hint="eastAsia" w:ascii="宋体" w:hAnsi="宋体" w:eastAsia="宋体" w:cs="宋体"/>
                <w:b/>
                <w:bCs/>
                <w:color w:val="auto"/>
                <w:kern w:val="0"/>
                <w:sz w:val="21"/>
                <w:szCs w:val="21"/>
              </w:rPr>
            </w:pPr>
          </w:p>
        </w:tc>
        <w:tc>
          <w:tcPr>
            <w:tcW w:w="354"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w:t>
            </w:r>
          </w:p>
        </w:tc>
        <w:tc>
          <w:tcPr>
            <w:tcW w:w="409" w:type="dxa"/>
            <w:noWrap w:val="0"/>
            <w:vAlign w:val="center"/>
          </w:tcPr>
          <w:p>
            <w:pPr>
              <w:widowControl/>
              <w:spacing w:line="260" w:lineRule="exact"/>
              <w:jc w:val="center"/>
              <w:rPr>
                <w:rFonts w:hint="eastAsia" w:ascii="宋体" w:hAnsi="宋体" w:eastAsia="宋体" w:cs="宋体"/>
                <w:color w:val="auto"/>
                <w:kern w:val="0"/>
                <w:sz w:val="21"/>
                <w:szCs w:val="21"/>
              </w:rPr>
            </w:pPr>
          </w:p>
        </w:tc>
        <w:tc>
          <w:tcPr>
            <w:tcW w:w="423"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w:t>
            </w:r>
          </w:p>
        </w:tc>
        <w:tc>
          <w:tcPr>
            <w:tcW w:w="396" w:type="dxa"/>
            <w:noWrap w:val="0"/>
            <w:vAlign w:val="center"/>
          </w:tcPr>
          <w:p>
            <w:pPr>
              <w:widowControl/>
              <w:spacing w:line="260" w:lineRule="exact"/>
              <w:jc w:val="center"/>
              <w:rPr>
                <w:rFonts w:hint="eastAsia" w:ascii="宋体" w:hAnsi="宋体" w:eastAsia="宋体" w:cs="宋体"/>
                <w:color w:val="auto"/>
                <w:kern w:val="0"/>
                <w:sz w:val="21"/>
                <w:szCs w:val="21"/>
              </w:rPr>
            </w:pPr>
          </w:p>
        </w:tc>
        <w:tc>
          <w:tcPr>
            <w:tcW w:w="436"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w:t>
            </w:r>
          </w:p>
        </w:tc>
        <w:tc>
          <w:tcPr>
            <w:tcW w:w="405" w:type="dxa"/>
            <w:noWrap w:val="0"/>
            <w:vAlign w:val="center"/>
          </w:tcPr>
          <w:p>
            <w:pPr>
              <w:widowControl/>
              <w:spacing w:line="260" w:lineRule="exact"/>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bidi="ar"/>
              </w:rPr>
              <w:t>4</w:t>
            </w:r>
            <w:r>
              <w:rPr>
                <w:rFonts w:hint="eastAsia" w:ascii="宋体" w:hAnsi="宋体" w:eastAsia="宋体" w:cs="宋体"/>
                <w:color w:val="auto"/>
                <w:kern w:val="0"/>
                <w:sz w:val="21"/>
                <w:szCs w:val="21"/>
                <w:lang w:val="en-US" w:eastAsia="zh-CN" w:bidi="ar"/>
              </w:rPr>
              <w:t>3</w:t>
            </w:r>
          </w:p>
        </w:tc>
        <w:tc>
          <w:tcPr>
            <w:tcW w:w="654"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农村集体土地征收</w:t>
            </w:r>
          </w:p>
        </w:tc>
        <w:tc>
          <w:tcPr>
            <w:tcW w:w="1118"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征地法定公告</w:t>
            </w:r>
          </w:p>
        </w:tc>
        <w:tc>
          <w:tcPr>
            <w:tcW w:w="2014" w:type="dxa"/>
            <w:vMerge w:val="restart"/>
            <w:noWrap w:val="0"/>
            <w:vAlign w:val="center"/>
          </w:tcPr>
          <w:p>
            <w:pPr>
              <w:widowControl/>
              <w:spacing w:line="260" w:lineRule="exac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w:t>
            </w:r>
            <w:r>
              <w:rPr>
                <w:rFonts w:hint="eastAsia" w:ascii="宋体" w:hAnsi="宋体" w:cs="宋体"/>
                <w:color w:val="auto"/>
                <w:kern w:val="0"/>
                <w:sz w:val="21"/>
                <w:szCs w:val="21"/>
                <w:lang w:eastAsia="zh-CN" w:bidi="ar"/>
              </w:rPr>
              <w:t>；</w:t>
            </w:r>
            <w:r>
              <w:rPr>
                <w:rFonts w:hint="eastAsia" w:ascii="宋体" w:hAnsi="宋体" w:eastAsia="宋体" w:cs="宋体"/>
                <w:color w:val="auto"/>
                <w:kern w:val="0"/>
                <w:sz w:val="21"/>
                <w:szCs w:val="21"/>
                <w:lang w:bidi="ar"/>
              </w:rPr>
              <w:t>3.征收土地公告，公布征地批准机关、批准文号、批准时间、批准用途，征收范围、组织实施征收具体工作安排以及救济途径等。</w:t>
            </w:r>
          </w:p>
        </w:tc>
        <w:tc>
          <w:tcPr>
            <w:tcW w:w="2050" w:type="dxa"/>
            <w:vMerge w:val="restart"/>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土地管理法》</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土地管理法实施条例》</w:t>
            </w:r>
          </w:p>
        </w:tc>
        <w:tc>
          <w:tcPr>
            <w:tcW w:w="1295" w:type="dxa"/>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征收土地预公告、征地补偿安置公告自形成之日起，在乡（镇）和村、村民小组公示栏公开；征收土地预公告不少于10个工作日，征地补偿安置公告不少于30日；</w:t>
            </w:r>
          </w:p>
          <w:p>
            <w:pPr>
              <w:widowControl/>
              <w:spacing w:line="2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征收土地公告自收到批准文件之日起15工作日内，在乡（镇）和村、村民小组公示栏公开不少于5个工作日</w:t>
            </w:r>
          </w:p>
        </w:tc>
        <w:tc>
          <w:tcPr>
            <w:tcW w:w="1200" w:type="dxa"/>
            <w:vMerge w:val="restart"/>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lang w:bidi="ar"/>
              </w:rPr>
              <w:t>/县级人民政府</w:t>
            </w:r>
          </w:p>
        </w:tc>
        <w:tc>
          <w:tcPr>
            <w:tcW w:w="2987" w:type="dxa"/>
            <w:vMerge w:val="restart"/>
            <w:noWrap w:val="0"/>
            <w:vAlign w:val="center"/>
          </w:tcPr>
          <w:p>
            <w:pPr>
              <w:widowControl/>
              <w:adjustRightInd w:val="0"/>
              <w:snapToGrid w:val="0"/>
              <w:spacing w:line="300" w:lineRule="auto"/>
              <w:rPr>
                <w:rFonts w:hint="eastAsia" w:ascii="宋体" w:hAnsi="宋体" w:eastAsia="宋体" w:cs="宋体"/>
                <w:color w:val="auto"/>
                <w:kern w:val="0"/>
                <w:sz w:val="21"/>
                <w:szCs w:val="21"/>
              </w:rPr>
            </w:pP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 xml:space="preserve">□精准推送 </w:t>
            </w:r>
            <w:r>
              <w:rPr>
                <w:rFonts w:hint="eastAsia" w:ascii="宋体" w:hAnsi="宋体" w:eastAsia="宋体" w:cs="宋体"/>
                <w:color w:val="auto"/>
                <w:kern w:val="0"/>
                <w:sz w:val="21"/>
                <w:szCs w:val="21"/>
              </w:rPr>
              <w:sym w:font="Times New Roman" w:char="0000"/>
            </w:r>
            <w:r>
              <w:rPr>
                <w:rFonts w:hint="eastAsia" w:ascii="宋体" w:hAnsi="宋体" w:eastAsia="宋体" w:cs="宋体"/>
                <w:color w:val="auto"/>
                <w:kern w:val="0"/>
                <w:sz w:val="21"/>
                <w:szCs w:val="21"/>
              </w:rPr>
              <w:t>■其他</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bidi="ar"/>
              </w:rPr>
              <w:t>征地信息公开平台</w:t>
            </w:r>
            <w:r>
              <w:rPr>
                <w:rFonts w:hint="eastAsia" w:ascii="宋体" w:hAnsi="宋体" w:eastAsia="宋体" w:cs="宋体"/>
                <w:color w:val="auto"/>
                <w:kern w:val="0"/>
                <w:sz w:val="21"/>
                <w:szCs w:val="21"/>
                <w:u w:val="single"/>
              </w:rPr>
              <w:t xml:space="preserve">  </w:t>
            </w:r>
          </w:p>
          <w:p>
            <w:pPr>
              <w:widowControl/>
              <w:adjustRightInd w:val="0"/>
              <w:snapToGrid w:val="0"/>
              <w:spacing w:line="300" w:lineRule="auto"/>
              <w:rPr>
                <w:rFonts w:hint="eastAsia" w:ascii="宋体" w:hAnsi="宋体" w:eastAsia="宋体" w:cs="宋体"/>
                <w:color w:val="auto"/>
                <w:kern w:val="0"/>
                <w:sz w:val="21"/>
                <w:szCs w:val="21"/>
                <w:u w:val="single"/>
              </w:rPr>
            </w:pPr>
          </w:p>
          <w:p>
            <w:pPr>
              <w:adjustRightInd w:val="0"/>
              <w:snapToGrid w:val="0"/>
              <w:spacing w:line="300" w:lineRule="auto"/>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 xml:space="preserve">   </w:t>
            </w:r>
          </w:p>
        </w:tc>
        <w:tc>
          <w:tcPr>
            <w:tcW w:w="354"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409" w:type="dxa"/>
            <w:vMerge w:val="restart"/>
            <w:noWrap w:val="0"/>
            <w:vAlign w:val="center"/>
          </w:tcPr>
          <w:p>
            <w:pPr>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r>
              <w:rPr>
                <w:rFonts w:hint="eastAsia" w:ascii="宋体" w:hAnsi="宋体" w:eastAsia="宋体" w:cs="宋体"/>
                <w:bCs w:val="0"/>
                <w:color w:val="auto"/>
                <w:kern w:val="0"/>
                <w:sz w:val="21"/>
                <w:szCs w:val="21"/>
              </w:rPr>
              <w:t>法律要求在特定群体公开</w:t>
            </w:r>
          </w:p>
        </w:tc>
        <w:tc>
          <w:tcPr>
            <w:tcW w:w="423"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396"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p>
        </w:tc>
        <w:tc>
          <w:tcPr>
            <w:tcW w:w="436" w:type="dxa"/>
            <w:vMerge w:val="restart"/>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405"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noWrap w:val="0"/>
            <w:vAlign w:val="center"/>
          </w:tcPr>
          <w:p>
            <w:pPr>
              <w:spacing w:line="260" w:lineRule="exact"/>
              <w:jc w:val="center"/>
              <w:rPr>
                <w:rFonts w:hint="eastAsia" w:ascii="宋体" w:hAnsi="宋体" w:eastAsia="宋体" w:cs="宋体"/>
                <w:color w:val="auto"/>
                <w:kern w:val="0"/>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vMerge w:val="continue"/>
            <w:noWrap w:val="0"/>
            <w:vAlign w:val="center"/>
          </w:tcPr>
          <w:p>
            <w:pPr>
              <w:widowControl/>
              <w:spacing w:line="260" w:lineRule="exact"/>
              <w:rPr>
                <w:rFonts w:hint="eastAsia" w:ascii="宋体" w:hAnsi="宋体" w:eastAsia="宋体" w:cs="宋体"/>
                <w:color w:val="auto"/>
                <w:kern w:val="0"/>
                <w:sz w:val="21"/>
                <w:szCs w:val="21"/>
                <w:lang w:bidi="ar"/>
              </w:rPr>
            </w:pPr>
          </w:p>
        </w:tc>
        <w:tc>
          <w:tcPr>
            <w:tcW w:w="2050" w:type="dxa"/>
            <w:vMerge w:val="continue"/>
            <w:noWrap w:val="0"/>
            <w:vAlign w:val="center"/>
          </w:tcPr>
          <w:p>
            <w:pPr>
              <w:adjustRightInd w:val="0"/>
              <w:snapToGrid w:val="0"/>
              <w:spacing w:line="276" w:lineRule="auto"/>
              <w:rPr>
                <w:rFonts w:hint="eastAsia" w:ascii="宋体" w:hAnsi="宋体" w:eastAsia="宋体" w:cs="宋体"/>
                <w:color w:val="auto"/>
                <w:kern w:val="0"/>
                <w:sz w:val="21"/>
                <w:szCs w:val="21"/>
              </w:rPr>
            </w:pPr>
          </w:p>
        </w:tc>
        <w:tc>
          <w:tcPr>
            <w:tcW w:w="1295"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张贴公示结束后在政府网站、征地信息公开平台公开</w:t>
            </w:r>
          </w:p>
        </w:tc>
        <w:tc>
          <w:tcPr>
            <w:tcW w:w="1200" w:type="dxa"/>
            <w:vMerge w:val="continue"/>
            <w:noWrap w:val="0"/>
            <w:vAlign w:val="center"/>
          </w:tcPr>
          <w:p>
            <w:pPr>
              <w:spacing w:line="260" w:lineRule="exact"/>
              <w:rPr>
                <w:rFonts w:hint="eastAsia" w:ascii="宋体" w:hAnsi="宋体" w:eastAsia="宋体" w:cs="宋体"/>
                <w:color w:val="auto"/>
                <w:kern w:val="0"/>
                <w:sz w:val="21"/>
                <w:szCs w:val="21"/>
              </w:rPr>
            </w:pPr>
          </w:p>
        </w:tc>
        <w:tc>
          <w:tcPr>
            <w:tcW w:w="2987" w:type="dxa"/>
            <w:vMerge w:val="continue"/>
            <w:noWrap w:val="0"/>
            <w:vAlign w:val="center"/>
          </w:tcPr>
          <w:p>
            <w:pPr>
              <w:adjustRightInd w:val="0"/>
              <w:snapToGrid w:val="0"/>
              <w:spacing w:line="300" w:lineRule="auto"/>
              <w:rPr>
                <w:rFonts w:hint="eastAsia" w:ascii="宋体" w:hAnsi="宋体" w:eastAsia="宋体" w:cs="宋体"/>
                <w:color w:val="auto"/>
                <w:kern w:val="0"/>
                <w:sz w:val="21"/>
                <w:szCs w:val="21"/>
              </w:rPr>
            </w:pPr>
          </w:p>
        </w:tc>
        <w:tc>
          <w:tcPr>
            <w:tcW w:w="354" w:type="dxa"/>
            <w:vMerge w:val="continue"/>
            <w:noWrap w:val="0"/>
            <w:vAlign w:val="center"/>
          </w:tcPr>
          <w:p>
            <w:pPr>
              <w:widowControl/>
              <w:spacing w:line="260" w:lineRule="exact"/>
              <w:jc w:val="center"/>
              <w:rPr>
                <w:rFonts w:hint="eastAsia" w:ascii="宋体" w:hAnsi="宋体" w:eastAsia="宋体" w:cs="宋体"/>
                <w:color w:val="auto"/>
                <w:kern w:val="0"/>
                <w:sz w:val="21"/>
                <w:szCs w:val="21"/>
              </w:rPr>
            </w:pPr>
          </w:p>
        </w:tc>
        <w:tc>
          <w:tcPr>
            <w:tcW w:w="409" w:type="dxa"/>
            <w:vMerge w:val="continue"/>
            <w:noWrap w:val="0"/>
            <w:vAlign w:val="center"/>
          </w:tcPr>
          <w:p>
            <w:pPr>
              <w:spacing w:line="260" w:lineRule="exact"/>
              <w:rPr>
                <w:rFonts w:hint="eastAsia" w:ascii="宋体" w:hAnsi="宋体" w:eastAsia="宋体" w:cs="宋体"/>
                <w:color w:val="auto"/>
                <w:kern w:val="0"/>
                <w:sz w:val="21"/>
                <w:szCs w:val="21"/>
              </w:rPr>
            </w:pPr>
          </w:p>
        </w:tc>
        <w:tc>
          <w:tcPr>
            <w:tcW w:w="423" w:type="dxa"/>
            <w:vMerge w:val="continue"/>
            <w:noWrap w:val="0"/>
            <w:vAlign w:val="center"/>
          </w:tcPr>
          <w:p>
            <w:pPr>
              <w:spacing w:line="260" w:lineRule="exact"/>
              <w:rPr>
                <w:rFonts w:hint="eastAsia" w:ascii="宋体" w:hAnsi="宋体" w:eastAsia="宋体" w:cs="宋体"/>
                <w:color w:val="auto"/>
                <w:kern w:val="0"/>
                <w:sz w:val="21"/>
                <w:szCs w:val="21"/>
              </w:rPr>
            </w:pPr>
          </w:p>
        </w:tc>
        <w:tc>
          <w:tcPr>
            <w:tcW w:w="396" w:type="dxa"/>
            <w:vMerge w:val="continue"/>
            <w:noWrap w:val="0"/>
            <w:vAlign w:val="center"/>
          </w:tcPr>
          <w:p>
            <w:pPr>
              <w:spacing w:line="260" w:lineRule="exact"/>
              <w:rPr>
                <w:rFonts w:hint="eastAsia" w:ascii="宋体" w:hAnsi="宋体" w:eastAsia="宋体" w:cs="宋体"/>
                <w:color w:val="auto"/>
                <w:kern w:val="0"/>
                <w:sz w:val="21"/>
                <w:szCs w:val="21"/>
              </w:rPr>
            </w:pPr>
          </w:p>
        </w:tc>
        <w:tc>
          <w:tcPr>
            <w:tcW w:w="436" w:type="dxa"/>
            <w:vMerge w:val="continue"/>
            <w:noWrap w:val="0"/>
            <w:vAlign w:val="center"/>
          </w:tcPr>
          <w:p>
            <w:pPr>
              <w:spacing w:line="260" w:lineRule="exact"/>
              <w:rPr>
                <w:rFonts w:hint="eastAsia" w:ascii="宋体" w:hAnsi="宋体" w:eastAsia="宋体" w:cs="宋体"/>
                <w:color w:val="auto"/>
                <w:kern w:val="0"/>
                <w:sz w:val="21"/>
                <w:szCs w:val="21"/>
              </w:rPr>
            </w:pPr>
          </w:p>
        </w:tc>
        <w:tc>
          <w:tcPr>
            <w:tcW w:w="405" w:type="dxa"/>
            <w:vMerge w:val="continue"/>
            <w:noWrap w:val="0"/>
            <w:vAlign w:val="center"/>
          </w:tcPr>
          <w:p>
            <w:pPr>
              <w:spacing w:line="260" w:lineRule="exac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restart"/>
            <w:noWrap w:val="0"/>
            <w:vAlign w:val="center"/>
          </w:tcPr>
          <w:p>
            <w:pPr>
              <w:widowControl/>
              <w:spacing w:line="26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bidi="ar"/>
              </w:rPr>
              <w:t>44</w:t>
            </w:r>
          </w:p>
        </w:tc>
        <w:tc>
          <w:tcPr>
            <w:tcW w:w="654"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农村集体土地征收</w:t>
            </w:r>
          </w:p>
        </w:tc>
        <w:tc>
          <w:tcPr>
            <w:tcW w:w="1118" w:type="dxa"/>
            <w:vMerge w:val="restart"/>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征地工作程序</w:t>
            </w:r>
          </w:p>
        </w:tc>
        <w:tc>
          <w:tcPr>
            <w:tcW w:w="2014" w:type="dxa"/>
            <w:vMerge w:val="restart"/>
            <w:noWrap w:val="0"/>
            <w:vAlign w:val="center"/>
          </w:tcPr>
          <w:p>
            <w:pPr>
              <w:widowControl/>
              <w:spacing w:line="260" w:lineRule="exac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征地工作中涉及对农村集体经济组织的相关材料：1.土地现状调查相关材料，公布征收土地勘测调查表、地上附着物和青苗调查情况表等〔涉及土地勘测定界图件（涉密除外）的，图件应按规定进行技术处理〕；</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.征地补偿安置方案听证相关材料，组织听证的，公布《听证通知书》、听证处理意见等；</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.征地补偿登记相关材料，涉及农民集体所有补偿内容的登记材料，应予公开；涉及个人补偿内容的登记材料，经本人同意的，可以公开；</w:t>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.征地补偿安置协议，与土地所有权人签订的协议应予公开；与土地使用权人签订的协议，经本人同意的，可以公开；</w:t>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.征地补偿安置费用支付凭证</w:t>
            </w:r>
            <w:r>
              <w:rPr>
                <w:rFonts w:hint="eastAsia" w:ascii="宋体" w:hAnsi="宋体" w:cs="宋体"/>
                <w:color w:val="auto"/>
                <w:kern w:val="0"/>
                <w:sz w:val="21"/>
                <w:szCs w:val="21"/>
                <w:lang w:eastAsia="zh-CN" w:bidi="ar"/>
              </w:rPr>
              <w:t>，</w:t>
            </w:r>
            <w:r>
              <w:rPr>
                <w:rFonts w:hint="eastAsia" w:ascii="宋体" w:hAnsi="宋体" w:eastAsia="宋体" w:cs="宋体"/>
                <w:color w:val="auto"/>
                <w:kern w:val="0"/>
                <w:sz w:val="21"/>
                <w:szCs w:val="21"/>
                <w:lang w:eastAsia="zh-CN" w:bidi="ar"/>
              </w:rPr>
              <w:t>对土地所有权人的补</w:t>
            </w:r>
            <w:r>
              <w:rPr>
                <w:rFonts w:hint="eastAsia" w:ascii="宋体" w:hAnsi="宋体" w:eastAsia="宋体" w:cs="宋体"/>
                <w:color w:val="auto"/>
                <w:kern w:val="0"/>
                <w:sz w:val="21"/>
                <w:szCs w:val="21"/>
                <w:lang w:bidi="ar"/>
              </w:rPr>
              <w:t>偿费用支付凭证应予公开；对土地使用权人补偿费用支付凭证，经本人同意的，可以公开〔不含农村集体经济组织内部土地补偿费用分配、使用情况〕</w:t>
            </w:r>
          </w:p>
          <w:p>
            <w:pPr>
              <w:widowControl/>
              <w:spacing w:line="260" w:lineRule="exact"/>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*征地社会稳定风险评估相关材料</w:t>
            </w:r>
            <w:r>
              <w:rPr>
                <w:rFonts w:hint="eastAsia" w:ascii="宋体" w:hAnsi="宋体" w:eastAsia="宋体" w:cs="宋体"/>
                <w:color w:val="auto"/>
                <w:kern w:val="0"/>
                <w:sz w:val="21"/>
                <w:szCs w:val="21"/>
                <w:lang w:eastAsia="zh-CN" w:bidi="ar"/>
              </w:rPr>
              <w:t>】）</w:t>
            </w:r>
          </w:p>
        </w:tc>
        <w:tc>
          <w:tcPr>
            <w:tcW w:w="2050" w:type="dxa"/>
            <w:vMerge w:val="restart"/>
            <w:noWrap w:val="0"/>
            <w:vAlign w:val="center"/>
          </w:tcPr>
          <w:p>
            <w:pPr>
              <w:widowControl/>
              <w:adjustRightInd w:val="0"/>
              <w:snapToGrid w:val="0"/>
              <w:spacing w:line="276"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土地管理法》</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土地管理法实施条例》</w:t>
            </w:r>
          </w:p>
        </w:tc>
        <w:tc>
          <w:tcPr>
            <w:tcW w:w="1295" w:type="dxa"/>
            <w:noWrap w:val="0"/>
            <w:vAlign w:val="center"/>
          </w:tcPr>
          <w:p>
            <w:pPr>
              <w:spacing w:line="260" w:lineRule="exac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信息形成后5个工作日内，在村、村民小组公示栏公开不少于5个工作日；</w:t>
            </w:r>
          </w:p>
          <w:p>
            <w:pPr>
              <w:spacing w:line="260" w:lineRule="exact"/>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征地社会稳定风险评估相关材料在收到批准后，依申请公开；</w:t>
            </w:r>
            <w:r>
              <w:rPr>
                <w:rFonts w:hint="eastAsia" w:ascii="宋体" w:hAnsi="宋体" w:eastAsia="宋体" w:cs="宋体"/>
                <w:color w:val="auto"/>
                <w:kern w:val="0"/>
                <w:sz w:val="21"/>
                <w:szCs w:val="21"/>
                <w:lang w:bidi="ar"/>
              </w:rPr>
              <w:t>听证相关材料时限要求还应符合听证相关规定</w:t>
            </w:r>
          </w:p>
        </w:tc>
        <w:tc>
          <w:tcPr>
            <w:tcW w:w="1200" w:type="dxa"/>
            <w:vMerge w:val="restart"/>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lang w:bidi="ar"/>
              </w:rPr>
              <w:t>/县级人民政府</w:t>
            </w:r>
          </w:p>
        </w:tc>
        <w:tc>
          <w:tcPr>
            <w:tcW w:w="2987" w:type="dxa"/>
            <w:vMerge w:val="restart"/>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bidi="ar"/>
              </w:rPr>
              <w:t>征地信息公开平台</w:t>
            </w:r>
            <w:r>
              <w:rPr>
                <w:rFonts w:hint="eastAsia" w:ascii="宋体" w:hAnsi="宋体" w:eastAsia="宋体" w:cs="宋体"/>
                <w:color w:val="auto"/>
                <w:kern w:val="0"/>
                <w:sz w:val="21"/>
                <w:szCs w:val="21"/>
                <w:u w:val="single"/>
              </w:rPr>
              <w:t xml:space="preserve">  </w:t>
            </w:r>
          </w:p>
          <w:p>
            <w:pPr>
              <w:adjustRightInd w:val="0"/>
              <w:snapToGrid w:val="0"/>
              <w:spacing w:line="300" w:lineRule="auto"/>
              <w:rPr>
                <w:rFonts w:hint="eastAsia" w:ascii="宋体" w:hAnsi="宋体" w:eastAsia="宋体" w:cs="宋体"/>
                <w:color w:val="auto"/>
                <w:sz w:val="21"/>
                <w:szCs w:val="21"/>
              </w:rPr>
            </w:pPr>
          </w:p>
        </w:tc>
        <w:tc>
          <w:tcPr>
            <w:tcW w:w="354"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409" w:type="dxa"/>
            <w:vMerge w:val="restart"/>
            <w:noWrap w:val="0"/>
            <w:vAlign w:val="center"/>
          </w:tcPr>
          <w:p>
            <w:pPr>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r>
              <w:rPr>
                <w:rFonts w:hint="eastAsia" w:ascii="宋体" w:hAnsi="宋体" w:eastAsia="宋体" w:cs="宋体"/>
                <w:bCs w:val="0"/>
                <w:color w:val="auto"/>
                <w:kern w:val="0"/>
                <w:sz w:val="21"/>
                <w:szCs w:val="21"/>
              </w:rPr>
              <w:t>法律要求在特定群体公开</w:t>
            </w:r>
          </w:p>
        </w:tc>
        <w:tc>
          <w:tcPr>
            <w:tcW w:w="423"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396"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r>
              <w:rPr>
                <w:rFonts w:hint="eastAsia" w:ascii="宋体" w:hAnsi="宋体" w:eastAsia="宋体" w:cs="宋体"/>
                <w:bCs w:val="0"/>
                <w:color w:val="auto"/>
                <w:kern w:val="0"/>
                <w:sz w:val="21"/>
                <w:szCs w:val="21"/>
              </w:rPr>
              <w:t>具体见时限要求栏</w:t>
            </w:r>
          </w:p>
        </w:tc>
        <w:tc>
          <w:tcPr>
            <w:tcW w:w="436"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c>
          <w:tcPr>
            <w:tcW w:w="405" w:type="dxa"/>
            <w:vMerge w:val="restart"/>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b w:val="0"/>
                <w:bCs w:val="0"/>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Merge w:val="continue"/>
            <w:noWrap w:val="0"/>
            <w:vAlign w:val="center"/>
          </w:tcPr>
          <w:p>
            <w:pPr>
              <w:spacing w:line="260" w:lineRule="exact"/>
              <w:jc w:val="center"/>
              <w:rPr>
                <w:rFonts w:hint="eastAsia" w:ascii="宋体" w:hAnsi="宋体" w:eastAsia="宋体" w:cs="宋体"/>
                <w:color w:val="auto"/>
                <w:kern w:val="0"/>
                <w:sz w:val="21"/>
                <w:szCs w:val="21"/>
              </w:rPr>
            </w:pPr>
          </w:p>
        </w:tc>
        <w:tc>
          <w:tcPr>
            <w:tcW w:w="654" w:type="dxa"/>
            <w:vMerge w:val="continue"/>
            <w:noWrap w:val="0"/>
            <w:vAlign w:val="center"/>
          </w:tcPr>
          <w:p>
            <w:pPr>
              <w:jc w:val="center"/>
              <w:rPr>
                <w:rFonts w:hint="eastAsia" w:ascii="宋体" w:hAnsi="宋体" w:eastAsia="宋体" w:cs="宋体"/>
                <w:color w:val="auto"/>
                <w:kern w:val="0"/>
                <w:sz w:val="21"/>
                <w:szCs w:val="21"/>
              </w:rPr>
            </w:pPr>
          </w:p>
        </w:tc>
        <w:tc>
          <w:tcPr>
            <w:tcW w:w="1118" w:type="dxa"/>
            <w:vMerge w:val="continue"/>
            <w:noWrap w:val="0"/>
            <w:vAlign w:val="center"/>
          </w:tcPr>
          <w:p>
            <w:pPr>
              <w:jc w:val="center"/>
              <w:rPr>
                <w:rFonts w:hint="eastAsia" w:ascii="宋体" w:hAnsi="宋体" w:eastAsia="宋体" w:cs="宋体"/>
                <w:color w:val="auto"/>
                <w:kern w:val="0"/>
                <w:sz w:val="21"/>
                <w:szCs w:val="21"/>
              </w:rPr>
            </w:pPr>
          </w:p>
        </w:tc>
        <w:tc>
          <w:tcPr>
            <w:tcW w:w="2014" w:type="dxa"/>
            <w:vMerge w:val="continue"/>
            <w:noWrap w:val="0"/>
            <w:vAlign w:val="center"/>
          </w:tcPr>
          <w:p>
            <w:pPr>
              <w:widowControl/>
              <w:spacing w:line="260" w:lineRule="exact"/>
              <w:rPr>
                <w:rFonts w:hint="eastAsia" w:ascii="宋体" w:hAnsi="宋体" w:eastAsia="宋体" w:cs="宋体"/>
                <w:color w:val="auto"/>
                <w:kern w:val="0"/>
                <w:sz w:val="21"/>
                <w:szCs w:val="21"/>
                <w:lang w:bidi="ar"/>
              </w:rPr>
            </w:pPr>
          </w:p>
        </w:tc>
        <w:tc>
          <w:tcPr>
            <w:tcW w:w="2050" w:type="dxa"/>
            <w:vMerge w:val="continue"/>
            <w:noWrap w:val="0"/>
            <w:vAlign w:val="center"/>
          </w:tcPr>
          <w:p>
            <w:pPr>
              <w:adjustRightInd w:val="0"/>
              <w:snapToGrid w:val="0"/>
              <w:spacing w:line="276" w:lineRule="auto"/>
              <w:rPr>
                <w:rFonts w:hint="eastAsia" w:ascii="宋体" w:hAnsi="宋体" w:eastAsia="宋体" w:cs="宋体"/>
                <w:color w:val="auto"/>
                <w:kern w:val="0"/>
                <w:sz w:val="21"/>
                <w:szCs w:val="21"/>
              </w:rPr>
            </w:pPr>
          </w:p>
        </w:tc>
        <w:tc>
          <w:tcPr>
            <w:tcW w:w="1295" w:type="dxa"/>
            <w:noWrap w:val="0"/>
            <w:vAlign w:val="center"/>
          </w:tcPr>
          <w:p>
            <w:pPr>
              <w:spacing w:line="260" w:lineRule="exac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自收到批准文件之日起</w:t>
            </w:r>
            <w:r>
              <w:rPr>
                <w:rFonts w:hint="eastAsia" w:ascii="宋体" w:hAnsi="宋体" w:eastAsia="宋体" w:cs="宋体"/>
                <w:color w:val="auto"/>
                <w:kern w:val="0"/>
                <w:sz w:val="21"/>
                <w:szCs w:val="21"/>
                <w:lang w:val="en-US" w:eastAsia="zh-CN" w:bidi="ar"/>
              </w:rPr>
              <w:t>15</w:t>
            </w:r>
            <w:r>
              <w:rPr>
                <w:rFonts w:hint="eastAsia" w:ascii="宋体" w:hAnsi="宋体" w:eastAsia="宋体" w:cs="宋体"/>
                <w:color w:val="auto"/>
                <w:kern w:val="0"/>
                <w:sz w:val="21"/>
                <w:szCs w:val="21"/>
                <w:lang w:bidi="ar"/>
              </w:rPr>
              <w:t>个工作日内，上述信息在政府网站、征地信息公开平台公开</w:t>
            </w:r>
          </w:p>
        </w:tc>
        <w:tc>
          <w:tcPr>
            <w:tcW w:w="1200" w:type="dxa"/>
            <w:vMerge w:val="continue"/>
            <w:noWrap w:val="0"/>
            <w:vAlign w:val="center"/>
          </w:tcPr>
          <w:p>
            <w:pPr>
              <w:spacing w:line="260" w:lineRule="exact"/>
              <w:rPr>
                <w:rFonts w:hint="eastAsia" w:ascii="宋体" w:hAnsi="宋体" w:eastAsia="宋体" w:cs="宋体"/>
                <w:color w:val="auto"/>
                <w:kern w:val="0"/>
                <w:sz w:val="21"/>
                <w:szCs w:val="21"/>
              </w:rPr>
            </w:pPr>
          </w:p>
        </w:tc>
        <w:tc>
          <w:tcPr>
            <w:tcW w:w="2987" w:type="dxa"/>
            <w:vMerge w:val="continue"/>
            <w:noWrap w:val="0"/>
            <w:vAlign w:val="center"/>
          </w:tcPr>
          <w:p>
            <w:pPr>
              <w:adjustRightInd w:val="0"/>
              <w:snapToGrid w:val="0"/>
              <w:spacing w:line="300" w:lineRule="auto"/>
              <w:rPr>
                <w:rFonts w:hint="eastAsia" w:ascii="宋体" w:hAnsi="宋体" w:eastAsia="宋体" w:cs="宋体"/>
                <w:color w:val="auto"/>
                <w:kern w:val="0"/>
                <w:sz w:val="21"/>
                <w:szCs w:val="21"/>
              </w:rPr>
            </w:pPr>
          </w:p>
        </w:tc>
        <w:tc>
          <w:tcPr>
            <w:tcW w:w="354" w:type="dxa"/>
            <w:vMerge w:val="continue"/>
            <w:noWrap w:val="0"/>
            <w:vAlign w:val="center"/>
          </w:tcPr>
          <w:p>
            <w:pPr>
              <w:spacing w:line="260" w:lineRule="exact"/>
              <w:rPr>
                <w:rFonts w:hint="eastAsia" w:ascii="宋体" w:hAnsi="宋体" w:eastAsia="宋体" w:cs="宋体"/>
                <w:color w:val="auto"/>
                <w:kern w:val="0"/>
                <w:sz w:val="21"/>
                <w:szCs w:val="21"/>
              </w:rPr>
            </w:pPr>
          </w:p>
        </w:tc>
        <w:tc>
          <w:tcPr>
            <w:tcW w:w="409" w:type="dxa"/>
            <w:vMerge w:val="continue"/>
            <w:noWrap w:val="0"/>
            <w:vAlign w:val="center"/>
          </w:tcPr>
          <w:p>
            <w:pPr>
              <w:spacing w:line="260" w:lineRule="exact"/>
              <w:rPr>
                <w:rFonts w:hint="eastAsia" w:ascii="宋体" w:hAnsi="宋体" w:eastAsia="宋体" w:cs="宋体"/>
                <w:color w:val="auto"/>
                <w:kern w:val="0"/>
                <w:sz w:val="21"/>
                <w:szCs w:val="21"/>
              </w:rPr>
            </w:pPr>
          </w:p>
        </w:tc>
        <w:tc>
          <w:tcPr>
            <w:tcW w:w="423" w:type="dxa"/>
            <w:vMerge w:val="continue"/>
            <w:noWrap w:val="0"/>
            <w:vAlign w:val="center"/>
          </w:tcPr>
          <w:p>
            <w:pPr>
              <w:spacing w:line="260" w:lineRule="exact"/>
              <w:rPr>
                <w:rFonts w:hint="eastAsia" w:ascii="宋体" w:hAnsi="宋体" w:eastAsia="宋体" w:cs="宋体"/>
                <w:color w:val="auto"/>
                <w:kern w:val="0"/>
                <w:sz w:val="21"/>
                <w:szCs w:val="21"/>
              </w:rPr>
            </w:pPr>
          </w:p>
        </w:tc>
        <w:tc>
          <w:tcPr>
            <w:tcW w:w="396" w:type="dxa"/>
            <w:vMerge w:val="continue"/>
            <w:noWrap w:val="0"/>
            <w:vAlign w:val="center"/>
          </w:tcPr>
          <w:p>
            <w:pPr>
              <w:spacing w:line="260" w:lineRule="exact"/>
              <w:rPr>
                <w:rFonts w:hint="eastAsia" w:ascii="宋体" w:hAnsi="宋体" w:eastAsia="宋体" w:cs="宋体"/>
                <w:color w:val="auto"/>
                <w:kern w:val="0"/>
                <w:sz w:val="21"/>
                <w:szCs w:val="21"/>
              </w:rPr>
            </w:pPr>
          </w:p>
        </w:tc>
        <w:tc>
          <w:tcPr>
            <w:tcW w:w="436" w:type="dxa"/>
            <w:vMerge w:val="continue"/>
            <w:noWrap w:val="0"/>
            <w:vAlign w:val="center"/>
          </w:tcPr>
          <w:p>
            <w:pPr>
              <w:spacing w:line="260" w:lineRule="exact"/>
              <w:rPr>
                <w:rFonts w:hint="eastAsia" w:ascii="宋体" w:hAnsi="宋体" w:eastAsia="宋体" w:cs="宋体"/>
                <w:color w:val="auto"/>
                <w:kern w:val="0"/>
                <w:sz w:val="21"/>
                <w:szCs w:val="21"/>
              </w:rPr>
            </w:pPr>
          </w:p>
        </w:tc>
        <w:tc>
          <w:tcPr>
            <w:tcW w:w="405" w:type="dxa"/>
            <w:vMerge w:val="continue"/>
            <w:noWrap w:val="0"/>
            <w:vAlign w:val="center"/>
          </w:tcPr>
          <w:p>
            <w:pPr>
              <w:spacing w:line="260" w:lineRule="exact"/>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433" w:type="dxa"/>
            <w:noWrap w:val="0"/>
            <w:vAlign w:val="center"/>
          </w:tcPr>
          <w:p>
            <w:pPr>
              <w:widowControl/>
              <w:spacing w:line="26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45</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农村集体土地征收</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征地申报批准相关材料</w:t>
            </w:r>
          </w:p>
        </w:tc>
        <w:tc>
          <w:tcPr>
            <w:tcW w:w="2014" w:type="dxa"/>
            <w:noWrap w:val="0"/>
            <w:vAlign w:val="center"/>
          </w:tcPr>
          <w:p>
            <w:pPr>
              <w:widowControl/>
              <w:spacing w:line="260" w:lineRule="exact"/>
              <w:rPr>
                <w:rFonts w:hint="eastAsia" w:ascii="宋体" w:hAnsi="宋体" w:eastAsia="宋体" w:cs="宋体"/>
                <w:b w:val="0"/>
                <w:bCs w:val="0"/>
                <w:color w:val="auto"/>
                <w:kern w:val="0"/>
                <w:sz w:val="21"/>
                <w:szCs w:val="21"/>
                <w:lang w:bidi="ar"/>
              </w:rPr>
            </w:pPr>
            <w:r>
              <w:rPr>
                <w:rFonts w:hint="eastAsia" w:ascii="宋体" w:hAnsi="宋体" w:eastAsia="宋体" w:cs="宋体"/>
                <w:b w:val="0"/>
                <w:bCs w:val="0"/>
                <w:color w:val="auto"/>
                <w:kern w:val="0"/>
                <w:sz w:val="21"/>
                <w:szCs w:val="21"/>
                <w:lang w:bidi="ar"/>
              </w:rPr>
              <w:t>1.县级人民政府组织</w:t>
            </w:r>
            <w:r>
              <w:rPr>
                <w:rFonts w:hint="eastAsia" w:ascii="宋体" w:hAnsi="宋体" w:eastAsia="宋体" w:cs="宋体"/>
                <w:b w:val="0"/>
                <w:bCs w:val="0"/>
                <w:color w:val="auto"/>
                <w:kern w:val="0"/>
                <w:sz w:val="21"/>
                <w:szCs w:val="21"/>
                <w:lang w:eastAsia="zh-CN" w:bidi="ar"/>
              </w:rPr>
              <w:t>征地</w:t>
            </w:r>
            <w:r>
              <w:rPr>
                <w:rFonts w:hint="eastAsia" w:ascii="宋体" w:hAnsi="宋体" w:eastAsia="宋体" w:cs="宋体"/>
                <w:b w:val="0"/>
                <w:bCs w:val="0"/>
                <w:color w:val="auto"/>
                <w:kern w:val="0"/>
                <w:sz w:val="21"/>
                <w:szCs w:val="21"/>
                <w:lang w:bidi="ar"/>
              </w:rPr>
              <w:t>报批</w:t>
            </w:r>
            <w:r>
              <w:rPr>
                <w:rFonts w:hint="eastAsia" w:ascii="宋体" w:hAnsi="宋体" w:eastAsia="宋体" w:cs="宋体"/>
                <w:b w:val="0"/>
                <w:bCs w:val="0"/>
                <w:color w:val="auto"/>
                <w:kern w:val="0"/>
                <w:sz w:val="21"/>
                <w:szCs w:val="21"/>
                <w:lang w:eastAsia="zh-CN" w:bidi="ar"/>
              </w:rPr>
              <w:t>经审批通过</w:t>
            </w:r>
            <w:r>
              <w:rPr>
                <w:rFonts w:hint="eastAsia" w:ascii="宋体" w:hAnsi="宋体" w:eastAsia="宋体" w:cs="宋体"/>
                <w:b w:val="0"/>
                <w:bCs w:val="0"/>
                <w:color w:val="auto"/>
                <w:kern w:val="0"/>
                <w:sz w:val="21"/>
                <w:szCs w:val="21"/>
                <w:lang w:bidi="ar"/>
              </w:rPr>
              <w:t>的相关材料，包括县级人民政府建设用地请示，征收土地申请等；</w:t>
            </w:r>
          </w:p>
          <w:p>
            <w:pPr>
              <w:widowControl/>
              <w:spacing w:line="260" w:lineRule="exact"/>
              <w:rPr>
                <w:rFonts w:hint="eastAsia" w:ascii="宋体" w:hAnsi="宋体" w:eastAsia="宋体" w:cs="宋体"/>
                <w:b w:val="0"/>
                <w:bCs w:val="0"/>
                <w:color w:val="auto"/>
                <w:kern w:val="0"/>
                <w:sz w:val="21"/>
                <w:szCs w:val="21"/>
                <w:lang w:bidi="ar"/>
              </w:rPr>
            </w:pPr>
            <w:r>
              <w:rPr>
                <w:rFonts w:hint="eastAsia" w:ascii="宋体" w:hAnsi="宋体" w:eastAsia="宋体" w:cs="宋体"/>
                <w:b w:val="0"/>
                <w:bCs w:val="0"/>
                <w:color w:val="auto"/>
                <w:kern w:val="0"/>
                <w:sz w:val="21"/>
                <w:szCs w:val="21"/>
                <w:lang w:bidi="ar"/>
              </w:rPr>
              <w:t>2.征地批准文件，包括国务院批准</w:t>
            </w:r>
            <w:r>
              <w:rPr>
                <w:rFonts w:hint="eastAsia" w:ascii="宋体" w:hAnsi="宋体" w:eastAsia="宋体" w:cs="宋体"/>
                <w:b w:val="0"/>
                <w:bCs w:val="0"/>
                <w:color w:val="auto"/>
                <w:kern w:val="0"/>
                <w:sz w:val="21"/>
                <w:szCs w:val="21"/>
                <w:lang w:eastAsia="zh-CN" w:bidi="ar"/>
              </w:rPr>
              <w:t>征地</w:t>
            </w:r>
            <w:r>
              <w:rPr>
                <w:rFonts w:hint="eastAsia" w:ascii="宋体" w:hAnsi="宋体" w:eastAsia="宋体" w:cs="宋体"/>
                <w:b w:val="0"/>
                <w:bCs w:val="0"/>
                <w:color w:val="auto"/>
                <w:kern w:val="0"/>
                <w:sz w:val="21"/>
                <w:szCs w:val="21"/>
                <w:lang w:bidi="ar"/>
              </w:rPr>
              <w:t>批复文件、省级人民政府批准</w:t>
            </w:r>
            <w:r>
              <w:rPr>
                <w:rFonts w:hint="eastAsia" w:ascii="宋体" w:hAnsi="宋体" w:eastAsia="宋体" w:cs="宋体"/>
                <w:b w:val="0"/>
                <w:bCs w:val="0"/>
                <w:color w:val="auto"/>
                <w:kern w:val="0"/>
                <w:sz w:val="21"/>
                <w:szCs w:val="21"/>
                <w:lang w:eastAsia="zh-CN" w:bidi="ar"/>
              </w:rPr>
              <w:t>征地</w:t>
            </w:r>
            <w:r>
              <w:rPr>
                <w:rFonts w:hint="eastAsia" w:ascii="宋体" w:hAnsi="宋体" w:eastAsia="宋体" w:cs="宋体"/>
                <w:b w:val="0"/>
                <w:bCs w:val="0"/>
                <w:color w:val="auto"/>
                <w:kern w:val="0"/>
                <w:sz w:val="21"/>
                <w:szCs w:val="21"/>
                <w:lang w:bidi="ar"/>
              </w:rPr>
              <w:t>批复文件、地方人民政府转发</w:t>
            </w:r>
            <w:r>
              <w:rPr>
                <w:rFonts w:hint="eastAsia" w:ascii="宋体" w:hAnsi="宋体" w:eastAsia="宋体" w:cs="宋体"/>
                <w:b w:val="0"/>
                <w:bCs w:val="0"/>
                <w:color w:val="auto"/>
                <w:kern w:val="0"/>
                <w:sz w:val="21"/>
                <w:szCs w:val="21"/>
                <w:lang w:eastAsia="zh-CN" w:bidi="ar"/>
              </w:rPr>
              <w:t>征地</w:t>
            </w:r>
            <w:r>
              <w:rPr>
                <w:rFonts w:hint="eastAsia" w:ascii="宋体" w:hAnsi="宋体" w:eastAsia="宋体" w:cs="宋体"/>
                <w:b w:val="0"/>
                <w:bCs w:val="0"/>
                <w:color w:val="auto"/>
                <w:kern w:val="0"/>
                <w:sz w:val="21"/>
                <w:szCs w:val="21"/>
                <w:lang w:bidi="ar"/>
              </w:rPr>
              <w:t>批复、其他</w:t>
            </w:r>
            <w:r>
              <w:rPr>
                <w:rFonts w:hint="eastAsia" w:ascii="宋体" w:hAnsi="宋体" w:eastAsia="宋体" w:cs="宋体"/>
                <w:b w:val="0"/>
                <w:bCs w:val="0"/>
                <w:color w:val="auto"/>
                <w:kern w:val="0"/>
                <w:sz w:val="21"/>
                <w:szCs w:val="21"/>
                <w:lang w:eastAsia="zh-CN" w:bidi="ar"/>
              </w:rPr>
              <w:t>征地</w:t>
            </w:r>
            <w:r>
              <w:rPr>
                <w:rFonts w:hint="eastAsia" w:ascii="宋体" w:hAnsi="宋体" w:eastAsia="宋体" w:cs="宋体"/>
                <w:b w:val="0"/>
                <w:bCs w:val="0"/>
                <w:color w:val="auto"/>
                <w:kern w:val="0"/>
                <w:sz w:val="21"/>
                <w:szCs w:val="21"/>
                <w:lang w:bidi="ar"/>
              </w:rPr>
              <w:t>批准文件等</w:t>
            </w:r>
          </w:p>
          <w:p>
            <w:pPr>
              <w:widowControl/>
              <w:spacing w:line="260" w:lineRule="exact"/>
              <w:rPr>
                <w:rFonts w:hint="eastAsia" w:ascii="宋体" w:hAnsi="宋体" w:eastAsia="宋体" w:cs="宋体"/>
                <w:b w:val="0"/>
                <w:bCs w:val="0"/>
                <w:color w:val="auto"/>
                <w:kern w:val="0"/>
                <w:sz w:val="21"/>
                <w:szCs w:val="21"/>
                <w:lang w:bidi="ar"/>
              </w:rPr>
            </w:pPr>
            <w:r>
              <w:rPr>
                <w:rFonts w:hint="eastAsia" w:ascii="宋体" w:hAnsi="宋体" w:eastAsia="宋体" w:cs="宋体"/>
                <w:b w:val="0"/>
                <w:bCs w:val="0"/>
                <w:color w:val="auto"/>
                <w:kern w:val="0"/>
                <w:sz w:val="21"/>
                <w:szCs w:val="21"/>
                <w:lang w:eastAsia="zh-CN" w:bidi="ar"/>
              </w:rPr>
              <w:t>【</w:t>
            </w:r>
            <w:r>
              <w:rPr>
                <w:rFonts w:hint="eastAsia" w:ascii="宋体" w:hAnsi="宋体" w:eastAsia="宋体" w:cs="宋体"/>
                <w:b w:val="0"/>
                <w:bCs w:val="0"/>
                <w:color w:val="auto"/>
                <w:kern w:val="0"/>
                <w:sz w:val="21"/>
                <w:szCs w:val="21"/>
                <w:lang w:bidi="ar"/>
              </w:rPr>
              <w:t>*其他相关报批材料和图件由各省（区、市）确定公开方式</w:t>
            </w:r>
            <w:r>
              <w:rPr>
                <w:rFonts w:hint="eastAsia" w:ascii="宋体" w:hAnsi="宋体" w:eastAsia="宋体" w:cs="宋体"/>
                <w:b w:val="0"/>
                <w:bCs w:val="0"/>
                <w:color w:val="auto"/>
                <w:kern w:val="0"/>
                <w:sz w:val="21"/>
                <w:szCs w:val="21"/>
                <w:lang w:eastAsia="zh-CN" w:bidi="ar"/>
              </w:rPr>
              <w:t>】</w:t>
            </w:r>
          </w:p>
        </w:tc>
        <w:tc>
          <w:tcPr>
            <w:tcW w:w="2050" w:type="dxa"/>
            <w:noWrap w:val="0"/>
            <w:vAlign w:val="center"/>
          </w:tcPr>
          <w:p>
            <w:pPr>
              <w:widowControl/>
              <w:adjustRightInd w:val="0"/>
              <w:snapToGrid w:val="0"/>
              <w:spacing w:line="276" w:lineRule="auto"/>
              <w:jc w:val="left"/>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土地管理法》</w:t>
            </w:r>
            <w:r>
              <w:rPr>
                <w:rFonts w:hint="eastAsia" w:ascii="宋体" w:hAnsi="宋体" w:eastAsia="宋体" w:cs="宋体"/>
                <w:color w:val="auto"/>
                <w:kern w:val="0"/>
                <w:sz w:val="21"/>
                <w:szCs w:val="21"/>
                <w:lang w:bidi="ar"/>
              </w:rPr>
              <w:t>《</w:t>
            </w:r>
            <w:r>
              <w:rPr>
                <w:rFonts w:hint="eastAsia" w:ascii="宋体" w:hAnsi="宋体" w:eastAsia="宋体" w:cs="宋体"/>
                <w:color w:val="auto"/>
                <w:kern w:val="0"/>
                <w:sz w:val="21"/>
                <w:szCs w:val="21"/>
                <w:lang w:eastAsia="zh-CN" w:bidi="ar"/>
              </w:rPr>
              <w:t>土地管理法实施条例》</w:t>
            </w:r>
          </w:p>
        </w:tc>
        <w:tc>
          <w:tcPr>
            <w:tcW w:w="1295" w:type="dxa"/>
            <w:noWrap w:val="0"/>
            <w:vAlign w:val="center"/>
          </w:tcPr>
          <w:p>
            <w:pPr>
              <w:widowControl/>
              <w:spacing w:before="156" w:beforeLines="50" w:after="156" w:afterLines="50" w:line="260" w:lineRule="exact"/>
              <w:rPr>
                <w:rFonts w:hint="eastAsia" w:ascii="宋体" w:hAnsi="宋体" w:eastAsia="宋体" w:cs="宋体"/>
                <w:color w:val="auto"/>
                <w:kern w:val="0"/>
                <w:sz w:val="21"/>
                <w:szCs w:val="21"/>
              </w:rPr>
            </w:pPr>
            <w:r>
              <w:rPr>
                <w:rFonts w:hint="eastAsia" w:ascii="宋体" w:hAnsi="宋体" w:eastAsia="宋体" w:cs="宋体"/>
                <w:color w:val="auto"/>
                <w:sz w:val="21"/>
                <w:szCs w:val="21"/>
                <w:lang w:bidi="ar"/>
              </w:rPr>
              <w:t>收到批准文件之日起</w:t>
            </w:r>
            <w:r>
              <w:rPr>
                <w:rFonts w:hint="eastAsia" w:ascii="宋体" w:hAnsi="宋体" w:eastAsia="宋体" w:cs="宋体"/>
                <w:color w:val="auto"/>
                <w:sz w:val="21"/>
                <w:szCs w:val="21"/>
                <w:lang w:val="en-US" w:eastAsia="zh-CN" w:bidi="ar"/>
              </w:rPr>
              <w:t>15</w:t>
            </w:r>
            <w:r>
              <w:rPr>
                <w:rFonts w:hint="eastAsia" w:ascii="宋体" w:hAnsi="宋体" w:eastAsia="宋体" w:cs="宋体"/>
                <w:color w:val="auto"/>
                <w:sz w:val="21"/>
                <w:szCs w:val="21"/>
                <w:lang w:bidi="ar"/>
              </w:rPr>
              <w:t>个工作日内</w:t>
            </w:r>
          </w:p>
        </w:tc>
        <w:tc>
          <w:tcPr>
            <w:tcW w:w="1200" w:type="dxa"/>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r>
              <w:rPr>
                <w:rFonts w:hint="eastAsia" w:ascii="宋体" w:hAnsi="宋体" w:eastAsia="宋体" w:cs="宋体"/>
                <w:color w:val="auto"/>
                <w:kern w:val="0"/>
                <w:sz w:val="21"/>
                <w:szCs w:val="21"/>
                <w:lang w:bidi="ar"/>
              </w:rPr>
              <w:t>/县级人民政府</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bidi="ar"/>
              </w:rPr>
              <w:t>征地信息公开平台</w:t>
            </w:r>
            <w:r>
              <w:rPr>
                <w:rFonts w:hint="eastAsia" w:ascii="宋体" w:hAnsi="宋体" w:eastAsia="宋体" w:cs="宋体"/>
                <w:color w:val="auto"/>
                <w:kern w:val="0"/>
                <w:sz w:val="21"/>
                <w:szCs w:val="21"/>
                <w:u w:val="single"/>
              </w:rPr>
              <w:t xml:space="preserve">  </w:t>
            </w:r>
          </w:p>
          <w:p>
            <w:pPr>
              <w:widowControl/>
              <w:adjustRightInd w:val="0"/>
              <w:snapToGrid w:val="0"/>
              <w:spacing w:line="300" w:lineRule="auto"/>
              <w:rPr>
                <w:rFonts w:hint="eastAsia" w:ascii="宋体" w:hAnsi="宋体" w:eastAsia="宋体" w:cs="宋体"/>
                <w:b/>
                <w:bCs/>
                <w:color w:val="auto"/>
                <w:kern w:val="0"/>
                <w:sz w:val="21"/>
                <w:szCs w:val="21"/>
              </w:rPr>
            </w:pPr>
          </w:p>
        </w:tc>
        <w:tc>
          <w:tcPr>
            <w:tcW w:w="354"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w:t>
            </w:r>
          </w:p>
        </w:tc>
        <w:tc>
          <w:tcPr>
            <w:tcW w:w="409"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p>
        </w:tc>
        <w:tc>
          <w:tcPr>
            <w:tcW w:w="423"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w:t>
            </w:r>
          </w:p>
        </w:tc>
        <w:tc>
          <w:tcPr>
            <w:tcW w:w="396" w:type="dxa"/>
            <w:noWrap w:val="0"/>
            <w:vAlign w:val="center"/>
          </w:tcPr>
          <w:p>
            <w:pPr>
              <w:widowControl/>
              <w:spacing w:line="260" w:lineRule="exact"/>
              <w:rPr>
                <w:rFonts w:hint="eastAsia" w:ascii="宋体" w:hAnsi="宋体" w:eastAsia="宋体" w:cs="宋体"/>
                <w:b w:val="0"/>
                <w:bCs w:val="0"/>
                <w:color w:val="auto"/>
                <w:kern w:val="0"/>
                <w:sz w:val="21"/>
                <w:szCs w:val="21"/>
              </w:rPr>
            </w:pPr>
          </w:p>
        </w:tc>
        <w:tc>
          <w:tcPr>
            <w:tcW w:w="436"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w:t>
            </w:r>
          </w:p>
        </w:tc>
        <w:tc>
          <w:tcPr>
            <w:tcW w:w="405" w:type="dxa"/>
            <w:noWrap w:val="0"/>
            <w:vAlign w:val="center"/>
          </w:tcPr>
          <w:p>
            <w:pPr>
              <w:widowControl/>
              <w:spacing w:line="260" w:lineRule="exact"/>
              <w:jc w:val="center"/>
              <w:rPr>
                <w:rFonts w:hint="eastAsia" w:ascii="宋体" w:hAnsi="宋体" w:eastAsia="宋体" w:cs="宋体"/>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46</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耕地保护</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补充耕地项目</w:t>
            </w:r>
          </w:p>
        </w:tc>
        <w:tc>
          <w:tcPr>
            <w:tcW w:w="2014" w:type="dxa"/>
            <w:noWrap w:val="0"/>
            <w:vAlign w:val="center"/>
          </w:tcPr>
          <w:p>
            <w:pPr>
              <w:widowControl/>
              <w:spacing w:line="260" w:lineRule="exac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项目名称、所在地、验收日期、补充耕地位置、面积等信息</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《政府信息公开条例》</w:t>
            </w:r>
            <w:r>
              <w:rPr>
                <w:rFonts w:hint="eastAsia" w:ascii="宋体" w:hAnsi="宋体" w:eastAsia="宋体" w:cs="宋体"/>
                <w:color w:val="auto"/>
                <w:kern w:val="0"/>
                <w:sz w:val="21"/>
                <w:szCs w:val="21"/>
                <w:lang w:eastAsia="zh-CN"/>
              </w:rPr>
              <w:t>《关于主动公开补充耕地项目与地块信息的公告》（自然资源部公告</w:t>
            </w:r>
            <w:r>
              <w:rPr>
                <w:rFonts w:hint="eastAsia" w:ascii="宋体" w:hAnsi="宋体" w:eastAsia="宋体" w:cs="宋体"/>
                <w:color w:val="auto"/>
                <w:kern w:val="0"/>
                <w:sz w:val="21"/>
                <w:szCs w:val="21"/>
                <w:lang w:val="en-US" w:eastAsia="zh-CN"/>
              </w:rPr>
              <w:t>2021年第25号</w:t>
            </w:r>
            <w:r>
              <w:rPr>
                <w:rFonts w:hint="eastAsia" w:ascii="宋体" w:hAnsi="宋体" w:eastAsia="宋体" w:cs="宋体"/>
                <w:color w:val="auto"/>
                <w:kern w:val="0"/>
                <w:sz w:val="21"/>
                <w:szCs w:val="21"/>
                <w:lang w:eastAsia="zh-CN"/>
              </w:rPr>
              <w:t>）</w:t>
            </w:r>
          </w:p>
          <w:p>
            <w:pPr>
              <w:widowControl/>
              <w:adjustRightInd w:val="0"/>
              <w:snapToGrid w:val="0"/>
              <w:spacing w:line="276" w:lineRule="auto"/>
              <w:rPr>
                <w:rFonts w:hint="eastAsia" w:ascii="宋体" w:hAnsi="宋体" w:eastAsia="宋体" w:cs="宋体"/>
                <w:color w:val="auto"/>
                <w:kern w:val="0"/>
                <w:sz w:val="21"/>
                <w:szCs w:val="21"/>
              </w:rPr>
            </w:pP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47</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耕地保护</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设施农业用地监管</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项目名称、位置、用途、类型、生产期限、用地情况等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w:t>
            </w:r>
            <w:r>
              <w:rPr>
                <w:rFonts w:hint="eastAsia" w:ascii="宋体" w:hAnsi="宋体" w:eastAsia="宋体" w:cs="宋体"/>
                <w:color w:val="auto"/>
                <w:kern w:val="0"/>
                <w:szCs w:val="21"/>
              </w:rPr>
              <w:t>《自然资源部办公厅关于设施农业用地上图入库有关事项的通知》（自然资办函</w:t>
            </w:r>
            <w:r>
              <w:rPr>
                <w:rFonts w:hint="eastAsia" w:ascii="宋体" w:hAnsi="宋体" w:eastAsia="宋体" w:cs="宋体"/>
                <w:color w:val="auto"/>
                <w:kern w:val="0"/>
                <w:sz w:val="21"/>
                <w:szCs w:val="21"/>
              </w:rPr>
              <w:t>〔</w:t>
            </w:r>
            <w:r>
              <w:rPr>
                <w:rFonts w:hint="eastAsia" w:ascii="宋体" w:hAnsi="宋体" w:eastAsia="宋体" w:cs="宋体"/>
                <w:color w:val="auto"/>
                <w:kern w:val="0"/>
                <w:szCs w:val="21"/>
              </w:rPr>
              <w:t>2020</w:t>
            </w:r>
            <w:r>
              <w:rPr>
                <w:rFonts w:hint="eastAsia" w:ascii="宋体" w:hAnsi="宋体" w:eastAsia="宋体" w:cs="宋体"/>
                <w:color w:val="auto"/>
                <w:kern w:val="0"/>
                <w:sz w:val="21"/>
                <w:szCs w:val="21"/>
              </w:rPr>
              <w:t>〕</w:t>
            </w:r>
            <w:r>
              <w:rPr>
                <w:rFonts w:hint="eastAsia" w:ascii="宋体" w:hAnsi="宋体" w:eastAsia="宋体" w:cs="宋体"/>
                <w:color w:val="auto"/>
                <w:kern w:val="0"/>
                <w:szCs w:val="21"/>
              </w:rPr>
              <w:t>1328号）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信息形成或者获取之日起20个工作日内</w:t>
            </w:r>
          </w:p>
        </w:tc>
        <w:tc>
          <w:tcPr>
            <w:tcW w:w="1200" w:type="dxa"/>
            <w:noWrap w:val="0"/>
            <w:vAlign w:val="center"/>
          </w:tcPr>
          <w:p>
            <w:pPr>
              <w:widowControl/>
              <w:jc w:val="lef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w:t>
            </w:r>
            <w:r>
              <w:rPr>
                <w:rFonts w:hint="eastAsia" w:ascii="宋体" w:hAnsi="宋体" w:eastAsia="宋体" w:cs="宋体"/>
                <w:color w:val="auto"/>
                <w:kern w:val="0"/>
                <w:sz w:val="21"/>
                <w:szCs w:val="21"/>
                <w:lang w:eastAsia="zh-CN"/>
              </w:rPr>
              <w:t>他</w:t>
            </w:r>
            <w:r>
              <w:rPr>
                <w:rFonts w:hint="eastAsia" w:ascii="宋体" w:hAnsi="宋体" w:eastAsia="宋体" w:cs="宋体"/>
                <w:color w:val="auto"/>
                <w:kern w:val="0"/>
                <w:sz w:val="21"/>
                <w:szCs w:val="21"/>
                <w:u w:val="single"/>
                <w:vertAlign w:val="subscript"/>
              </w:rPr>
              <w:t xml:space="preserve"> </w:t>
            </w:r>
            <w:r>
              <w:rPr>
                <w:rFonts w:hint="eastAsia" w:ascii="宋体" w:hAnsi="宋体" w:eastAsia="宋体" w:cs="宋体"/>
                <w:color w:val="auto"/>
                <w:kern w:val="0"/>
                <w:sz w:val="21"/>
                <w:szCs w:val="21"/>
                <w:u w:val="single"/>
              </w:rPr>
              <w:t xml:space="preserve">        </w:t>
            </w:r>
          </w:p>
        </w:tc>
        <w:tc>
          <w:tcPr>
            <w:tcW w:w="3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left"/>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48</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开采矿产资源审批</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采矿权审批</w:t>
            </w:r>
          </w:p>
        </w:tc>
        <w:tc>
          <w:tcPr>
            <w:tcW w:w="2014" w:type="dxa"/>
            <w:noWrap w:val="0"/>
            <w:vAlign w:val="center"/>
          </w:tcPr>
          <w:p>
            <w:pPr>
              <w:widowControl/>
              <w:rPr>
                <w:rFonts w:hint="eastAsia" w:ascii="宋体" w:hAnsi="宋体" w:eastAsia="宋体" w:cs="宋体"/>
                <w:color w:val="auto"/>
                <w:sz w:val="21"/>
                <w:szCs w:val="21"/>
                <w:shd w:val="clear" w:color="auto" w:fill="FFFFFF"/>
              </w:rPr>
            </w:pPr>
            <w:r>
              <w:rPr>
                <w:rFonts w:hint="eastAsia" w:ascii="宋体" w:hAnsi="宋体" w:eastAsia="宋体" w:cs="宋体"/>
                <w:color w:val="auto"/>
                <w:kern w:val="0"/>
                <w:sz w:val="21"/>
                <w:szCs w:val="21"/>
              </w:rPr>
              <w:t>采矿权</w:t>
            </w:r>
            <w:r>
              <w:rPr>
                <w:rFonts w:hint="eastAsia" w:ascii="宋体" w:hAnsi="宋体" w:eastAsia="宋体" w:cs="宋体"/>
                <w:color w:val="auto"/>
                <w:kern w:val="0"/>
                <w:sz w:val="21"/>
                <w:szCs w:val="21"/>
                <w:lang w:eastAsia="zh-CN"/>
              </w:rPr>
              <w:t>登记信息</w:t>
            </w:r>
            <w:r>
              <w:rPr>
                <w:rFonts w:hint="eastAsia" w:ascii="宋体" w:hAnsi="宋体" w:eastAsia="宋体" w:cs="宋体"/>
                <w:color w:val="auto"/>
                <w:kern w:val="0"/>
                <w:sz w:val="21"/>
                <w:szCs w:val="21"/>
              </w:rPr>
              <w:t>，包括许可证号、矿山名称、矿区面积、有效期限等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w:t>
            </w:r>
            <w:r>
              <w:rPr>
                <w:rFonts w:hint="eastAsia" w:ascii="宋体" w:hAnsi="宋体" w:eastAsia="宋体" w:cs="宋体"/>
                <w:bCs/>
                <w:color w:val="auto"/>
                <w:sz w:val="21"/>
                <w:szCs w:val="21"/>
              </w:rPr>
              <w:t>《矿产资源开采登记管理办法》</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r>
              <w:rPr>
                <w:rFonts w:hint="eastAsia" w:ascii="宋体" w:hAnsi="宋体" w:eastAsia="宋体" w:cs="宋体"/>
                <w:bCs/>
                <w:color w:val="auto"/>
                <w:sz w:val="21"/>
                <w:szCs w:val="21"/>
              </w:rPr>
              <w:t>《国务院办公厅关于推进公共资源配置领域政府信息公开的意见》</w:t>
            </w:r>
            <w:r>
              <w:rPr>
                <w:rFonts w:hint="eastAsia" w:ascii="宋体" w:hAnsi="宋体" w:eastAsia="宋体" w:cs="宋体"/>
                <w:color w:val="auto"/>
                <w:kern w:val="0"/>
                <w:sz w:val="21"/>
                <w:szCs w:val="21"/>
              </w:rPr>
              <w:t>（国办发〔2017〕97号）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49</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开采矿产资源审批</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采矿权注销</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采矿权注销批复文件</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w:t>
            </w:r>
            <w:r>
              <w:rPr>
                <w:rFonts w:hint="eastAsia" w:ascii="宋体" w:hAnsi="宋体" w:eastAsia="宋体" w:cs="宋体"/>
                <w:bCs/>
                <w:color w:val="auto"/>
                <w:sz w:val="21"/>
                <w:szCs w:val="21"/>
              </w:rPr>
              <w:t>《矿产资源开采登记管理办法》</w:t>
            </w:r>
            <w:r>
              <w:rPr>
                <w:rFonts w:hint="eastAsia" w:ascii="宋体" w:hAnsi="宋体" w:eastAsia="宋体" w:cs="宋体"/>
                <w:bCs/>
                <w:color w:val="auto"/>
                <w:sz w:val="21"/>
                <w:szCs w:val="21"/>
                <w:lang w:eastAsia="zh-CN"/>
              </w:rPr>
              <w:t>《</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r>
              <w:rPr>
                <w:rFonts w:hint="eastAsia" w:ascii="宋体" w:hAnsi="宋体" w:eastAsia="宋体" w:cs="宋体"/>
                <w:bCs/>
                <w:color w:val="auto"/>
                <w:sz w:val="21"/>
                <w:szCs w:val="21"/>
              </w:rPr>
              <w:t>《国务院办公厅关于推进公共资源配置领域政府信息公开的意见》</w:t>
            </w:r>
            <w:r>
              <w:rPr>
                <w:rFonts w:hint="eastAsia" w:ascii="宋体" w:hAnsi="宋体" w:eastAsia="宋体" w:cs="宋体"/>
                <w:color w:val="auto"/>
                <w:kern w:val="0"/>
                <w:sz w:val="21"/>
                <w:szCs w:val="21"/>
              </w:rPr>
              <w:t>（国办发〔2017〕97号）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rPr>
                <w:rFonts w:hint="eastAsia" w:ascii="宋体" w:hAnsi="宋体" w:eastAsia="宋体" w:cs="宋体"/>
                <w:color w:val="auto"/>
                <w:kern w:val="0"/>
                <w:sz w:val="21"/>
                <w:szCs w:val="21"/>
              </w:rPr>
            </w:pPr>
          </w:p>
        </w:tc>
        <w:tc>
          <w:tcPr>
            <w:tcW w:w="423"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rPr>
                <w:rFonts w:hint="eastAsia" w:ascii="宋体" w:hAnsi="宋体" w:eastAsia="宋体" w:cs="宋体"/>
                <w:color w:val="auto"/>
                <w:kern w:val="0"/>
                <w:sz w:val="21"/>
                <w:szCs w:val="21"/>
              </w:rPr>
            </w:pPr>
          </w:p>
        </w:tc>
        <w:tc>
          <w:tcPr>
            <w:tcW w:w="436"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50</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矿业权出让信息</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出让公告</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出让人和矿业权交易平台的名称、场所；出让矿业权的简要情况；投标人或竞</w:t>
            </w:r>
            <w:r>
              <w:rPr>
                <w:rFonts w:hint="eastAsia" w:ascii="宋体" w:hAnsi="宋体" w:eastAsia="宋体" w:cs="宋体"/>
                <w:color w:val="auto"/>
                <w:kern w:val="0"/>
                <w:sz w:val="21"/>
                <w:szCs w:val="21"/>
                <w:lang w:eastAsia="zh-CN"/>
              </w:rPr>
              <w:t>买</w:t>
            </w:r>
            <w:r>
              <w:rPr>
                <w:rFonts w:hint="eastAsia" w:ascii="宋体" w:hAnsi="宋体" w:eastAsia="宋体" w:cs="宋体"/>
                <w:color w:val="auto"/>
                <w:kern w:val="0"/>
                <w:sz w:val="21"/>
                <w:szCs w:val="21"/>
              </w:rPr>
              <w:t>人的资质条件；出让方式及交易的时间、地点；获取</w:t>
            </w:r>
            <w:r>
              <w:rPr>
                <w:rFonts w:hint="eastAsia" w:ascii="宋体" w:hAnsi="宋体" w:eastAsia="宋体" w:cs="宋体"/>
                <w:color w:val="auto"/>
                <w:kern w:val="0"/>
                <w:sz w:val="21"/>
                <w:szCs w:val="21"/>
                <w:lang w:eastAsia="zh-CN"/>
              </w:rPr>
              <w:t>招标</w:t>
            </w:r>
            <w:r>
              <w:rPr>
                <w:rFonts w:hint="eastAsia" w:ascii="宋体" w:hAnsi="宋体" w:eastAsia="宋体" w:cs="宋体"/>
                <w:color w:val="auto"/>
                <w:kern w:val="0"/>
                <w:sz w:val="21"/>
                <w:szCs w:val="21"/>
              </w:rPr>
              <w:t>、拍</w:t>
            </w:r>
            <w:r>
              <w:rPr>
                <w:rFonts w:hint="eastAsia" w:ascii="宋体" w:hAnsi="宋体" w:eastAsia="宋体" w:cs="宋体"/>
                <w:color w:val="auto"/>
                <w:kern w:val="0"/>
                <w:sz w:val="21"/>
                <w:szCs w:val="21"/>
                <w:lang w:eastAsia="zh-CN"/>
              </w:rPr>
              <w:t>卖</w:t>
            </w:r>
            <w:r>
              <w:rPr>
                <w:rFonts w:hint="eastAsia" w:ascii="宋体" w:hAnsi="宋体" w:eastAsia="宋体" w:cs="宋体"/>
                <w:color w:val="auto"/>
                <w:kern w:val="0"/>
                <w:sz w:val="21"/>
                <w:szCs w:val="21"/>
              </w:rPr>
              <w:t>、挂</w:t>
            </w:r>
            <w:r>
              <w:rPr>
                <w:rFonts w:hint="eastAsia" w:ascii="宋体" w:hAnsi="宋体" w:eastAsia="宋体" w:cs="宋体"/>
                <w:color w:val="auto"/>
                <w:kern w:val="0"/>
                <w:sz w:val="21"/>
                <w:szCs w:val="21"/>
                <w:lang w:eastAsia="zh-CN"/>
              </w:rPr>
              <w:t>牌</w:t>
            </w:r>
            <w:r>
              <w:rPr>
                <w:rFonts w:hint="eastAsia" w:ascii="宋体" w:hAnsi="宋体" w:eastAsia="宋体" w:cs="宋体"/>
                <w:color w:val="auto"/>
                <w:kern w:val="0"/>
                <w:sz w:val="21"/>
                <w:szCs w:val="21"/>
              </w:rPr>
              <w:t>文件的途径和申请登记的起止时间及方式等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bCs/>
                <w:color w:val="auto"/>
                <w:sz w:val="21"/>
                <w:szCs w:val="21"/>
              </w:rPr>
              <w:t>《国务院办公厅关于推进公共资源配置领域政府信息公开的意见》</w:t>
            </w:r>
            <w:r>
              <w:rPr>
                <w:rFonts w:hint="eastAsia" w:ascii="宋体" w:hAnsi="宋体" w:eastAsia="宋体" w:cs="宋体"/>
                <w:color w:val="auto"/>
                <w:kern w:val="0"/>
                <w:sz w:val="21"/>
                <w:szCs w:val="21"/>
              </w:rPr>
              <w:t>（国办发〔2017〕97号）</w:t>
            </w:r>
            <w:r>
              <w:rPr>
                <w:rFonts w:hint="eastAsia" w:ascii="宋体" w:hAnsi="宋体" w:eastAsia="宋体" w:cs="宋体"/>
                <w:color w:val="auto"/>
                <w:kern w:val="0"/>
                <w:szCs w:val="21"/>
              </w:rPr>
              <w:t>《矿业权交易规则》</w:t>
            </w:r>
            <w:r>
              <w:rPr>
                <w:rFonts w:hint="eastAsia" w:ascii="宋体" w:hAnsi="宋体" w:eastAsia="宋体" w:cs="宋体"/>
                <w:color w:val="auto"/>
                <w:kern w:val="0"/>
                <w:szCs w:val="21"/>
                <w:lang w:eastAsia="zh-CN"/>
              </w:rPr>
              <w:t>（国土资规〔2017〕7号）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在投标截止日、公开拍卖日或者挂牌起始日20个工作日前发布</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u w:val="single"/>
                <w:lang w:eastAsia="zh-CN"/>
              </w:rPr>
              <w:t>矿业权交易平台交易大厅</w:t>
            </w:r>
          </w:p>
        </w:tc>
        <w:tc>
          <w:tcPr>
            <w:tcW w:w="35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rPr>
                <w:rFonts w:hint="eastAsia" w:ascii="宋体" w:hAnsi="宋体" w:eastAsia="宋体" w:cs="宋体"/>
                <w:color w:val="auto"/>
                <w:kern w:val="0"/>
                <w:sz w:val="21"/>
                <w:szCs w:val="21"/>
              </w:rPr>
            </w:pPr>
          </w:p>
        </w:tc>
        <w:tc>
          <w:tcPr>
            <w:tcW w:w="423"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rPr>
                <w:rFonts w:hint="eastAsia" w:ascii="宋体" w:hAnsi="宋体" w:eastAsia="宋体" w:cs="宋体"/>
                <w:color w:val="auto"/>
                <w:kern w:val="0"/>
                <w:sz w:val="21"/>
                <w:szCs w:val="21"/>
              </w:rPr>
            </w:pPr>
          </w:p>
        </w:tc>
        <w:tc>
          <w:tcPr>
            <w:tcW w:w="436"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矿业权出让信息</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出让结果</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中标人或者竞得人的名称、场所；成交时间、地点；中标或者竞得的勘查区块、面积、开采范围的简要情况；矿业权成交价格及缴纳时间、方式</w:t>
            </w:r>
            <w:r>
              <w:rPr>
                <w:rFonts w:hint="eastAsia" w:ascii="宋体" w:hAnsi="宋体" w:eastAsia="宋体" w:cs="宋体"/>
                <w:color w:val="auto"/>
                <w:kern w:val="0"/>
                <w:sz w:val="21"/>
                <w:szCs w:val="21"/>
                <w:lang w:eastAsia="zh-CN"/>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bCs/>
                <w:color w:val="auto"/>
                <w:sz w:val="21"/>
                <w:szCs w:val="21"/>
              </w:rPr>
              <w:t>《国务院办公厅关于推进公共资源配置领域政府信息公开的意见》</w:t>
            </w:r>
            <w:r>
              <w:rPr>
                <w:rFonts w:hint="eastAsia" w:ascii="宋体" w:hAnsi="宋体" w:eastAsia="宋体" w:cs="宋体"/>
                <w:color w:val="auto"/>
                <w:kern w:val="0"/>
                <w:sz w:val="21"/>
                <w:szCs w:val="21"/>
              </w:rPr>
              <w:t>（国办发〔2017〕97号）</w:t>
            </w:r>
            <w:r>
              <w:rPr>
                <w:rFonts w:hint="eastAsia" w:ascii="宋体" w:hAnsi="宋体" w:eastAsia="宋体" w:cs="宋体"/>
                <w:color w:val="auto"/>
                <w:kern w:val="0"/>
                <w:szCs w:val="21"/>
              </w:rPr>
              <w:t>《矿业权交易规则》</w:t>
            </w:r>
            <w:r>
              <w:rPr>
                <w:rFonts w:hint="eastAsia" w:ascii="宋体" w:hAnsi="宋体" w:eastAsia="宋体" w:cs="宋体"/>
                <w:color w:val="auto"/>
                <w:kern w:val="0"/>
                <w:szCs w:val="21"/>
                <w:lang w:eastAsia="zh-CN"/>
              </w:rPr>
              <w:t>（国土资规〔2017〕7号）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发出</w:t>
            </w:r>
            <w:r>
              <w:rPr>
                <w:rFonts w:hint="eastAsia" w:ascii="宋体" w:hAnsi="宋体" w:eastAsia="宋体" w:cs="宋体"/>
                <w:color w:val="auto"/>
                <w:kern w:val="0"/>
                <w:sz w:val="21"/>
                <w:szCs w:val="21"/>
                <w:lang w:eastAsia="zh-CN"/>
              </w:rPr>
              <w:t>中标</w:t>
            </w:r>
            <w:r>
              <w:rPr>
                <w:rFonts w:hint="eastAsia" w:ascii="宋体" w:hAnsi="宋体" w:eastAsia="宋体" w:cs="宋体"/>
                <w:color w:val="auto"/>
                <w:kern w:val="0"/>
                <w:sz w:val="21"/>
                <w:szCs w:val="21"/>
              </w:rPr>
              <w:t>通知书或者签订成交确认书后5个工作日内进行信息公示，公示期不少于10个工作日</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cs="宋体"/>
                <w:color w:val="auto"/>
                <w:kern w:val="0"/>
                <w:sz w:val="21"/>
                <w:szCs w:val="21"/>
                <w:lang w:val="en-US" w:eastAsia="zh-CN"/>
              </w:rPr>
              <w:t xml:space="preserve"> </w:t>
            </w:r>
            <w:r>
              <w:rPr>
                <w:rFonts w:hint="eastAsia" w:ascii="宋体" w:hAnsi="宋体" w:eastAsia="宋体" w:cs="宋体"/>
                <w:color w:val="auto"/>
                <w:kern w:val="0"/>
                <w:sz w:val="21"/>
                <w:szCs w:val="21"/>
                <w:u w:val="single"/>
                <w:lang w:eastAsia="zh-CN"/>
              </w:rPr>
              <w:t>矿业权交易平台交易大厅</w:t>
            </w:r>
          </w:p>
        </w:tc>
        <w:tc>
          <w:tcPr>
            <w:tcW w:w="35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rPr>
                <w:rFonts w:hint="eastAsia" w:ascii="宋体" w:hAnsi="宋体" w:eastAsia="宋体" w:cs="宋体"/>
                <w:color w:val="auto"/>
                <w:kern w:val="0"/>
                <w:sz w:val="21"/>
                <w:szCs w:val="21"/>
              </w:rPr>
            </w:pPr>
          </w:p>
        </w:tc>
        <w:tc>
          <w:tcPr>
            <w:tcW w:w="423"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rPr>
                <w:rFonts w:hint="eastAsia" w:ascii="宋体" w:hAnsi="宋体" w:eastAsia="宋体" w:cs="宋体"/>
                <w:color w:val="auto"/>
                <w:kern w:val="0"/>
                <w:sz w:val="21"/>
                <w:szCs w:val="21"/>
              </w:rPr>
            </w:pPr>
          </w:p>
        </w:tc>
        <w:tc>
          <w:tcPr>
            <w:tcW w:w="436"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52</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矿业权</w:t>
            </w:r>
            <w:r>
              <w:rPr>
                <w:rFonts w:hint="eastAsia" w:ascii="宋体" w:hAnsi="宋体" w:eastAsia="宋体" w:cs="宋体"/>
                <w:color w:val="auto"/>
                <w:kern w:val="0"/>
                <w:sz w:val="21"/>
                <w:szCs w:val="21"/>
                <w:lang w:eastAsia="zh-CN"/>
              </w:rPr>
              <w:t>转</w:t>
            </w:r>
            <w:r>
              <w:rPr>
                <w:rFonts w:hint="eastAsia" w:ascii="宋体" w:hAnsi="宋体" w:eastAsia="宋体" w:cs="宋体"/>
                <w:color w:val="auto"/>
                <w:kern w:val="0"/>
                <w:sz w:val="21"/>
                <w:szCs w:val="21"/>
              </w:rPr>
              <w:t>让信息</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转让公示</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转让人名称、法定代表人、场所；项目名称或矿山名称；受让人名称、法定代表</w:t>
            </w:r>
            <w:r>
              <w:rPr>
                <w:rFonts w:hint="eastAsia" w:ascii="宋体" w:hAnsi="宋体" w:eastAsia="宋体" w:cs="宋体"/>
                <w:color w:val="auto"/>
                <w:kern w:val="0"/>
                <w:sz w:val="21"/>
                <w:szCs w:val="21"/>
                <w:lang w:eastAsia="zh-CN"/>
              </w:rPr>
              <w:t>人</w:t>
            </w:r>
            <w:r>
              <w:rPr>
                <w:rFonts w:hint="eastAsia" w:ascii="宋体" w:hAnsi="宋体" w:eastAsia="宋体" w:cs="宋体"/>
                <w:color w:val="auto"/>
                <w:kern w:val="0"/>
                <w:sz w:val="21"/>
                <w:szCs w:val="21"/>
              </w:rPr>
              <w:t>、场所；转让矿业权许可证号、发证机关、有效期限；转让矿业权的矿区（勘查区）地理位置、勘查成果情况、资源储量情况等；转让价格、方式等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《国务院办公厅关于推进公共资源配置领域政府信息公开的意见》（国办发〔2017〕97号）</w:t>
            </w:r>
            <w:r>
              <w:rPr>
                <w:rFonts w:hint="eastAsia" w:ascii="宋体" w:hAnsi="宋体" w:eastAsia="宋体" w:cs="宋体"/>
                <w:color w:val="auto"/>
                <w:kern w:val="0"/>
                <w:szCs w:val="21"/>
              </w:rPr>
              <w:t>《矿业权交易规则》</w:t>
            </w:r>
            <w:r>
              <w:rPr>
                <w:rFonts w:hint="eastAsia" w:ascii="宋体" w:hAnsi="宋体" w:eastAsia="宋体" w:cs="宋体"/>
                <w:color w:val="auto"/>
                <w:kern w:val="0"/>
                <w:szCs w:val="21"/>
                <w:lang w:eastAsia="zh-CN"/>
              </w:rPr>
              <w:t>（国土资规〔2017〕7号）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受理申请材料后公示，</w:t>
            </w:r>
            <w:r>
              <w:rPr>
                <w:rFonts w:hint="eastAsia" w:ascii="宋体" w:hAnsi="宋体" w:eastAsia="宋体" w:cs="宋体"/>
                <w:color w:val="auto"/>
                <w:kern w:val="0"/>
                <w:sz w:val="21"/>
                <w:szCs w:val="21"/>
              </w:rPr>
              <w:t>公示期不少于10个工作日</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rPr>
                <w:rFonts w:hint="eastAsia" w:ascii="宋体" w:hAnsi="宋体" w:eastAsia="宋体" w:cs="宋体"/>
                <w:color w:val="auto"/>
                <w:kern w:val="0"/>
                <w:sz w:val="21"/>
                <w:szCs w:val="21"/>
              </w:rPr>
            </w:pPr>
          </w:p>
        </w:tc>
        <w:tc>
          <w:tcPr>
            <w:tcW w:w="423"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rPr>
                <w:rFonts w:hint="eastAsia" w:ascii="宋体" w:hAnsi="宋体" w:eastAsia="宋体" w:cs="宋体"/>
                <w:color w:val="auto"/>
                <w:kern w:val="0"/>
                <w:sz w:val="21"/>
                <w:szCs w:val="21"/>
              </w:rPr>
            </w:pPr>
          </w:p>
        </w:tc>
        <w:tc>
          <w:tcPr>
            <w:tcW w:w="436"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53</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地质灾害预防和治理</w:t>
            </w:r>
          </w:p>
        </w:tc>
        <w:tc>
          <w:tcPr>
            <w:tcW w:w="1118" w:type="dxa"/>
            <w:noWrap w:val="0"/>
            <w:vAlign w:val="center"/>
          </w:tcPr>
          <w:p>
            <w:pPr>
              <w:spacing w:line="2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预警预报</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地质灾害类预</w:t>
            </w:r>
            <w:r>
              <w:rPr>
                <w:rFonts w:hint="eastAsia" w:ascii="宋体" w:hAnsi="宋体" w:eastAsia="宋体" w:cs="宋体"/>
                <w:color w:val="auto"/>
                <w:kern w:val="0"/>
                <w:sz w:val="21"/>
                <w:szCs w:val="21"/>
                <w:lang w:eastAsia="zh-CN"/>
              </w:rPr>
              <w:t>报</w:t>
            </w:r>
            <w:r>
              <w:rPr>
                <w:rFonts w:hint="eastAsia" w:ascii="宋体" w:hAnsi="宋体" w:eastAsia="宋体" w:cs="宋体"/>
                <w:color w:val="auto"/>
                <w:kern w:val="0"/>
                <w:sz w:val="21"/>
                <w:szCs w:val="21"/>
              </w:rPr>
              <w:t>信息</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《地质灾害防治条例》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实时公开</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 □政府服务中心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54</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地质灾害预防和治理</w:t>
            </w:r>
          </w:p>
        </w:tc>
        <w:tc>
          <w:tcPr>
            <w:tcW w:w="1118" w:type="dxa"/>
            <w:noWrap w:val="0"/>
            <w:vAlign w:val="center"/>
          </w:tcPr>
          <w:p>
            <w:pPr>
              <w:spacing w:line="2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年度地质灾害防治方案</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县</w:t>
            </w:r>
            <w:r>
              <w:rPr>
                <w:rFonts w:hint="eastAsia" w:ascii="宋体" w:hAnsi="宋体" w:eastAsia="宋体" w:cs="宋体"/>
                <w:color w:val="auto"/>
                <w:kern w:val="0"/>
                <w:sz w:val="21"/>
                <w:szCs w:val="21"/>
              </w:rPr>
              <w:t>级</w:t>
            </w:r>
            <w:r>
              <w:rPr>
                <w:rFonts w:hint="eastAsia" w:ascii="宋体" w:hAnsi="宋体" w:eastAsia="宋体" w:cs="宋体"/>
                <w:color w:val="auto"/>
                <w:kern w:val="0"/>
                <w:sz w:val="21"/>
                <w:szCs w:val="21"/>
                <w:lang w:eastAsia="zh-CN"/>
              </w:rPr>
              <w:t>以上地方人民政府</w:t>
            </w:r>
            <w:r>
              <w:rPr>
                <w:rFonts w:hint="eastAsia" w:ascii="宋体" w:hAnsi="宋体" w:eastAsia="宋体" w:cs="宋体"/>
                <w:color w:val="auto"/>
                <w:kern w:val="0"/>
                <w:sz w:val="21"/>
                <w:szCs w:val="21"/>
              </w:rPr>
              <w:t>自然资源</w:t>
            </w:r>
            <w:r>
              <w:rPr>
                <w:rFonts w:hint="eastAsia" w:ascii="宋体" w:hAnsi="宋体" w:eastAsia="宋体" w:cs="宋体"/>
                <w:color w:val="auto"/>
                <w:kern w:val="0"/>
                <w:sz w:val="21"/>
                <w:szCs w:val="21"/>
                <w:lang w:eastAsia="zh-CN"/>
              </w:rPr>
              <w:t>主管</w:t>
            </w:r>
            <w:r>
              <w:rPr>
                <w:rFonts w:hint="eastAsia" w:ascii="宋体" w:hAnsi="宋体" w:eastAsia="宋体" w:cs="宋体"/>
                <w:color w:val="auto"/>
                <w:kern w:val="0"/>
                <w:sz w:val="21"/>
                <w:szCs w:val="21"/>
              </w:rPr>
              <w:t>部门制定的年度地质灾害防治方案</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《地质灾害防治条例》</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55</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海洋观测预报与防灾减灾</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海洋预报和海洋灾害警报</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海洋预报和海洋灾害警报，包括海洋环境预报、海洋灾害预报警报等</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《政府信息公开条例》《海洋观测预报管理条例》《海洋预报业务管理规定》</w:t>
            </w:r>
            <w:r>
              <w:rPr>
                <w:rFonts w:hint="eastAsia" w:ascii="宋体" w:hAnsi="宋体" w:eastAsia="宋体" w:cs="宋体"/>
                <w:color w:val="auto"/>
                <w:kern w:val="0"/>
                <w:sz w:val="21"/>
                <w:szCs w:val="21"/>
                <w:lang w:eastAsia="zh-CN"/>
              </w:rPr>
              <w:t>（国海预字</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91号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实时公开</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56</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海域综合管理</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海域使用许可（海域使用权初始申请、续期申请、转让申请）</w:t>
            </w:r>
          </w:p>
        </w:tc>
        <w:tc>
          <w:tcPr>
            <w:tcW w:w="2014"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海域使用申请人、项目名称、用海类型、用海面积等</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涉密事项</w:t>
            </w:r>
            <w:r>
              <w:rPr>
                <w:rFonts w:hint="eastAsia" w:ascii="宋体" w:hAnsi="宋体" w:eastAsia="宋体" w:cs="宋体"/>
                <w:color w:val="auto"/>
                <w:kern w:val="0"/>
                <w:sz w:val="21"/>
                <w:szCs w:val="21"/>
                <w:lang w:eastAsia="zh-CN"/>
              </w:rPr>
              <w:t>、法律法规</w:t>
            </w:r>
            <w:r>
              <w:rPr>
                <w:rFonts w:hint="eastAsia" w:ascii="宋体" w:hAnsi="宋体" w:eastAsia="宋体" w:cs="宋体"/>
                <w:color w:val="auto"/>
                <w:kern w:val="0"/>
                <w:sz w:val="21"/>
                <w:szCs w:val="21"/>
              </w:rPr>
              <w:t>规定不予公开的除外</w:t>
            </w:r>
            <w:r>
              <w:rPr>
                <w:rFonts w:hint="eastAsia" w:ascii="宋体" w:hAnsi="宋体" w:eastAsia="宋体" w:cs="宋体"/>
                <w:color w:val="auto"/>
                <w:kern w:val="0"/>
                <w:sz w:val="21"/>
                <w:szCs w:val="21"/>
                <w:lang w:eastAsia="zh-CN"/>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《海域使用管理法</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政府信息公开条例</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海域使用权管理规定》</w:t>
            </w:r>
            <w:r>
              <w:rPr>
                <w:rFonts w:hint="eastAsia" w:ascii="宋体" w:hAnsi="宋体" w:eastAsia="宋体" w:cs="宋体"/>
                <w:color w:val="auto"/>
                <w:kern w:val="0"/>
                <w:sz w:val="21"/>
                <w:szCs w:val="21"/>
                <w:lang w:eastAsia="zh-CN"/>
              </w:rPr>
              <w:t>（国海发</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2006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27号</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57</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海域综合管理</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海域使用权招标、拍卖</w:t>
            </w:r>
          </w:p>
        </w:tc>
        <w:tc>
          <w:tcPr>
            <w:tcW w:w="2014"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海域使用权招标、拍卖公告；海域使用权招标、拍卖结果。</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《招标投标法》《拍卖法》</w:t>
            </w:r>
            <w:r>
              <w:rPr>
                <w:rFonts w:hint="eastAsia" w:ascii="宋体" w:hAnsi="宋体" w:eastAsia="宋体" w:cs="宋体"/>
                <w:color w:val="auto"/>
                <w:kern w:val="0"/>
                <w:sz w:val="21"/>
                <w:szCs w:val="21"/>
              </w:rPr>
              <w:t>《海域使用管理法》《海域使用权管理规定》</w:t>
            </w:r>
            <w:r>
              <w:rPr>
                <w:rFonts w:hint="eastAsia" w:ascii="宋体" w:hAnsi="宋体" w:eastAsia="宋体" w:cs="宋体"/>
                <w:color w:val="auto"/>
                <w:kern w:val="0"/>
                <w:sz w:val="21"/>
                <w:szCs w:val="21"/>
                <w:lang w:eastAsia="zh-CN"/>
              </w:rPr>
              <w:t>（国海发</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2006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27号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组织招标</w:t>
            </w:r>
            <w:r>
              <w:rPr>
                <w:rFonts w:hint="eastAsia" w:ascii="宋体" w:hAnsi="宋体" w:cs="宋体"/>
                <w:color w:val="auto"/>
                <w:kern w:val="0"/>
                <w:sz w:val="21"/>
                <w:szCs w:val="21"/>
                <w:lang w:eastAsia="zh-CN"/>
              </w:rPr>
              <w:t>活动</w:t>
            </w:r>
            <w:r>
              <w:rPr>
                <w:rFonts w:hint="eastAsia" w:ascii="宋体" w:hAnsi="宋体" w:cs="宋体"/>
                <w:color w:val="auto"/>
                <w:kern w:val="0"/>
                <w:sz w:val="21"/>
                <w:szCs w:val="21"/>
                <w:lang w:val="en-US" w:eastAsia="zh-CN"/>
              </w:rPr>
              <w:t>20日前发布公告，组织拍卖活动7日前发布公告；</w:t>
            </w:r>
            <w:r>
              <w:rPr>
                <w:rFonts w:hint="eastAsia" w:ascii="宋体" w:hAnsi="宋体" w:eastAsia="宋体" w:cs="宋体"/>
                <w:color w:val="auto"/>
                <w:kern w:val="0"/>
                <w:szCs w:val="21"/>
              </w:rPr>
              <w:t>招标、拍卖活动结束后</w:t>
            </w:r>
            <w:r>
              <w:rPr>
                <w:rFonts w:hint="eastAsia" w:ascii="宋体" w:hAnsi="宋体" w:eastAsia="宋体" w:cs="宋体"/>
                <w:color w:val="auto"/>
                <w:kern w:val="0"/>
                <w:szCs w:val="21"/>
                <w:lang w:eastAsia="zh-CN"/>
              </w:rPr>
              <w:t>1</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日内公布</w:t>
            </w:r>
            <w:r>
              <w:rPr>
                <w:rFonts w:hint="eastAsia" w:ascii="宋体" w:hAnsi="宋体" w:eastAsia="宋体" w:cs="宋体"/>
                <w:color w:val="auto"/>
                <w:kern w:val="0"/>
                <w:sz w:val="21"/>
                <w:szCs w:val="21"/>
                <w:lang w:eastAsia="zh-CN"/>
              </w:rPr>
              <w:t>招标、拍卖结果</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rPr>
            </w:pPr>
            <w:r>
              <w:rPr>
                <w:rFonts w:hint="eastAsia" w:ascii="宋体" w:hAnsi="宋体" w:eastAsia="宋体" w:cs="宋体"/>
                <w:color w:val="auto"/>
                <w:kern w:val="0"/>
                <w:sz w:val="21"/>
                <w:szCs w:val="21"/>
                <w:lang w:val="en-US" w:eastAsia="zh-CN"/>
              </w:rPr>
              <w:t>58</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海域综合管理</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海域使用权注销以及期满收回</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原海域使用权利人、项目名称、用海类型、注销（或期满收回）前的项目用海面积、注销（或期满收回）后的项目用海面积等</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涉密事项</w:t>
            </w:r>
            <w:r>
              <w:rPr>
                <w:rFonts w:hint="eastAsia" w:ascii="宋体" w:hAnsi="宋体" w:eastAsia="宋体" w:cs="宋体"/>
                <w:color w:val="auto"/>
                <w:kern w:val="0"/>
                <w:sz w:val="21"/>
                <w:szCs w:val="21"/>
                <w:lang w:eastAsia="zh-CN"/>
              </w:rPr>
              <w:t>、法律法规</w:t>
            </w:r>
            <w:r>
              <w:rPr>
                <w:rFonts w:hint="eastAsia" w:ascii="宋体" w:hAnsi="宋体" w:eastAsia="宋体" w:cs="宋体"/>
                <w:color w:val="auto"/>
                <w:kern w:val="0"/>
                <w:sz w:val="21"/>
                <w:szCs w:val="21"/>
              </w:rPr>
              <w:t>规定不予公开的除外</w:t>
            </w:r>
            <w:r>
              <w:rPr>
                <w:rFonts w:hint="eastAsia" w:ascii="宋体" w:hAnsi="宋体" w:eastAsia="宋体" w:cs="宋体"/>
                <w:color w:val="auto"/>
                <w:kern w:val="0"/>
                <w:sz w:val="21"/>
                <w:szCs w:val="21"/>
                <w:lang w:eastAsia="zh-CN"/>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《海域使用管理法》《政府信息公开条例》</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59</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海岛保护与利用</w:t>
            </w:r>
          </w:p>
        </w:tc>
        <w:tc>
          <w:tcPr>
            <w:tcW w:w="1118"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因教学、科研需要在无居民海岛采集生物和非生物标本许可</w:t>
            </w:r>
          </w:p>
        </w:tc>
        <w:tc>
          <w:tcPr>
            <w:tcW w:w="2014" w:type="dxa"/>
            <w:noWrap w:val="0"/>
            <w:vAlign w:val="center"/>
          </w:tcPr>
          <w:p>
            <w:pPr>
              <w:widowControl/>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许可结果信息（</w:t>
            </w:r>
            <w:r>
              <w:rPr>
                <w:rFonts w:hint="eastAsia" w:ascii="宋体" w:hAnsi="宋体" w:eastAsia="宋体" w:cs="宋体"/>
                <w:color w:val="auto"/>
                <w:kern w:val="0"/>
                <w:sz w:val="21"/>
                <w:szCs w:val="21"/>
              </w:rPr>
              <w:t>涉密事项</w:t>
            </w:r>
            <w:r>
              <w:rPr>
                <w:rFonts w:hint="eastAsia" w:ascii="宋体" w:hAnsi="宋体" w:eastAsia="宋体" w:cs="宋体"/>
                <w:color w:val="auto"/>
                <w:kern w:val="0"/>
                <w:sz w:val="21"/>
                <w:szCs w:val="21"/>
                <w:lang w:eastAsia="zh-CN"/>
              </w:rPr>
              <w:t>、法律法规</w:t>
            </w:r>
            <w:r>
              <w:rPr>
                <w:rFonts w:hint="eastAsia" w:ascii="宋体" w:hAnsi="宋体" w:eastAsia="宋体" w:cs="宋体"/>
                <w:color w:val="auto"/>
                <w:kern w:val="0"/>
                <w:sz w:val="21"/>
                <w:szCs w:val="21"/>
              </w:rPr>
              <w:t>规定不予公开的除外</w:t>
            </w:r>
            <w:r>
              <w:rPr>
                <w:rFonts w:hint="eastAsia" w:ascii="宋体" w:hAnsi="宋体" w:eastAsia="宋体" w:cs="宋体"/>
                <w:color w:val="auto"/>
                <w:kern w:val="0"/>
                <w:sz w:val="21"/>
                <w:szCs w:val="21"/>
                <w:lang w:eastAsia="zh-CN"/>
              </w:rPr>
              <w:t>）</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《海岛保护法》《政府信息公开条例》</w:t>
            </w:r>
            <w:r>
              <w:rPr>
                <w:rFonts w:hint="eastAsia" w:ascii="宋体" w:hAnsi="宋体" w:eastAsia="宋体" w:cs="宋体"/>
                <w:color w:val="auto"/>
                <w:kern w:val="0"/>
                <w:sz w:val="21"/>
                <w:szCs w:val="21"/>
                <w:lang w:eastAsia="zh-CN"/>
              </w:rPr>
              <w:t>《国务院办公厅关于运用大数据加强对市场主体服务和监管的若干意见》（国办发</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51号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60</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监督检查</w:t>
            </w:r>
          </w:p>
        </w:tc>
        <w:tc>
          <w:tcPr>
            <w:tcW w:w="1118"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双随机一公开</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随机抽查事项清单，主要包括抽查依据、抽查主体、抽查内容、抽查方式</w:t>
            </w:r>
            <w:r>
              <w:rPr>
                <w:rFonts w:hint="eastAsia" w:ascii="宋体" w:hAnsi="宋体" w:eastAsia="宋体" w:cs="宋体"/>
                <w:color w:val="auto"/>
                <w:kern w:val="0"/>
                <w:sz w:val="21"/>
                <w:szCs w:val="21"/>
                <w:lang w:eastAsia="zh-CN"/>
              </w:rPr>
              <w:t>等；抽查情况及查处结果</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《国务院办公厅关于推广随机抽查规范事中事后监管的通知》（国办发〔2015〕58号）《国务院关于在市场监管领域全面推行部门联合“双随机、一公开”监管的意见》（国发〔2019〕5号）</w:t>
            </w:r>
            <w:r>
              <w:rPr>
                <w:rFonts w:hint="eastAsia" w:ascii="宋体" w:hAnsi="宋体" w:eastAsia="宋体" w:cs="宋体"/>
                <w:color w:val="auto"/>
                <w:kern w:val="0"/>
                <w:sz w:val="21"/>
                <w:szCs w:val="21"/>
                <w:lang w:eastAsia="zh-CN"/>
              </w:rPr>
              <w:t>《国务院关于加强和规范事中事后监管的指导意见》（</w:t>
            </w:r>
            <w:r>
              <w:rPr>
                <w:rFonts w:hint="eastAsia" w:ascii="宋体" w:hAnsi="宋体" w:eastAsia="宋体" w:cs="宋体"/>
                <w:color w:val="auto"/>
                <w:kern w:val="0"/>
                <w:sz w:val="21"/>
                <w:szCs w:val="21"/>
              </w:rPr>
              <w:t>国发〔2019〕</w:t>
            </w:r>
            <w:r>
              <w:rPr>
                <w:rFonts w:hint="eastAsia" w:ascii="宋体" w:hAnsi="宋体" w:eastAsia="宋体" w:cs="宋体"/>
                <w:color w:val="auto"/>
                <w:kern w:val="0"/>
                <w:sz w:val="21"/>
                <w:szCs w:val="21"/>
                <w:lang w:val="en-US" w:eastAsia="zh-CN"/>
              </w:rPr>
              <w:t>18</w:t>
            </w:r>
            <w:r>
              <w:rPr>
                <w:rFonts w:hint="eastAsia" w:ascii="宋体" w:hAnsi="宋体" w:eastAsia="宋体" w:cs="宋体"/>
                <w:color w:val="auto"/>
                <w:kern w:val="0"/>
                <w:sz w:val="21"/>
                <w:szCs w:val="21"/>
              </w:rPr>
              <w:t>号</w:t>
            </w:r>
            <w:r>
              <w:rPr>
                <w:rFonts w:hint="eastAsia" w:ascii="宋体" w:hAnsi="宋体" w:eastAsia="宋体" w:cs="宋体"/>
                <w:color w:val="auto"/>
                <w:kern w:val="0"/>
                <w:sz w:val="21"/>
                <w:szCs w:val="21"/>
                <w:lang w:eastAsia="zh-CN"/>
              </w:rPr>
              <w:t>）</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jc w:val="lef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jc w:val="left"/>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61</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行政处罚</w:t>
            </w:r>
          </w:p>
        </w:tc>
        <w:tc>
          <w:tcPr>
            <w:tcW w:w="1118" w:type="dxa"/>
            <w:noWrap w:val="0"/>
            <w:vAlign w:val="center"/>
          </w:tcPr>
          <w:p>
            <w:pPr>
              <w:spacing w:line="2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行政处罚基本信息</w:t>
            </w:r>
          </w:p>
        </w:tc>
        <w:tc>
          <w:tcPr>
            <w:tcW w:w="2014" w:type="dxa"/>
            <w:noWrap w:val="0"/>
            <w:vAlign w:val="center"/>
          </w:tcPr>
          <w:p>
            <w:pPr>
              <w:widowControl/>
              <w:spacing w:line="260" w:lineRule="exact"/>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实施机关、立案依据、实施程序和救济渠道等信息</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《行政处罚法》《政府信息公开条例》《</w:t>
            </w:r>
            <w:r>
              <w:rPr>
                <w:rFonts w:hint="eastAsia" w:ascii="宋体" w:hAnsi="宋体" w:eastAsia="宋体" w:cs="宋体"/>
                <w:color w:val="auto"/>
                <w:sz w:val="21"/>
                <w:szCs w:val="21"/>
              </w:rPr>
              <w:t>关于全面推行行政执法公示制度执法全过程记录制度重大执法决定法制审核制度的指导意见</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（国办发〔201</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118</w:t>
            </w:r>
            <w:r>
              <w:rPr>
                <w:rFonts w:hint="eastAsia" w:ascii="宋体" w:hAnsi="宋体" w:eastAsia="宋体" w:cs="宋体"/>
                <w:color w:val="auto"/>
                <w:kern w:val="0"/>
                <w:sz w:val="21"/>
                <w:szCs w:val="21"/>
                <w:lang w:eastAsia="zh-CN"/>
              </w:rPr>
              <w:t>号）</w:t>
            </w:r>
          </w:p>
        </w:tc>
        <w:tc>
          <w:tcPr>
            <w:tcW w:w="1295"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信息形成或者变更之日起20个工作日内</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vertAlign w:val="subscript"/>
              </w:rPr>
              <w:t xml:space="preserve"> </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noWrap w:val="0"/>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62</w:t>
            </w:r>
          </w:p>
        </w:tc>
        <w:tc>
          <w:tcPr>
            <w:tcW w:w="654" w:type="dxa"/>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行政处罚</w:t>
            </w:r>
          </w:p>
        </w:tc>
        <w:tc>
          <w:tcPr>
            <w:tcW w:w="1118" w:type="dxa"/>
            <w:noWrap w:val="0"/>
            <w:vAlign w:val="center"/>
          </w:tcPr>
          <w:p>
            <w:pPr>
              <w:widowControl/>
              <w:spacing w:line="26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行政处罚</w:t>
            </w:r>
            <w:r>
              <w:rPr>
                <w:rFonts w:hint="eastAsia" w:ascii="宋体" w:hAnsi="宋体" w:eastAsia="宋体" w:cs="宋体"/>
                <w:color w:val="auto"/>
                <w:kern w:val="0"/>
                <w:sz w:val="21"/>
                <w:szCs w:val="21"/>
                <w:lang w:eastAsia="zh-CN"/>
              </w:rPr>
              <w:t>决定</w:t>
            </w:r>
            <w:r>
              <w:rPr>
                <w:rFonts w:hint="eastAsia" w:ascii="宋体" w:hAnsi="宋体" w:eastAsia="宋体" w:cs="宋体"/>
                <w:color w:val="auto"/>
                <w:kern w:val="0"/>
                <w:sz w:val="21"/>
                <w:szCs w:val="21"/>
              </w:rPr>
              <w:t>信息</w:t>
            </w:r>
          </w:p>
        </w:tc>
        <w:tc>
          <w:tcPr>
            <w:tcW w:w="2014"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具有一定社会影响的行政处罚决定</w:t>
            </w:r>
          </w:p>
        </w:tc>
        <w:tc>
          <w:tcPr>
            <w:tcW w:w="2050" w:type="dxa"/>
            <w:noWrap w:val="0"/>
            <w:vAlign w:val="center"/>
          </w:tcPr>
          <w:p>
            <w:pPr>
              <w:widowControl/>
              <w:adjustRightInd w:val="0"/>
              <w:snapToGrid w:val="0"/>
              <w:spacing w:line="276"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《行政处罚法》《政府信息公开条例》《</w:t>
            </w:r>
            <w:r>
              <w:rPr>
                <w:rFonts w:hint="eastAsia" w:ascii="宋体" w:hAnsi="宋体" w:eastAsia="宋体" w:cs="宋体"/>
                <w:color w:val="auto"/>
                <w:sz w:val="21"/>
                <w:szCs w:val="21"/>
              </w:rPr>
              <w:t>关于全面推行行政执法公示制度执法全过程记录制度重大执法决定法制审核制度的指导意见</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（国办发〔201</w:t>
            </w: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118</w:t>
            </w:r>
            <w:r>
              <w:rPr>
                <w:rFonts w:hint="eastAsia" w:ascii="宋体" w:hAnsi="宋体" w:eastAsia="宋体" w:cs="宋体"/>
                <w:color w:val="auto"/>
                <w:kern w:val="0"/>
                <w:sz w:val="21"/>
                <w:szCs w:val="21"/>
                <w:lang w:eastAsia="zh-CN"/>
              </w:rPr>
              <w:t>号）</w:t>
            </w:r>
          </w:p>
        </w:tc>
        <w:tc>
          <w:tcPr>
            <w:tcW w:w="1295" w:type="dxa"/>
            <w:noWrap w:val="0"/>
            <w:vAlign w:val="center"/>
          </w:tcPr>
          <w:p>
            <w:pPr>
              <w:widowControl/>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作出行政决定之日起</w:t>
            </w:r>
            <w:r>
              <w:rPr>
                <w:rFonts w:hint="eastAsia" w:ascii="宋体" w:hAnsi="宋体" w:eastAsia="宋体" w:cs="宋体"/>
                <w:color w:val="auto"/>
                <w:kern w:val="0"/>
                <w:sz w:val="21"/>
                <w:szCs w:val="21"/>
                <w:lang w:val="en-US" w:eastAsia="zh-CN"/>
              </w:rPr>
              <w:t>7个工作日内，法律法规另有规定的从其规定</w:t>
            </w:r>
          </w:p>
        </w:tc>
        <w:tc>
          <w:tcPr>
            <w:tcW w:w="1200"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昌乐县自然资源和规划局</w:t>
            </w:r>
          </w:p>
        </w:tc>
        <w:tc>
          <w:tcPr>
            <w:tcW w:w="2987" w:type="dxa"/>
            <w:noWrap w:val="0"/>
            <w:vAlign w:val="center"/>
          </w:tcPr>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■政府网站 □政府公报</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□两微一端 □发布会/听证会</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□广播电视 □纸质载体</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□公开查阅点■政府服务中心</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□便民服务站 □入户/现场</w:t>
            </w:r>
          </w:p>
          <w:p>
            <w:pPr>
              <w:widowControl/>
              <w:adjustRightInd w:val="0"/>
              <w:snapToGrid w:val="0"/>
              <w:spacing w:line="30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□社区/企事业单位/</w:t>
            </w:r>
            <w:r>
              <w:rPr>
                <w:rFonts w:hint="eastAsia" w:ascii="宋体" w:hAnsi="宋体" w:eastAsia="宋体" w:cs="宋体"/>
                <w:color w:val="auto"/>
                <w:kern w:val="0"/>
                <w:sz w:val="21"/>
                <w:szCs w:val="21"/>
                <w:lang w:eastAsia="zh-CN"/>
              </w:rPr>
              <w:t>村公示栏</w:t>
            </w:r>
          </w:p>
          <w:p>
            <w:pPr>
              <w:widowControl/>
              <w:adjustRightInd w:val="0"/>
              <w:snapToGrid w:val="0"/>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□精准推送 □其他</w:t>
            </w:r>
            <w:r>
              <w:rPr>
                <w:rFonts w:hint="eastAsia" w:ascii="宋体" w:hAnsi="宋体" w:eastAsia="宋体" w:cs="宋体"/>
                <w:color w:val="auto"/>
                <w:kern w:val="0"/>
                <w:sz w:val="21"/>
                <w:szCs w:val="21"/>
                <w:u w:val="single"/>
                <w:vertAlign w:val="subscript"/>
              </w:rPr>
              <w:t xml:space="preserve"> </w:t>
            </w:r>
            <w:r>
              <w:rPr>
                <w:rFonts w:hint="eastAsia" w:ascii="宋体" w:hAnsi="宋体" w:eastAsia="宋体" w:cs="宋体"/>
                <w:color w:val="auto"/>
                <w:kern w:val="0"/>
                <w:sz w:val="21"/>
                <w:szCs w:val="21"/>
                <w:u w:val="single"/>
              </w:rPr>
              <w:t xml:space="preserve">        </w:t>
            </w:r>
          </w:p>
        </w:tc>
        <w:tc>
          <w:tcPr>
            <w:tcW w:w="354"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9" w:type="dxa"/>
            <w:noWrap w:val="0"/>
            <w:vAlign w:val="center"/>
          </w:tcPr>
          <w:p>
            <w:pPr>
              <w:widowControl/>
              <w:jc w:val="center"/>
              <w:rPr>
                <w:rFonts w:hint="eastAsia" w:ascii="宋体" w:hAnsi="宋体" w:eastAsia="宋体" w:cs="宋体"/>
                <w:color w:val="auto"/>
                <w:kern w:val="0"/>
                <w:sz w:val="21"/>
                <w:szCs w:val="21"/>
              </w:rPr>
            </w:pPr>
          </w:p>
        </w:tc>
        <w:tc>
          <w:tcPr>
            <w:tcW w:w="423"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396" w:type="dxa"/>
            <w:noWrap w:val="0"/>
            <w:vAlign w:val="center"/>
          </w:tcPr>
          <w:p>
            <w:pPr>
              <w:widowControl/>
              <w:jc w:val="center"/>
              <w:rPr>
                <w:rFonts w:hint="eastAsia" w:ascii="宋体" w:hAnsi="宋体" w:eastAsia="宋体" w:cs="宋体"/>
                <w:color w:val="auto"/>
                <w:kern w:val="0"/>
                <w:sz w:val="21"/>
                <w:szCs w:val="21"/>
              </w:rPr>
            </w:pPr>
          </w:p>
        </w:tc>
        <w:tc>
          <w:tcPr>
            <w:tcW w:w="436" w:type="dxa"/>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p>
        </w:tc>
        <w:tc>
          <w:tcPr>
            <w:tcW w:w="405" w:type="dxa"/>
            <w:noWrap w:val="0"/>
            <w:vAlign w:val="center"/>
          </w:tcPr>
          <w:p>
            <w:pPr>
              <w:widowControl/>
              <w:jc w:val="center"/>
              <w:rPr>
                <w:rFonts w:hint="eastAsia" w:ascii="宋体" w:hAnsi="宋体" w:eastAsia="宋体" w:cs="宋体"/>
                <w:color w:val="auto"/>
                <w:kern w:val="0"/>
                <w:sz w:val="21"/>
                <w:szCs w:val="21"/>
              </w:rPr>
            </w:pPr>
          </w:p>
        </w:tc>
      </w:tr>
    </w:tbl>
    <w:p>
      <w:pPr>
        <w:widowControl/>
        <w:jc w:val="lef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sz w:val="32"/>
          <w:szCs w:val="32"/>
          <w:lang w:eastAsia="zh-CN"/>
        </w:rPr>
      </w:pPr>
    </w:p>
    <w:p/>
    <w:sectPr>
      <w:footerReference r:id="rId3" w:type="default"/>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NDJhYTY3OThkMzhjNGFkMDEzOTIxN2VmMjkwOGEifQ=="/>
  </w:docVars>
  <w:rsids>
    <w:rsidRoot w:val="00000000"/>
    <w:rsid w:val="02AE3201"/>
    <w:rsid w:val="0E182788"/>
    <w:rsid w:val="11B1008C"/>
    <w:rsid w:val="2D827F8A"/>
    <w:rsid w:val="2F020D8C"/>
    <w:rsid w:val="30745473"/>
    <w:rsid w:val="43267CC6"/>
    <w:rsid w:val="4389752A"/>
    <w:rsid w:val="4577586B"/>
    <w:rsid w:val="697E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15300</Words>
  <Characters>15675</Characters>
  <Lines>0</Lines>
  <Paragraphs>0</Paragraphs>
  <TotalTime>0</TotalTime>
  <ScaleCrop>false</ScaleCrop>
  <LinksUpToDate>false</LinksUpToDate>
  <CharactersWithSpaces>16454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2022-09-06T03:08:22Z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9E7613073BAC4C6A8931CA3A7686F952</vt:lpwstr>
  </property>
</Properties>
</file>