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hint="default" w:ascii="文星标宋" w:hAnsi="文星标宋" w:eastAsia="文星标宋"/>
          <w:b/>
          <w:color w:val="000000"/>
          <w:sz w:val="44"/>
          <w:szCs w:val="44"/>
          <w:lang w:val="en-US"/>
        </w:rPr>
      </w:pPr>
      <w:r>
        <w:rPr>
          <w:rFonts w:hint="eastAsia" w:ascii="文星标宋" w:hAnsi="文星标宋" w:eastAsia="文星标宋"/>
          <w:b/>
          <w:color w:val="000000"/>
          <w:sz w:val="44"/>
          <w:szCs w:val="44"/>
          <w:lang w:val="en-US" w:eastAsia="zh-CN"/>
        </w:rPr>
        <w:t>潍坊市生态环境局昌乐分局</w:t>
      </w:r>
      <w:r>
        <w:rPr>
          <w:rFonts w:hint="eastAsia" w:ascii="文星标宋" w:hAnsi="文星标宋" w:eastAsia="文星标宋"/>
          <w:b/>
          <w:color w:val="000000"/>
          <w:sz w:val="44"/>
          <w:szCs w:val="44"/>
        </w:rPr>
        <w:t>20</w:t>
      </w:r>
      <w:r>
        <w:rPr>
          <w:rFonts w:hint="eastAsia" w:ascii="文星标宋" w:hAnsi="文星标宋" w:eastAsia="文星标宋"/>
          <w:b/>
          <w:color w:val="000000"/>
          <w:sz w:val="44"/>
          <w:szCs w:val="44"/>
          <w:lang w:val="en-US" w:eastAsia="zh-CN"/>
        </w:rPr>
        <w:t>20</w:t>
      </w:r>
      <w:r>
        <w:rPr>
          <w:rFonts w:hint="eastAsia" w:ascii="文星标宋" w:hAnsi="文星标宋" w:eastAsia="文星标宋"/>
          <w:b/>
          <w:color w:val="000000"/>
          <w:sz w:val="44"/>
          <w:szCs w:val="44"/>
        </w:rPr>
        <w:t>年</w:t>
      </w:r>
      <w:r>
        <w:rPr>
          <w:rFonts w:hint="eastAsia" w:ascii="文星标宋" w:hAnsi="文星标宋" w:eastAsia="文星标宋"/>
          <w:b/>
          <w:color w:val="000000"/>
          <w:sz w:val="44"/>
          <w:szCs w:val="44"/>
          <w:lang w:eastAsia="zh-CN"/>
        </w:rPr>
        <w:t>度重点工作</w:t>
      </w:r>
      <w:r>
        <w:rPr>
          <w:rFonts w:hint="eastAsia" w:ascii="文星标宋" w:hAnsi="文星标宋" w:eastAsia="文星标宋"/>
          <w:b/>
          <w:color w:val="000000"/>
          <w:sz w:val="44"/>
          <w:szCs w:val="44"/>
          <w:lang w:val="en-US" w:eastAsia="zh-CN"/>
        </w:rPr>
        <w:t>执行措施与监督</w:t>
      </w:r>
    </w:p>
    <w:tbl>
      <w:tblPr>
        <w:tblStyle w:val="3"/>
        <w:tblW w:w="13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2183"/>
        <w:gridCol w:w="6288"/>
        <w:gridCol w:w="2261"/>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blHeader/>
          <w:jc w:val="center"/>
        </w:trPr>
        <w:tc>
          <w:tcPr>
            <w:tcW w:w="566" w:type="dxa"/>
            <w:noWrap w:val="0"/>
            <w:vAlign w:val="center"/>
          </w:tcPr>
          <w:p>
            <w:pPr>
              <w:spacing w:line="320" w:lineRule="exact"/>
              <w:ind w:left="-105" w:leftChars="-50" w:right="-105" w:rightChars="-50"/>
              <w:jc w:val="center"/>
              <w:rPr>
                <w:rFonts w:hint="eastAsia" w:ascii="黑体" w:hAnsi="黑体" w:eastAsia="黑体"/>
                <w:b/>
                <w:color w:val="000000"/>
                <w:sz w:val="24"/>
              </w:rPr>
            </w:pPr>
            <w:r>
              <w:rPr>
                <w:rFonts w:hint="eastAsia" w:ascii="黑体" w:hAnsi="黑体" w:eastAsia="黑体"/>
                <w:b/>
                <w:color w:val="000000"/>
                <w:sz w:val="24"/>
              </w:rPr>
              <w:t>序号</w:t>
            </w:r>
          </w:p>
        </w:tc>
        <w:tc>
          <w:tcPr>
            <w:tcW w:w="2183" w:type="dxa"/>
            <w:noWrap w:val="0"/>
            <w:vAlign w:val="center"/>
          </w:tcPr>
          <w:p>
            <w:pPr>
              <w:spacing w:line="320" w:lineRule="exact"/>
              <w:ind w:left="-105" w:leftChars="-50" w:right="-105" w:rightChars="-50"/>
              <w:jc w:val="center"/>
              <w:rPr>
                <w:rFonts w:hint="eastAsia" w:ascii="黑体" w:hAnsi="黑体" w:eastAsia="黑体"/>
                <w:b/>
                <w:color w:val="000000"/>
                <w:sz w:val="24"/>
              </w:rPr>
            </w:pPr>
            <w:r>
              <w:rPr>
                <w:rFonts w:hint="eastAsia" w:ascii="黑体" w:hAnsi="黑体" w:eastAsia="黑体"/>
                <w:b/>
                <w:color w:val="000000"/>
                <w:sz w:val="24"/>
              </w:rPr>
              <w:t>工作任务</w:t>
            </w:r>
          </w:p>
        </w:tc>
        <w:tc>
          <w:tcPr>
            <w:tcW w:w="6288" w:type="dxa"/>
            <w:noWrap w:val="0"/>
            <w:vAlign w:val="center"/>
          </w:tcPr>
          <w:p>
            <w:pPr>
              <w:spacing w:line="320" w:lineRule="exact"/>
              <w:jc w:val="center"/>
              <w:rPr>
                <w:rFonts w:hint="default" w:ascii="黑体" w:hAnsi="黑体" w:eastAsia="黑体"/>
                <w:b/>
                <w:color w:val="000000"/>
                <w:sz w:val="24"/>
                <w:lang w:val="en-US" w:eastAsia="zh-CN"/>
              </w:rPr>
            </w:pPr>
            <w:r>
              <w:rPr>
                <w:rFonts w:hint="eastAsia" w:ascii="黑体" w:hAnsi="黑体" w:eastAsia="黑体"/>
                <w:b/>
                <w:color w:val="000000"/>
                <w:sz w:val="24"/>
                <w:lang w:val="en-US" w:eastAsia="zh-CN"/>
              </w:rPr>
              <w:t>措施步骤</w:t>
            </w:r>
          </w:p>
        </w:tc>
        <w:tc>
          <w:tcPr>
            <w:tcW w:w="2261" w:type="dxa"/>
            <w:noWrap w:val="0"/>
            <w:vAlign w:val="center"/>
          </w:tcPr>
          <w:p>
            <w:pPr>
              <w:spacing w:line="320" w:lineRule="exact"/>
              <w:ind w:left="-105" w:leftChars="-50" w:right="-105" w:rightChars="-50"/>
              <w:jc w:val="center"/>
              <w:rPr>
                <w:rFonts w:hint="default" w:ascii="黑体" w:hAnsi="黑体" w:eastAsia="黑体"/>
                <w:b/>
                <w:color w:val="000000"/>
                <w:sz w:val="24"/>
                <w:lang w:val="en-US" w:eastAsia="zh-CN"/>
              </w:rPr>
            </w:pPr>
            <w:r>
              <w:rPr>
                <w:rFonts w:hint="eastAsia" w:ascii="黑体" w:hAnsi="黑体" w:eastAsia="黑体"/>
                <w:b/>
                <w:color w:val="000000"/>
                <w:sz w:val="24"/>
                <w:lang w:val="en-US" w:eastAsia="zh-CN"/>
              </w:rPr>
              <w:t>责任分工</w:t>
            </w:r>
          </w:p>
        </w:tc>
        <w:tc>
          <w:tcPr>
            <w:tcW w:w="2398" w:type="dxa"/>
            <w:noWrap w:val="0"/>
            <w:vAlign w:val="center"/>
          </w:tcPr>
          <w:p>
            <w:pPr>
              <w:spacing w:line="320" w:lineRule="exact"/>
              <w:ind w:left="-105" w:leftChars="-50" w:right="-105" w:rightChars="-50"/>
              <w:jc w:val="center"/>
              <w:rPr>
                <w:rFonts w:hint="default" w:ascii="黑体" w:hAnsi="黑体" w:eastAsia="黑体"/>
                <w:b/>
                <w:color w:val="000000"/>
                <w:sz w:val="24"/>
                <w:lang w:val="en-US" w:eastAsia="zh-CN"/>
              </w:rPr>
            </w:pPr>
            <w:r>
              <w:rPr>
                <w:rFonts w:hint="eastAsia" w:ascii="黑体" w:hAnsi="黑体" w:eastAsia="黑体"/>
                <w:b/>
                <w:color w:val="000000"/>
                <w:sz w:val="24"/>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9" w:hRule="atLeast"/>
          <w:jc w:val="center"/>
        </w:trPr>
        <w:tc>
          <w:tcPr>
            <w:tcW w:w="566" w:type="dxa"/>
            <w:noWrap w:val="0"/>
            <w:vAlign w:val="center"/>
          </w:tcPr>
          <w:p>
            <w:pPr>
              <w:spacing w:line="320" w:lineRule="exact"/>
              <w:ind w:left="-105" w:leftChars="-50" w:right="-105" w:rightChars="-50"/>
              <w:jc w:val="center"/>
              <w:rPr>
                <w:rFonts w:hint="default" w:ascii="仿宋_GB2312" w:hAnsi="Tahoma" w:eastAsia="仿宋_GB2312" w:cs="Tahoma"/>
                <w:b/>
                <w:color w:val="000000"/>
                <w:kern w:val="2"/>
                <w:sz w:val="24"/>
                <w:szCs w:val="24"/>
                <w:lang w:val="en-US" w:eastAsia="zh-CN" w:bidi="ar-SA"/>
              </w:rPr>
            </w:pPr>
            <w:r>
              <w:rPr>
                <w:rFonts w:hint="eastAsia" w:ascii="仿宋_GB2312" w:hAnsi="Tahoma" w:eastAsia="仿宋_GB2312" w:cs="Tahoma"/>
                <w:b/>
                <w:color w:val="000000"/>
                <w:kern w:val="2"/>
                <w:sz w:val="24"/>
                <w:szCs w:val="24"/>
                <w:lang w:val="en-US" w:eastAsia="zh-CN" w:bidi="ar-SA"/>
              </w:rPr>
              <w:t>1</w:t>
            </w:r>
          </w:p>
        </w:tc>
        <w:tc>
          <w:tcPr>
            <w:tcW w:w="2183" w:type="dxa"/>
            <w:noWrap w:val="0"/>
            <w:vAlign w:val="center"/>
          </w:tcPr>
          <w:p>
            <w:pPr>
              <w:jc w:val="center"/>
              <w:rPr>
                <w:rFonts w:hint="eastAsia" w:ascii="仿宋_GB2312" w:hAnsi="黑体" w:eastAsia="仿宋_GB2312" w:cs="Times New Roman"/>
                <w:b/>
                <w:color w:val="000000"/>
                <w:kern w:val="2"/>
                <w:sz w:val="24"/>
                <w:szCs w:val="24"/>
                <w:lang w:val="en-US" w:eastAsia="zh-CN" w:bidi="ar-SA"/>
              </w:rPr>
            </w:pPr>
            <w:r>
              <w:rPr>
                <w:rFonts w:hint="eastAsia" w:ascii="仿宋_GB2312" w:hAnsi="宋体" w:eastAsia="仿宋_GB2312" w:cs="宋体"/>
                <w:b/>
                <w:color w:val="auto"/>
                <w:kern w:val="0"/>
                <w:sz w:val="24"/>
              </w:rPr>
              <w:t>突出精准治污、科学治污、依法治污，持续推进“四减四增”，坚决打赢蓝天、碧水、净土保卫战。</w:t>
            </w:r>
          </w:p>
        </w:tc>
        <w:tc>
          <w:tcPr>
            <w:tcW w:w="6288" w:type="dxa"/>
            <w:noWrap w:val="0"/>
            <w:vAlign w:val="center"/>
          </w:tcPr>
          <w:p>
            <w:pPr>
              <w:spacing w:line="320" w:lineRule="exact"/>
              <w:jc w:val="left"/>
              <w:rPr>
                <w:rFonts w:hint="eastAsia" w:ascii="仿宋_GB2312" w:hAnsi="黑体" w:eastAsia="仿宋_GB2312" w:cs="Times New Roman"/>
                <w:b/>
                <w:color w:val="000000"/>
                <w:kern w:val="2"/>
                <w:sz w:val="24"/>
                <w:szCs w:val="24"/>
                <w:lang w:val="en-US" w:eastAsia="zh-CN" w:bidi="ar-SA"/>
              </w:rPr>
            </w:pPr>
            <w:r>
              <w:rPr>
                <w:rFonts w:hint="eastAsia" w:ascii="仿宋_GB2312" w:eastAsia="仿宋_GB2312"/>
                <w:b/>
                <w:color w:val="auto"/>
              </w:rPr>
              <w:t>（1）我县无“6+1”地块拟收回或已收回，污染地块安全利用率达到100%。我县非“6+1”地块35个,已完成土壤污染状况调查的地块19个；其余15个无主地块，由市局统一招标调查；红河镇北秦村村民搬迁安置项目地块1个，因合村安置项目已暂停，暂不开展调查。（2）制定并印发了《昌乐县2020 年度固体废物（危险废物）检查方案》，对全县涉危险废物企业进行规范化考核，指导涉危险废物企业逐项落实危险废物相关管理规定和标准规范。共计检查危险废物产生企业208企业，危险废物经营企业1家,全部达标。开展了工业固体废物专项整治行动和石材行业固体废物倾倒问题排查整治行动。</w:t>
            </w:r>
          </w:p>
        </w:tc>
        <w:tc>
          <w:tcPr>
            <w:tcW w:w="2261" w:type="dxa"/>
            <w:noWrap w:val="0"/>
            <w:vAlign w:val="center"/>
          </w:tcPr>
          <w:p>
            <w:pPr>
              <w:spacing w:line="300" w:lineRule="exact"/>
              <w:ind w:left="-105" w:leftChars="-50" w:right="-105" w:rightChars="-50"/>
              <w:jc w:val="center"/>
              <w:rPr>
                <w:rFonts w:ascii="仿宋_GB2312" w:hAnsi="文星标宋" w:eastAsia="仿宋_GB2312"/>
                <w:b/>
                <w:sz w:val="24"/>
              </w:rPr>
            </w:pPr>
            <w:r>
              <w:rPr>
                <w:rFonts w:hint="eastAsia" w:ascii="仿宋_GB2312" w:hAnsi="文星标宋" w:eastAsia="仿宋_GB2312"/>
                <w:b/>
                <w:sz w:val="24"/>
              </w:rPr>
              <w:t>市生态环境局</w:t>
            </w:r>
          </w:p>
          <w:p>
            <w:pPr>
              <w:spacing w:line="320" w:lineRule="exact"/>
              <w:jc w:val="center"/>
              <w:rPr>
                <w:rFonts w:hint="eastAsia" w:ascii="仿宋_GB2312" w:hAnsi="黑体" w:eastAsia="仿宋_GB2312" w:cs="Times New Roman"/>
                <w:b/>
                <w:color w:val="000000"/>
                <w:w w:val="80"/>
                <w:kern w:val="2"/>
                <w:sz w:val="24"/>
                <w:szCs w:val="24"/>
                <w:lang w:val="en-US" w:eastAsia="zh-CN" w:bidi="ar-SA"/>
              </w:rPr>
            </w:pPr>
            <w:r>
              <w:rPr>
                <w:rFonts w:hint="eastAsia" w:ascii="仿宋_GB2312" w:hAnsi="文星标宋" w:eastAsia="仿宋_GB2312"/>
                <w:b/>
                <w:sz w:val="24"/>
              </w:rPr>
              <w:t>昌乐分局</w:t>
            </w:r>
            <w:r>
              <w:rPr>
                <w:rFonts w:hint="eastAsia" w:ascii="仿宋_GB2312" w:hAnsi="文星标宋" w:eastAsia="仿宋_GB2312"/>
                <w:b/>
                <w:sz w:val="24"/>
                <w:lang w:eastAsia="zh-CN"/>
              </w:rPr>
              <w:t>各业务科室、各环保所</w:t>
            </w:r>
          </w:p>
        </w:tc>
        <w:tc>
          <w:tcPr>
            <w:tcW w:w="2398" w:type="dxa"/>
            <w:noWrap w:val="0"/>
            <w:vAlign w:val="center"/>
          </w:tcPr>
          <w:p>
            <w:pPr>
              <w:spacing w:line="320" w:lineRule="exact"/>
              <w:jc w:val="center"/>
              <w:rPr>
                <w:rFonts w:hint="eastAsia" w:ascii="仿宋_GB2312" w:hAnsi="黑体" w:eastAsia="仿宋_GB2312" w:cs="Times New Roman"/>
                <w:b/>
                <w:color w:val="000000"/>
                <w:kern w:val="2"/>
                <w:sz w:val="24"/>
                <w:szCs w:val="24"/>
                <w:lang w:val="en-US" w:eastAsia="zh-CN" w:bidi="ar-SA"/>
              </w:rPr>
            </w:pPr>
            <w:r>
              <w:rPr>
                <w:rFonts w:hint="eastAsia" w:ascii="仿宋_GB2312" w:hAnsi="文星标宋" w:eastAsia="仿宋_GB2312"/>
                <w:b/>
                <w:sz w:val="24"/>
              </w:rPr>
              <w:t>全力开展大气、水、固废、面源污染等领域生态环境突出问题整治，推进“七大专项行动”，巩固并持续推进环保督察及“回头看”反馈问题整改，全力配合做好新一轮的生态环保督查工作，确保环保督察不出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9" w:hRule="atLeast"/>
          <w:jc w:val="center"/>
        </w:trPr>
        <w:tc>
          <w:tcPr>
            <w:tcW w:w="566" w:type="dxa"/>
            <w:noWrap w:val="0"/>
            <w:vAlign w:val="center"/>
          </w:tcPr>
          <w:p>
            <w:pPr>
              <w:spacing w:line="320" w:lineRule="exact"/>
              <w:ind w:left="-105" w:leftChars="-50" w:right="-105" w:rightChars="-50"/>
              <w:jc w:val="center"/>
              <w:rPr>
                <w:rFonts w:hint="eastAsia" w:ascii="仿宋_GB2312" w:hAnsi="Tahoma" w:eastAsia="仿宋_GB2312" w:cs="Tahoma"/>
                <w:b/>
                <w:color w:val="000000"/>
                <w:kern w:val="2"/>
                <w:sz w:val="24"/>
                <w:szCs w:val="24"/>
                <w:lang w:val="en-US" w:eastAsia="zh-CN" w:bidi="ar-SA"/>
              </w:rPr>
            </w:pPr>
          </w:p>
        </w:tc>
        <w:tc>
          <w:tcPr>
            <w:tcW w:w="2183" w:type="dxa"/>
            <w:noWrap w:val="0"/>
            <w:vAlign w:val="center"/>
          </w:tcPr>
          <w:p>
            <w:pPr>
              <w:spacing w:line="320" w:lineRule="exact"/>
              <w:rPr>
                <w:rFonts w:hint="eastAsia" w:ascii="仿宋_GB2312" w:hAnsi="文星标宋" w:eastAsia="仿宋_GB2312"/>
                <w:b/>
                <w:sz w:val="24"/>
              </w:rPr>
            </w:pPr>
            <w:r>
              <w:rPr>
                <w:rFonts w:hint="eastAsia" w:ascii="仿宋_GB2312" w:hAnsi="宋体" w:eastAsia="仿宋_GB2312" w:cs="宋体"/>
                <w:b/>
                <w:color w:val="auto"/>
                <w:kern w:val="0"/>
                <w:sz w:val="24"/>
              </w:rPr>
              <w:t>扎实做好工业企业排放综合治理，开展全域“散乱污”企业排查整治，实施商混、焦化、铸造、钢铁等重点行业改造提升，中心城区铸造和商混企业完成搬迁整治，完成焦化产能压减任务。</w:t>
            </w:r>
          </w:p>
        </w:tc>
        <w:tc>
          <w:tcPr>
            <w:tcW w:w="6288" w:type="dxa"/>
            <w:noWrap w:val="0"/>
            <w:vAlign w:val="center"/>
          </w:tcPr>
          <w:p>
            <w:pPr>
              <w:spacing w:line="320" w:lineRule="exact"/>
              <w:jc w:val="left"/>
              <w:rPr>
                <w:rFonts w:hint="eastAsia" w:ascii="仿宋_GB2312" w:hAnsi="文星标宋" w:eastAsia="仿宋_GB2312"/>
                <w:b/>
                <w:sz w:val="24"/>
              </w:rPr>
            </w:pPr>
            <w:r>
              <w:rPr>
                <w:rFonts w:hint="eastAsia" w:ascii="仿宋_GB2312" w:eastAsia="仿宋_GB2312"/>
                <w:b/>
                <w:color w:val="auto"/>
              </w:rPr>
              <w:t>1.建立了散乱污动态排查长效机制，从去年下半年到今年共取缔41家。2.铸造业在营丘镇达到了标杆企业，其他企业正在按照标杆企业的模式加快整治。</w:t>
            </w:r>
            <w:bookmarkStart w:id="0" w:name="_GoBack"/>
            <w:bookmarkEnd w:id="0"/>
          </w:p>
        </w:tc>
        <w:tc>
          <w:tcPr>
            <w:tcW w:w="2261" w:type="dxa"/>
            <w:noWrap w:val="0"/>
            <w:vAlign w:val="center"/>
          </w:tcPr>
          <w:p>
            <w:pPr>
              <w:spacing w:line="300" w:lineRule="exact"/>
              <w:ind w:left="-105" w:leftChars="-50" w:right="-105" w:rightChars="-50"/>
              <w:jc w:val="center"/>
              <w:rPr>
                <w:rFonts w:ascii="仿宋_GB2312" w:hAnsi="文星标宋" w:eastAsia="仿宋_GB2312"/>
                <w:b/>
                <w:sz w:val="24"/>
              </w:rPr>
            </w:pPr>
            <w:r>
              <w:rPr>
                <w:rFonts w:hint="eastAsia" w:ascii="仿宋_GB2312" w:hAnsi="文星标宋" w:eastAsia="仿宋_GB2312"/>
                <w:b/>
                <w:sz w:val="24"/>
              </w:rPr>
              <w:t>市生态环境局</w:t>
            </w:r>
          </w:p>
          <w:p>
            <w:pPr>
              <w:spacing w:line="320" w:lineRule="exact"/>
              <w:jc w:val="center"/>
              <w:rPr>
                <w:rFonts w:hint="eastAsia" w:ascii="仿宋_GB2312" w:hAnsi="文星标宋" w:eastAsia="仿宋_GB2312"/>
                <w:b/>
                <w:sz w:val="24"/>
              </w:rPr>
            </w:pPr>
            <w:r>
              <w:rPr>
                <w:rFonts w:hint="eastAsia" w:ascii="仿宋_GB2312" w:hAnsi="文星标宋" w:eastAsia="仿宋_GB2312"/>
                <w:b/>
                <w:sz w:val="24"/>
              </w:rPr>
              <w:t>昌乐分局</w:t>
            </w:r>
            <w:r>
              <w:rPr>
                <w:rFonts w:hint="eastAsia" w:ascii="仿宋_GB2312" w:hAnsi="文星标宋" w:eastAsia="仿宋_GB2312"/>
                <w:b/>
                <w:sz w:val="24"/>
                <w:lang w:eastAsia="zh-CN"/>
              </w:rPr>
              <w:t>各业务科室、各环保所</w:t>
            </w:r>
          </w:p>
        </w:tc>
        <w:tc>
          <w:tcPr>
            <w:tcW w:w="2398" w:type="dxa"/>
            <w:noWrap w:val="0"/>
            <w:vAlign w:val="center"/>
          </w:tcPr>
          <w:p>
            <w:pPr>
              <w:spacing w:line="320" w:lineRule="exact"/>
              <w:jc w:val="center"/>
              <w:rPr>
                <w:rFonts w:hint="eastAsia" w:ascii="仿宋_GB2312" w:hAnsi="文星标宋" w:eastAsia="仿宋_GB2312"/>
                <w:b/>
                <w:sz w:val="24"/>
              </w:rPr>
            </w:pPr>
            <w:r>
              <w:rPr>
                <w:rFonts w:hint="eastAsia" w:ascii="仿宋_GB2312" w:hAnsi="文星标宋" w:eastAsia="仿宋_GB2312"/>
                <w:b/>
                <w:sz w:val="24"/>
              </w:rPr>
              <w:t>持续推进环保督察及“回头看”反馈问题整改，全力配合做好新一轮的生态环保督查工作，确保环保督察不出问题。</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文星标宋">
    <w:panose1 w:val="0201060900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27685D"/>
    <w:rsid w:val="26246C21"/>
    <w:rsid w:val="27EE4F83"/>
    <w:rsid w:val="34FE2777"/>
    <w:rsid w:val="4BB35A08"/>
    <w:rsid w:val="4EE46A2C"/>
    <w:rsid w:val="55180864"/>
    <w:rsid w:val="5A8B0976"/>
    <w:rsid w:val="70277B2A"/>
    <w:rsid w:val="7C6A0177"/>
    <w:rsid w:val="7FEC2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Youga</cp:lastModifiedBy>
  <dcterms:modified xsi:type="dcterms:W3CDTF">2020-12-22T07:55:10Z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