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新宋体" w:hAnsi="新宋体" w:eastAsia="新宋体"/>
          <w:sz w:val="44"/>
          <w:szCs w:val="44"/>
          <w:highlight w:val="none"/>
        </w:rPr>
        <w:t>行政处罚情况</w:t>
      </w:r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2023年6月（二）</w:t>
      </w:r>
    </w:p>
    <w:bookmarkEnd w:id="0"/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16"/>
        <w:gridCol w:w="2916"/>
        <w:gridCol w:w="2916"/>
        <w:gridCol w:w="291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ind w:left="-1138" w:leftChars="-542" w:firstLine="1137" w:firstLineChars="472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案     由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处罚依据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处罚决定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潍坊兴亚金属有限公司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环境影响评价文件未经批准擅自开工建设案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《中华人民共和国环境影响评价法》第二十五条，第三十一条第一款、第二款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罚款人民币叁万柒仟壹佰捌拾柒元整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2023/6/7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NzBjMGVmYmI1MDNjY2E2NjNjZTBlMzU4ZjIwMDkifQ=="/>
    <w:docVar w:name="KSO_WPS_MARK_KEY" w:val="860955a2-28ac-4980-998b-32c29340c020"/>
  </w:docVars>
  <w:rsids>
    <w:rsidRoot w:val="00000000"/>
    <w:rsid w:val="0A3817F9"/>
    <w:rsid w:val="32DA1603"/>
    <w:rsid w:val="397D3044"/>
    <w:rsid w:val="49DF11B1"/>
    <w:rsid w:val="500F0A42"/>
    <w:rsid w:val="580C2715"/>
    <w:rsid w:val="5D8C06D5"/>
    <w:rsid w:val="6D5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124</Characters>
  <Lines>0</Lines>
  <Paragraphs>0</Paragraphs>
  <TotalTime>0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2023-11-22T09:37:00Z</dcterms:created>
  <dc:creator>Administrator</dc:creator>
  <cp:lastModifiedBy>功不唐捐</cp:lastModifiedBy>
  <dcterms:modified xsi:type="dcterms:W3CDTF">2024-01-10T06:54:18Z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DFE1D59028AE4DEAB264ECED67F23ECF_13</vt:lpwstr>
  </property>
</Properties>
</file>