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文星标宋" w:hAnsi="文星标宋" w:eastAsia="文星标宋" w:cs="文星标宋"/>
          <w:b w:val="0"/>
          <w:bCs w:val="0"/>
          <w:sz w:val="44"/>
          <w:szCs w:val="44"/>
          <w:lang w:val="en-US" w:eastAsia="zh-CN"/>
        </w:rPr>
      </w:pPr>
      <w:bookmarkStart w:id="0" w:name="_GoBack"/>
      <w:r>
        <w:rPr>
          <w:rFonts w:hint="eastAsia" w:ascii="文星标宋" w:hAnsi="文星标宋" w:eastAsia="文星标宋" w:cs="文星标宋"/>
          <w:b w:val="0"/>
          <w:bCs w:val="0"/>
          <w:sz w:val="44"/>
          <w:szCs w:val="44"/>
          <w:lang w:val="en-US" w:eastAsia="zh-CN"/>
        </w:rPr>
        <w:t>对县十八届人大二次会议第55号建议</w:t>
      </w:r>
    </w:p>
    <w:p>
      <w:pPr>
        <w:spacing w:line="560" w:lineRule="exact"/>
        <w:jc w:val="center"/>
        <w:rPr>
          <w:rFonts w:ascii="文星标宋" w:hAnsi="文星标宋" w:eastAsia="文星标宋"/>
          <w:bCs/>
          <w:sz w:val="44"/>
          <w:szCs w:val="44"/>
        </w:rPr>
      </w:pPr>
      <w:r>
        <w:rPr>
          <w:rFonts w:hint="eastAsia" w:ascii="文星标宋" w:hAnsi="文星标宋" w:eastAsia="文星标宋"/>
          <w:bCs/>
          <w:sz w:val="44"/>
          <w:szCs w:val="44"/>
          <w:lang w:eastAsia="zh-CN"/>
        </w:rPr>
        <w:t>（关于</w:t>
      </w:r>
      <w:r>
        <w:rPr>
          <w:rFonts w:hint="eastAsia" w:ascii="文星标宋" w:hAnsi="文星标宋" w:eastAsia="文星标宋"/>
          <w:bCs/>
          <w:sz w:val="44"/>
          <w:szCs w:val="44"/>
          <w:lang w:val="en-US" w:eastAsia="zh-CN"/>
        </w:rPr>
        <w:t>多措并举优化营商环境</w:t>
      </w:r>
      <w:r>
        <w:rPr>
          <w:rFonts w:hint="eastAsia" w:ascii="文星标宋" w:hAnsi="文星标宋" w:eastAsia="文星标宋"/>
          <w:bCs/>
          <w:sz w:val="44"/>
          <w:szCs w:val="44"/>
          <w:lang w:eastAsia="zh-CN"/>
        </w:rPr>
        <w:t>的建议）</w:t>
      </w:r>
      <w:r>
        <w:rPr>
          <w:rFonts w:hint="eastAsia" w:ascii="文星标宋" w:hAnsi="文星标宋" w:eastAsia="文星标宋"/>
          <w:bCs/>
          <w:sz w:val="44"/>
          <w:szCs w:val="44"/>
        </w:rPr>
        <w:t>的答复</w:t>
      </w:r>
    </w:p>
    <w:bookmarkEnd w:id="0"/>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仿宋" w:hAnsi="仿宋" w:eastAsia="仿宋"/>
          <w:b/>
          <w:bCs/>
          <w:sz w:val="32"/>
          <w:szCs w:val="32"/>
        </w:rPr>
      </w:pPr>
      <w:r>
        <w:rPr>
          <w:rFonts w:hint="eastAsia" w:ascii="仿宋" w:hAnsi="仿宋" w:eastAsia="仿宋"/>
          <w:b/>
          <w:bCs/>
          <w:sz w:val="32"/>
          <w:szCs w:val="32"/>
          <w:lang w:val="en-US" w:eastAsia="zh-CN"/>
        </w:rPr>
        <w:t xml:space="preserve">  </w:t>
      </w:r>
      <w:r>
        <w:rPr>
          <w:rFonts w:hint="eastAsia" w:ascii="仿宋" w:hAnsi="仿宋" w:eastAsia="仿宋"/>
          <w:b/>
          <w:bCs/>
          <w:sz w:val="32"/>
          <w:szCs w:val="32"/>
        </w:rPr>
        <w:t>解</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决</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程</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度：A</w:t>
      </w:r>
    </w:p>
    <w:p>
      <w:pPr>
        <w:spacing w:line="560" w:lineRule="exact"/>
        <w:jc w:val="right"/>
        <w:rPr>
          <w:rFonts w:hint="eastAsia" w:ascii="仿宋" w:hAnsi="仿宋" w:eastAsia="仿宋" w:cs="仿宋"/>
          <w:sz w:val="32"/>
          <w:szCs w:val="32"/>
          <w:lang w:val="en-US" w:eastAsia="zh-CN"/>
        </w:rPr>
      </w:pPr>
      <w:r>
        <w:rPr>
          <w:rFonts w:hint="eastAsia" w:ascii="仿宋" w:hAnsi="仿宋" w:eastAsia="仿宋"/>
          <w:b/>
          <w:bCs/>
          <w:sz w:val="32"/>
          <w:szCs w:val="32"/>
        </w:rPr>
        <w:t xml:space="preserve">                                  答复是否公开：公开</w:t>
      </w:r>
    </w:p>
    <w:p>
      <w:pPr>
        <w:spacing w:line="500" w:lineRule="exact"/>
        <w:jc w:val="cente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陈彦磊</w:t>
      </w:r>
      <w:r>
        <w:rPr>
          <w:rFonts w:hint="eastAsia" w:ascii="仿宋" w:hAnsi="仿宋" w:eastAsia="仿宋" w:cs="仿宋"/>
          <w:b/>
          <w:bCs/>
          <w:sz w:val="32"/>
          <w:szCs w:val="32"/>
        </w:rPr>
        <w:t>代表：</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 xml:space="preserve"> 您提出的关于</w:t>
      </w:r>
      <w:r>
        <w:rPr>
          <w:rFonts w:hint="eastAsia" w:ascii="仿宋" w:hAnsi="仿宋" w:eastAsia="仿宋" w:cs="仿宋"/>
          <w:b/>
          <w:bCs/>
          <w:sz w:val="32"/>
          <w:szCs w:val="32"/>
          <w:lang w:val="en-US" w:eastAsia="zh-CN"/>
        </w:rPr>
        <w:t>多措并举优化营商环境</w:t>
      </w:r>
      <w:r>
        <w:rPr>
          <w:rFonts w:hint="eastAsia" w:ascii="仿宋" w:hAnsi="仿宋" w:eastAsia="仿宋" w:cs="仿宋"/>
          <w:b/>
          <w:bCs/>
          <w:sz w:val="32"/>
          <w:szCs w:val="32"/>
        </w:rPr>
        <w:t>的建议收悉，现答复如下：</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2022年,全县金融部门按照县委县政府总体工作部署，认真贯彻落实国务院及相关部委出台的一系列稳经济促发展的政策措施，不断加大对实体经济的信贷支持力度，持续让利市场主体降低融资成本，为全县经济持续健康平稳发展提供了良好的金融环境，为建设富裕和谐幸福昌乐贡献了积极的“金融力量”。</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一、信贷投放持续扩大。</w:t>
      </w:r>
      <w:r>
        <w:rPr>
          <w:rFonts w:hint="eastAsia" w:ascii="仿宋" w:hAnsi="仿宋" w:eastAsia="仿宋" w:cs="仿宋"/>
          <w:b/>
          <w:bCs/>
          <w:sz w:val="32"/>
          <w:szCs w:val="32"/>
          <w:lang w:val="en-US" w:eastAsia="zh-CN"/>
        </w:rPr>
        <w:t>2022年末,全县本外币各项贷款余额516.1亿元，比上年末增加55.6亿元，增幅12.1%，居全市8县（市）第5位。其中，全县绿色贷款余额83.4亿元，增幅30.2%，高于各项贷款平均增速18.1个百分点；企业贷款增长较快，其中大型企业贷款余额6.9亿元、增幅132.8%，中型企业贷款余额18.9亿元、增幅30.9%，小微型企业贷款余额36.7亿元、增幅31.5%。</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二、贷款利率保持低位运行，融资成本呈下降趋势。</w:t>
      </w:r>
      <w:r>
        <w:rPr>
          <w:rFonts w:hint="eastAsia" w:ascii="仿宋" w:hAnsi="仿宋" w:eastAsia="仿宋" w:cs="仿宋"/>
          <w:b/>
          <w:bCs/>
          <w:sz w:val="32"/>
          <w:szCs w:val="32"/>
          <w:lang w:val="en-US" w:eastAsia="zh-CN"/>
        </w:rPr>
        <w:t>2022年，全县银行机构新发放的企业贷款加权平均利率为4.88%，同比下降0.16个百分点。其中，普惠小微企业贷款加权平均利率为5.15%，同比下降0.3个百分点。</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三、央行支持政策精准有力，稳经济大盘成效显现。</w:t>
      </w:r>
      <w:r>
        <w:rPr>
          <w:rFonts w:hint="eastAsia" w:ascii="仿宋" w:hAnsi="仿宋" w:eastAsia="仿宋" w:cs="仿宋"/>
          <w:b/>
          <w:bCs/>
          <w:sz w:val="32"/>
          <w:szCs w:val="32"/>
          <w:lang w:val="en-US" w:eastAsia="zh-CN"/>
        </w:rPr>
        <w:t>用好用活央行结构性货币政策工具，人民银行昌乐支行2022年累计为昌乐农商行和村镇银行两家地方法人银行争取支农再贷款14.4亿元；积极落实普惠小微贷款支持政策，为昌乐农商行提供央行政策性奖励资金1615万元，惠及普惠小微企业和个体工商户2458家；组织金融机构做好普惠小微企业阶段性减息工作，帮助昌乐农商行和村镇银行两家法人银行获得普惠小微企业贷款减息资金542.4万元，通过一系列政策扶持和引导，推动地方法人银行更好地支持县域经济发展。加快提升金融服务便利化，全年累计办理增值税留抵退税5.72亿元，办理小微企业缓税2.25亿元，支付手续费降费让利192.4万元。持续推进银企对接，组织推动金融机构对省市重点项目、绿色产业项目、“专精特新”小微企业等经营主体开展融资对接，实现了市级以上重点企业融资对接全覆盖，目前累计到位资金25.6亿元。</w:t>
      </w:r>
    </w:p>
    <w:p>
      <w:pPr>
        <w:pStyle w:val="8"/>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下步，深入推进和实施市委市政府“一号改革工程”工作方案，积极优化营商环境。协调各银行机构抓住当前一系列稳经济政策机遇，积极争取上级行的支持，将上级出台的延期还款、贴息、减费让利等政策落实到位，降低企业融资成本。协调银行加大对实体企业特别是普惠领域中小微企业的金融支持，助力实体经济发展。开展好“金融辅导”、“金融服务润万企”、“1+N银企精准对接”等银企对接活动，经济发展注入更多的“金融活水”。</w:t>
      </w: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default" w:ascii="仿宋" w:hAnsi="仿宋" w:eastAsia="仿宋" w:cs="仿宋"/>
          <w:b/>
          <w:bCs/>
          <w:color w:val="auto"/>
          <w:kern w:val="2"/>
          <w:sz w:val="32"/>
          <w:szCs w:val="32"/>
          <w:lang w:val="en-US" w:eastAsia="zh-CN" w:bidi="ar-SA"/>
        </w:rPr>
      </w:pPr>
    </w:p>
    <w:p>
      <w:pPr>
        <w:keepNext w:val="0"/>
        <w:keepLines w:val="0"/>
        <w:pageBreakBefore w:val="0"/>
        <w:widowControl w:val="0"/>
        <w:kinsoku/>
        <w:wordWrap/>
        <w:overflowPunct/>
        <w:topLinePunct w:val="0"/>
        <w:bidi w:val="0"/>
        <w:snapToGrid/>
        <w:spacing w:line="578"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bidi w:val="0"/>
        <w:snapToGrid/>
        <w:spacing w:line="578"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 xml:space="preserve">                                县地方金融监管局</w:t>
      </w:r>
    </w:p>
    <w:p>
      <w:pPr>
        <w:keepNext w:val="0"/>
        <w:keepLines w:val="0"/>
        <w:pageBreakBefore w:val="0"/>
        <w:widowControl w:val="0"/>
        <w:kinsoku/>
        <w:wordWrap/>
        <w:overflowPunct/>
        <w:topLinePunct w:val="0"/>
        <w:bidi w:val="0"/>
        <w:snapToGrid/>
        <w:spacing w:line="578" w:lineRule="exact"/>
        <w:ind w:firstLine="643" w:firstLineChars="200"/>
        <w:jc w:val="right"/>
        <w:textAlignment w:val="auto"/>
        <w:rPr>
          <w:rFonts w:ascii="仿宋" w:hAnsi="仿宋" w:eastAsia="仿宋" w:cs="仿宋"/>
          <w:b/>
          <w:bCs/>
          <w:sz w:val="32"/>
          <w:szCs w:val="32"/>
        </w:rPr>
      </w:pPr>
      <w:r>
        <w:rPr>
          <w:rFonts w:hint="eastAsia" w:ascii="仿宋" w:hAnsi="仿宋" w:eastAsia="仿宋" w:cs="仿宋"/>
          <w:b/>
          <w:bCs/>
          <w:sz w:val="32"/>
          <w:szCs w:val="32"/>
        </w:rPr>
        <w:t xml:space="preserve">                                 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日</w:t>
      </w: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bidi w:val="0"/>
        <w:snapToGrid/>
        <w:spacing w:line="578" w:lineRule="exac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rPr>
        <w:t xml:space="preserve">联系单位及电话：县地方金融监管局  </w:t>
      </w:r>
      <w:r>
        <w:rPr>
          <w:rFonts w:hint="eastAsia" w:ascii="仿宋" w:hAnsi="仿宋" w:eastAsia="仿宋" w:cs="仿宋"/>
          <w:b/>
          <w:bCs/>
          <w:sz w:val="32"/>
          <w:szCs w:val="32"/>
          <w:lang w:val="en-US" w:eastAsia="zh-CN"/>
        </w:rPr>
        <w:t>6297780</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cs="仿宋"/>
          <w:b/>
          <w:bCs/>
          <w:sz w:val="32"/>
          <w:szCs w:val="32"/>
        </w:rPr>
      </w:pPr>
      <w:r>
        <w:rPr>
          <w:rFonts w:hint="eastAsia" w:ascii="仿宋" w:hAnsi="仿宋" w:eastAsia="仿宋" w:cs="仿宋"/>
          <w:b/>
          <w:bCs/>
          <w:sz w:val="32"/>
          <w:szCs w:val="32"/>
        </w:rPr>
        <w:t>公开类别：A</w:t>
      </w:r>
    </w:p>
    <w:p>
      <w:pPr>
        <w:keepNext w:val="0"/>
        <w:keepLines w:val="0"/>
        <w:pageBreakBefore w:val="0"/>
        <w:widowControl w:val="0"/>
        <w:kinsoku/>
        <w:wordWrap/>
        <w:overflowPunct/>
        <w:topLinePunct w:val="0"/>
        <w:bidi w:val="0"/>
        <w:snapToGrid/>
        <w:spacing w:line="578" w:lineRule="exact"/>
        <w:textAlignment w:val="auto"/>
        <w:rPr>
          <w:b/>
          <w:bCs/>
        </w:rPr>
      </w:pPr>
      <w:r>
        <w:rPr>
          <w:rFonts w:hint="eastAsia" w:ascii="仿宋" w:hAnsi="仿宋" w:eastAsia="仿宋" w:cs="仿宋"/>
          <w:b/>
          <w:bCs/>
          <w:sz w:val="32"/>
          <w:szCs w:val="32"/>
        </w:rPr>
        <w:t>抄送：县人大常委会人事代表委，县政府办公室</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panose1 w:val="0201060900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Y2Q2MTgzNzdhY2YyN2U4NmMzODI5ODc0ODZmNDcifQ=="/>
  </w:docVars>
  <w:rsids>
    <w:rsidRoot w:val="00C04BC3"/>
    <w:rsid w:val="003B553D"/>
    <w:rsid w:val="00417E6B"/>
    <w:rsid w:val="00421E8F"/>
    <w:rsid w:val="00514C10"/>
    <w:rsid w:val="00515D7F"/>
    <w:rsid w:val="005F5B32"/>
    <w:rsid w:val="0075204C"/>
    <w:rsid w:val="00A914E6"/>
    <w:rsid w:val="00B97BF3"/>
    <w:rsid w:val="00BD1AB3"/>
    <w:rsid w:val="00C04BC3"/>
    <w:rsid w:val="00CA6D02"/>
    <w:rsid w:val="01086A84"/>
    <w:rsid w:val="01374195"/>
    <w:rsid w:val="028A7499"/>
    <w:rsid w:val="03E227BA"/>
    <w:rsid w:val="123A52A4"/>
    <w:rsid w:val="14606E63"/>
    <w:rsid w:val="1553433A"/>
    <w:rsid w:val="1B6F1659"/>
    <w:rsid w:val="1DD5414C"/>
    <w:rsid w:val="1FCF0101"/>
    <w:rsid w:val="207C6CA0"/>
    <w:rsid w:val="29EA02FF"/>
    <w:rsid w:val="2DE87D51"/>
    <w:rsid w:val="38247093"/>
    <w:rsid w:val="38302DA0"/>
    <w:rsid w:val="3C12444D"/>
    <w:rsid w:val="408F0E34"/>
    <w:rsid w:val="45FB0212"/>
    <w:rsid w:val="4A3062E1"/>
    <w:rsid w:val="4CB41C0F"/>
    <w:rsid w:val="4F7A0AF2"/>
    <w:rsid w:val="5362604C"/>
    <w:rsid w:val="53CA1FE9"/>
    <w:rsid w:val="584B4C4D"/>
    <w:rsid w:val="5B166F99"/>
    <w:rsid w:val="5BD44C35"/>
    <w:rsid w:val="5D5332A9"/>
    <w:rsid w:val="5EB21C06"/>
    <w:rsid w:val="65741A5B"/>
    <w:rsid w:val="65BB1652"/>
    <w:rsid w:val="674B1FA4"/>
    <w:rsid w:val="692D0A9A"/>
    <w:rsid w:val="6AB44328"/>
    <w:rsid w:val="70E90B50"/>
    <w:rsid w:val="792609B4"/>
    <w:rsid w:val="7B2F0020"/>
    <w:rsid w:val="7B922CA5"/>
    <w:rsid w:val="7F305F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宋体" w:cs="宋体"/>
      <w:kern w:val="2"/>
      <w:sz w:val="21"/>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paragraph" w:customStyle="1" w:styleId="8">
    <w:name w:val="Default"/>
    <w:basedOn w:val="1"/>
    <w:semiHidden/>
    <w:qFormat/>
    <w:uiPriority w:val="0"/>
    <w:pPr>
      <w:autoSpaceDE w:val="0"/>
      <w:autoSpaceDN w:val="0"/>
      <w:adjustRightInd w:val="0"/>
      <w:jc w:val="left"/>
    </w:pPr>
    <w:rPr>
      <w:rFonts w:ascii="仿宋_GB2312" w:hAnsi="宋体" w:eastAsia="仿宋_GB2312" w:cs="Times New Roman"/>
      <w:color w:val="000000"/>
      <w:kern w:val="0"/>
      <w:sz w:val="24"/>
      <w:szCs w:val="24"/>
    </w:rPr>
  </w:style>
  <w:style w:type="character" w:customStyle="1" w:styleId="9">
    <w:name w:val="页眉 Char"/>
    <w:basedOn w:val="7"/>
    <w:link w:val="4"/>
    <w:qFormat/>
    <w:uiPriority w:val="0"/>
    <w:rPr>
      <w:rFonts w:ascii="仿宋_GB2312" w:cs="宋体"/>
      <w:kern w:val="2"/>
      <w:sz w:val="18"/>
      <w:szCs w:val="18"/>
    </w:rPr>
  </w:style>
  <w:style w:type="character" w:customStyle="1" w:styleId="10">
    <w:name w:val="页脚 Char"/>
    <w:basedOn w:val="7"/>
    <w:link w:val="3"/>
    <w:qFormat/>
    <w:uiPriority w:val="0"/>
    <w:rPr>
      <w:rFonts w:ascii="仿宋_GB2312"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1066</Words>
  <Characters>1175</Characters>
  <Lines>1</Lines>
  <Paragraphs>1</Paragraphs>
  <TotalTime>3</TotalTime>
  <ScaleCrop>false</ScaleCrop>
  <LinksUpToDate>false</LinksUpToDate>
  <CharactersWithSpaces>1259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朝阳</cp:lastModifiedBy>
  <cp:lastPrinted>2023-06-21T02:09:00Z</cp:lastPrinted>
  <dcterms:modified xsi:type="dcterms:W3CDTF">2023-09-04T08:20:35Z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7A9E3D149D72429E8D9036E2EEF45EE9_13</vt:lpwstr>
  </property>
</Properties>
</file>