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ight="0" w:firstLine="0"/>
        <w:rPr>
          <w:rFonts w:ascii="Times New Roman"/>
          <w:sz w:val="20"/>
        </w:rPr>
      </w:pPr>
      <w:bookmarkStart w:id="10" w:name="_GoBack"/>
      <w:bookmarkEnd w:id="10"/>
    </w:p>
    <w:p>
      <w:pPr>
        <w:pStyle w:val="3"/>
        <w:ind w:left="0" w:right="0" w:firstLine="0"/>
        <w:rPr>
          <w:rFonts w:ascii="Times New Roman"/>
          <w:sz w:val="20"/>
        </w:rPr>
      </w:pPr>
    </w:p>
    <w:p>
      <w:pPr>
        <w:pStyle w:val="3"/>
        <w:ind w:left="0" w:right="0" w:firstLine="0"/>
        <w:rPr>
          <w:rFonts w:ascii="Times New Roman"/>
          <w:sz w:val="20"/>
        </w:rPr>
      </w:pPr>
    </w:p>
    <w:p>
      <w:pPr>
        <w:pStyle w:val="3"/>
        <w:spacing w:before="3"/>
        <w:ind w:left="0" w:right="0" w:firstLine="0"/>
        <w:rPr>
          <w:rFonts w:ascii="Times New Roman"/>
          <w:sz w:val="27"/>
        </w:rPr>
      </w:pPr>
    </w:p>
    <w:p>
      <w:pPr>
        <w:spacing w:before="0" w:line="1304" w:lineRule="exact"/>
        <w:ind w:left="0" w:right="116" w:firstLine="0"/>
        <w:jc w:val="center"/>
        <w:rPr>
          <w:rFonts w:hint="eastAsia" w:ascii="Arial Unicode MS" w:eastAsia="Arial Unicode MS"/>
          <w:sz w:val="84"/>
        </w:rPr>
      </w:pPr>
      <w:r>
        <w:rPr>
          <w:rFonts w:hint="eastAsia" w:ascii="Arial Unicode MS" w:eastAsia="Arial Unicode MS"/>
          <w:color w:val="FF0000"/>
          <w:sz w:val="84"/>
        </w:rPr>
        <w:t>民营经济政策信息</w:t>
      </w:r>
    </w:p>
    <w:p>
      <w:pPr>
        <w:tabs>
          <w:tab w:val="left" w:pos="6693"/>
        </w:tabs>
        <w:spacing w:before="317"/>
        <w:ind w:left="0" w:right="116" w:firstLine="0"/>
        <w:jc w:val="center"/>
        <w:rPr>
          <w:w w:val="90"/>
          <w:sz w:val="32"/>
        </w:rPr>
      </w:pPr>
    </w:p>
    <w:p>
      <w:pPr>
        <w:tabs>
          <w:tab w:val="left" w:pos="6693"/>
        </w:tabs>
        <w:spacing w:before="317"/>
        <w:ind w:left="0" w:right="116" w:firstLine="0"/>
        <w:jc w:val="center"/>
        <w:rPr>
          <w:sz w:val="32"/>
        </w:rPr>
      </w:pPr>
      <w:r>
        <w:rPr>
          <w:w w:val="90"/>
          <w:sz w:val="32"/>
        </w:rPr>
        <w:t xml:space="preserve">（ </w:t>
      </w:r>
      <w:r>
        <w:rPr>
          <w:rFonts w:hint="eastAsia" w:ascii="华文细黑" w:eastAsia="华文细黑"/>
          <w:w w:val="90"/>
          <w:sz w:val="32"/>
        </w:rPr>
        <w:t xml:space="preserve">第 </w:t>
      </w:r>
      <w:r>
        <w:rPr>
          <w:rFonts w:ascii="Times New Roman" w:eastAsia="Times New Roman"/>
          <w:w w:val="90"/>
          <w:sz w:val="32"/>
        </w:rPr>
        <w:t xml:space="preserve">2 </w:t>
      </w:r>
      <w:r>
        <w:rPr>
          <w:rFonts w:hint="eastAsia" w:ascii="华文细黑" w:eastAsia="华文细黑"/>
          <w:w w:val="90"/>
          <w:sz w:val="32"/>
        </w:rPr>
        <w:t xml:space="preserve">期 </w:t>
      </w:r>
      <w:r>
        <w:rPr>
          <w:w w:val="90"/>
          <w:sz w:val="32"/>
        </w:rPr>
        <w:t>）</w:t>
      </w:r>
      <w:r>
        <w:rPr>
          <w:sz w:val="32"/>
        </w:rPr>
        <w:tab/>
      </w:r>
      <w:r>
        <w:rPr>
          <w:rFonts w:ascii="Times New Roman" w:eastAsia="Times New Roman"/>
          <w:spacing w:val="-9"/>
          <w:sz w:val="32"/>
        </w:rPr>
        <w:t>2021</w:t>
      </w:r>
      <w:r>
        <w:rPr>
          <w:rFonts w:ascii="Times New Roman" w:eastAsia="Times New Roman"/>
          <w:spacing w:val="-15"/>
          <w:sz w:val="32"/>
        </w:rPr>
        <w:t xml:space="preserve"> </w:t>
      </w:r>
      <w:r>
        <w:rPr>
          <w:spacing w:val="53"/>
          <w:sz w:val="32"/>
        </w:rPr>
        <w:t>年</w:t>
      </w:r>
      <w:r>
        <w:rPr>
          <w:rFonts w:ascii="Times New Roman" w:eastAsia="Times New Roman"/>
          <w:sz w:val="32"/>
        </w:rPr>
        <w:t>7</w:t>
      </w:r>
      <w:r>
        <w:rPr>
          <w:rFonts w:ascii="Times New Roman" w:eastAsia="Times New Roman"/>
          <w:spacing w:val="-17"/>
          <w:sz w:val="32"/>
        </w:rPr>
        <w:t xml:space="preserve"> </w:t>
      </w:r>
      <w:r>
        <w:rPr>
          <w:spacing w:val="53"/>
          <w:sz w:val="32"/>
        </w:rPr>
        <w:t>月</w:t>
      </w:r>
      <w:r>
        <w:rPr>
          <w:rFonts w:ascii="Times New Roman" w:eastAsia="Times New Roman"/>
          <w:sz w:val="32"/>
        </w:rPr>
        <w:t>2</w:t>
      </w:r>
      <w:r>
        <w:rPr>
          <w:rFonts w:ascii="Times New Roman" w:eastAsia="Times New Roman"/>
          <w:spacing w:val="-18"/>
          <w:sz w:val="32"/>
        </w:rPr>
        <w:t xml:space="preserve"> </w:t>
      </w:r>
      <w:r>
        <w:rPr>
          <w:sz w:val="32"/>
        </w:rPr>
        <w:t>日</w:t>
      </w:r>
    </w:p>
    <w:p>
      <w:pPr>
        <w:pStyle w:val="3"/>
        <w:spacing w:before="4"/>
        <w:ind w:left="0" w:right="0" w:firstLine="0"/>
        <w:rPr>
          <w:sz w:val="10"/>
        </w:rPr>
      </w:pPr>
      <w:r>
        <w:pict>
          <v:line id="_x0000_s1026" o:spid="_x0000_s1026" o:spt="20" style="position:absolute;left:0pt;margin-left:70.9pt;margin-top:8.8pt;height:0pt;width:453.4pt;mso-position-horizontal-relative:page;mso-wrap-distance-bottom:0pt;mso-wrap-distance-top:0pt;z-index:-251653120;mso-width-relative:page;mso-height-relative:page;" stroked="t" coordsize="21600,21600">
            <v:path arrowok="t"/>
            <v:fill focussize="0,0"/>
            <v:stroke weight="0.48pt" color="#000000"/>
            <v:imagedata o:title=""/>
            <o:lock v:ext="edit"/>
            <w10:wrap type="topAndBottom"/>
          </v:line>
        </w:pict>
      </w:r>
    </w:p>
    <w:p>
      <w:pPr>
        <w:pStyle w:val="3"/>
        <w:ind w:left="0" w:right="0" w:firstLine="0"/>
        <w:rPr>
          <w:sz w:val="20"/>
        </w:rPr>
      </w:pPr>
    </w:p>
    <w:p>
      <w:pPr>
        <w:pStyle w:val="3"/>
        <w:spacing w:before="4"/>
        <w:ind w:left="0" w:right="0" w:firstLine="0"/>
        <w:rPr>
          <w:sz w:val="24"/>
        </w:rPr>
      </w:pPr>
    </w:p>
    <w:p>
      <w:pPr>
        <w:tabs>
          <w:tab w:val="left" w:pos="640"/>
        </w:tabs>
        <w:spacing w:before="40"/>
        <w:ind w:left="0" w:right="140" w:firstLine="0"/>
        <w:jc w:val="center"/>
        <w:rPr>
          <w:rFonts w:hint="eastAsia" w:ascii="华文细黑" w:eastAsia="华文细黑"/>
          <w:sz w:val="32"/>
        </w:rPr>
      </w:pPr>
      <w:r>
        <w:rPr>
          <w:rFonts w:hint="eastAsia" w:ascii="华文细黑" w:eastAsia="华文细黑"/>
          <w:sz w:val="32"/>
        </w:rPr>
        <w:t>目</w:t>
      </w:r>
      <w:r>
        <w:rPr>
          <w:rFonts w:hint="eastAsia" w:ascii="华文细黑" w:eastAsia="华文细黑"/>
          <w:sz w:val="32"/>
        </w:rPr>
        <w:tab/>
      </w:r>
      <w:r>
        <w:rPr>
          <w:rFonts w:hint="eastAsia" w:ascii="华文细黑" w:eastAsia="华文细黑"/>
          <w:sz w:val="32"/>
        </w:rPr>
        <w:t>录</w:t>
      </w:r>
    </w:p>
    <w:sdt>
      <w:sdtPr>
        <w:id w:val="2"/>
        <w:docPartObj>
          <w:docPartGallery w:val="Table of Contents"/>
          <w:docPartUnique/>
        </w:docPartObj>
      </w:sdtPr>
      <w:sdtContent>
        <w:p>
          <w:pPr>
            <w:pStyle w:val="4"/>
            <w:tabs>
              <w:tab w:val="left" w:leader="dot" w:pos="9012"/>
            </w:tabs>
            <w:spacing w:before="457"/>
            <w:ind w:right="0"/>
          </w:pPr>
          <w:r>
            <w:fldChar w:fldCharType="begin"/>
          </w:r>
          <w:r>
            <w:instrText xml:space="preserve"> HYPERLINK \l "_bookmark0" </w:instrText>
          </w:r>
          <w:r>
            <w:fldChar w:fldCharType="separate"/>
          </w:r>
          <w:r>
            <w:t>保障中小企业款项支付条例</w:t>
          </w:r>
          <w:r>
            <w:tab/>
          </w:r>
          <w:r>
            <w:t>2</w:t>
          </w:r>
          <w:r>
            <w:fldChar w:fldCharType="end"/>
          </w:r>
        </w:p>
        <w:p>
          <w:pPr>
            <w:pStyle w:val="4"/>
            <w:tabs>
              <w:tab w:val="left" w:leader="dot" w:pos="9012"/>
            </w:tabs>
            <w:spacing w:before="146"/>
            <w:ind w:right="0"/>
          </w:pPr>
          <w:r>
            <w:fldChar w:fldCharType="begin"/>
          </w:r>
          <w:r>
            <w:instrText xml:space="preserve"> HYPERLINK \l "_bookmark1" </w:instrText>
          </w:r>
          <w:r>
            <w:fldChar w:fldCharType="separate"/>
          </w:r>
          <w:r>
            <w:t>山东省优化营商环境条例</w:t>
          </w:r>
          <w:r>
            <w:tab/>
          </w:r>
          <w:r>
            <w:t>6</w:t>
          </w:r>
          <w:r>
            <w:fldChar w:fldCharType="end"/>
          </w:r>
        </w:p>
        <w:p>
          <w:pPr>
            <w:pStyle w:val="4"/>
            <w:tabs>
              <w:tab w:val="left" w:leader="dot" w:pos="8832"/>
            </w:tabs>
            <w:spacing w:before="146" w:line="312" w:lineRule="auto"/>
          </w:pPr>
          <w:r>
            <w:fldChar w:fldCharType="begin"/>
          </w:r>
          <w:r>
            <w:instrText xml:space="preserve"> HYPERLINK \l "_bookmark2" </w:instrText>
          </w:r>
          <w:r>
            <w:fldChar w:fldCharType="separate"/>
          </w:r>
          <w:r>
            <w:rPr>
              <w:spacing w:val="5"/>
              <w:w w:val="95"/>
            </w:rPr>
            <w:t>山</w:t>
          </w:r>
          <w:r>
            <w:rPr>
              <w:spacing w:val="5"/>
              <w:w w:val="95"/>
            </w:rPr>
            <w:fldChar w:fldCharType="end"/>
          </w:r>
          <w:r>
            <w:fldChar w:fldCharType="begin"/>
          </w:r>
          <w:r>
            <w:instrText xml:space="preserve"> HYPERLINK \l "_bookmark2" </w:instrText>
          </w:r>
          <w:r>
            <w:fldChar w:fldCharType="separate"/>
          </w:r>
          <w:r>
            <w:rPr>
              <w:spacing w:val="5"/>
              <w:w w:val="95"/>
            </w:rPr>
            <w:t>东省财政厅山东</w:t>
          </w:r>
          <w:r>
            <w:rPr>
              <w:spacing w:val="7"/>
              <w:w w:val="95"/>
            </w:rPr>
            <w:t>省</w:t>
          </w:r>
          <w:r>
            <w:rPr>
              <w:spacing w:val="5"/>
              <w:w w:val="95"/>
            </w:rPr>
            <w:t>工业和信息化厅关于转发《政府采</w:t>
          </w:r>
          <w:r>
            <w:rPr>
              <w:spacing w:val="7"/>
              <w:w w:val="95"/>
            </w:rPr>
            <w:t>购</w:t>
          </w:r>
          <w:r>
            <w:rPr>
              <w:spacing w:val="5"/>
              <w:w w:val="95"/>
            </w:rPr>
            <w:t>促进</w:t>
          </w:r>
          <w:r>
            <w:rPr>
              <w:spacing w:val="-17"/>
              <w:w w:val="95"/>
            </w:rPr>
            <w:t xml:space="preserve">中   </w:t>
          </w:r>
          <w:r>
            <w:rPr>
              <w:spacing w:val="-17"/>
              <w:w w:val="95"/>
            </w:rPr>
            <w:fldChar w:fldCharType="end"/>
          </w:r>
          <w:r>
            <w:t>小企业发展管理办法》的通知</w:t>
          </w:r>
          <w:r>
            <w:tab/>
          </w:r>
          <w:r>
            <w:rPr>
              <w:spacing w:val="-8"/>
            </w:rPr>
            <w:t>17</w:t>
          </w:r>
        </w:p>
        <w:p>
          <w:pPr>
            <w:pStyle w:val="4"/>
            <w:tabs>
              <w:tab w:val="left" w:leader="dot" w:pos="8832"/>
            </w:tabs>
            <w:spacing w:line="312" w:lineRule="auto"/>
          </w:pPr>
          <w:r>
            <w:fldChar w:fldCharType="begin"/>
          </w:r>
          <w:r>
            <w:instrText xml:space="preserve"> HYPERLINK \l "_bookmark3" </w:instrText>
          </w:r>
          <w:r>
            <w:fldChar w:fldCharType="separate"/>
          </w:r>
          <w:r>
            <w:rPr>
              <w:spacing w:val="5"/>
              <w:w w:val="95"/>
            </w:rPr>
            <w:t>山</w:t>
          </w:r>
          <w:r>
            <w:rPr>
              <w:spacing w:val="5"/>
              <w:w w:val="95"/>
            </w:rPr>
            <w:fldChar w:fldCharType="end"/>
          </w:r>
          <w:r>
            <w:fldChar w:fldCharType="begin"/>
          </w:r>
          <w:r>
            <w:instrText xml:space="preserve"> HYPERLINK \l "_bookmark3" </w:instrText>
          </w:r>
          <w:r>
            <w:fldChar w:fldCharType="separate"/>
          </w:r>
          <w:r>
            <w:rPr>
              <w:spacing w:val="5"/>
              <w:w w:val="95"/>
            </w:rPr>
            <w:t>东省人民政府关</w:t>
          </w:r>
          <w:r>
            <w:rPr>
              <w:spacing w:val="7"/>
              <w:w w:val="95"/>
            </w:rPr>
            <w:t>于</w:t>
          </w:r>
          <w:r>
            <w:rPr>
              <w:spacing w:val="5"/>
              <w:w w:val="95"/>
            </w:rPr>
            <w:t>印发落实“六稳”“六</w:t>
          </w:r>
          <w:r>
            <w:rPr>
              <w:spacing w:val="4"/>
              <w:w w:val="95"/>
            </w:rPr>
            <w:t>保</w:t>
          </w:r>
          <w:r>
            <w:rPr>
              <w:spacing w:val="7"/>
              <w:w w:val="95"/>
            </w:rPr>
            <w:t>”</w:t>
          </w:r>
          <w:r>
            <w:rPr>
              <w:spacing w:val="5"/>
              <w:w w:val="95"/>
            </w:rPr>
            <w:t>促进高质量发</w:t>
          </w:r>
          <w:r>
            <w:rPr>
              <w:spacing w:val="-16"/>
              <w:w w:val="95"/>
            </w:rPr>
            <w:t xml:space="preserve">展   </w:t>
          </w:r>
          <w:r>
            <w:rPr>
              <w:spacing w:val="-16"/>
              <w:w w:val="95"/>
            </w:rPr>
            <w:fldChar w:fldCharType="end"/>
          </w:r>
          <w:r>
            <w:t>政策清单（第二批）的通知</w:t>
          </w:r>
          <w:r>
            <w:tab/>
          </w:r>
          <w:r>
            <w:rPr>
              <w:spacing w:val="-8"/>
            </w:rPr>
            <w:t>25</w:t>
          </w:r>
        </w:p>
        <w:p>
          <w:pPr>
            <w:pStyle w:val="4"/>
            <w:tabs>
              <w:tab w:val="left" w:leader="dot" w:pos="8832"/>
            </w:tabs>
            <w:spacing w:line="312" w:lineRule="auto"/>
          </w:pPr>
          <w:r>
            <w:fldChar w:fldCharType="begin"/>
          </w:r>
          <w:r>
            <w:instrText xml:space="preserve"> HYPERLINK \l "_bookmark4" </w:instrText>
          </w:r>
          <w:r>
            <w:fldChar w:fldCharType="separate"/>
          </w:r>
          <w:r>
            <w:rPr>
              <w:spacing w:val="5"/>
              <w:w w:val="95"/>
            </w:rPr>
            <w:t>山</w:t>
          </w:r>
          <w:r>
            <w:rPr>
              <w:spacing w:val="5"/>
              <w:w w:val="95"/>
            </w:rPr>
            <w:fldChar w:fldCharType="end"/>
          </w:r>
          <w:r>
            <w:fldChar w:fldCharType="begin"/>
          </w:r>
          <w:r>
            <w:instrText xml:space="preserve"> HYPERLINK \l "_bookmark4" </w:instrText>
          </w:r>
          <w:r>
            <w:fldChar w:fldCharType="separate"/>
          </w:r>
          <w:r>
            <w:rPr>
              <w:spacing w:val="5"/>
              <w:w w:val="95"/>
            </w:rPr>
            <w:t>东省人民政府关</w:t>
          </w:r>
          <w:r>
            <w:rPr>
              <w:spacing w:val="7"/>
              <w:w w:val="95"/>
            </w:rPr>
            <w:t>于</w:t>
          </w:r>
          <w:r>
            <w:rPr>
              <w:spacing w:val="5"/>
              <w:w w:val="95"/>
            </w:rPr>
            <w:t>印发落实“六稳”“六</w:t>
          </w:r>
          <w:r>
            <w:rPr>
              <w:spacing w:val="4"/>
              <w:w w:val="95"/>
            </w:rPr>
            <w:t>保</w:t>
          </w:r>
          <w:r>
            <w:rPr>
              <w:spacing w:val="7"/>
              <w:w w:val="95"/>
            </w:rPr>
            <w:t>”</w:t>
          </w:r>
          <w:r>
            <w:rPr>
              <w:spacing w:val="5"/>
              <w:w w:val="95"/>
            </w:rPr>
            <w:t>促进高质量发</w:t>
          </w:r>
          <w:r>
            <w:rPr>
              <w:spacing w:val="-16"/>
              <w:w w:val="95"/>
            </w:rPr>
            <w:t xml:space="preserve">展   </w:t>
          </w:r>
          <w:r>
            <w:rPr>
              <w:spacing w:val="-16"/>
              <w:w w:val="95"/>
            </w:rPr>
            <w:fldChar w:fldCharType="end"/>
          </w:r>
          <w:r>
            <w:t>政策清单（第三批）的通知</w:t>
          </w:r>
          <w:r>
            <w:tab/>
          </w:r>
          <w:r>
            <w:rPr>
              <w:spacing w:val="-8"/>
            </w:rPr>
            <w:t>31</w:t>
          </w:r>
        </w:p>
      </w:sdtContent>
    </w:sdt>
    <w:p>
      <w:pPr>
        <w:spacing w:after="0" w:line="312" w:lineRule="auto"/>
        <w:sectPr>
          <w:footerReference r:id="rId5" w:type="default"/>
          <w:type w:val="continuous"/>
          <w:pgSz w:w="11910" w:h="16840"/>
          <w:pgMar w:top="1580" w:right="1160" w:bottom="1160" w:left="1300" w:header="720" w:footer="978" w:gutter="0"/>
          <w:pgNumType w:start="1"/>
          <w:cols w:space="720" w:num="1"/>
        </w:sectPr>
      </w:pPr>
    </w:p>
    <w:p>
      <w:pPr>
        <w:pStyle w:val="2"/>
        <w:spacing w:before="40"/>
      </w:pPr>
      <w:bookmarkStart w:id="0" w:name="保障中小企业款项支付条例"/>
      <w:bookmarkEnd w:id="0"/>
      <w:bookmarkStart w:id="1" w:name="_bookmark0"/>
      <w:bookmarkEnd w:id="1"/>
      <w:r>
        <w:t>保障中小企业款项支付条例</w:t>
      </w:r>
    </w:p>
    <w:p>
      <w:pPr>
        <w:pStyle w:val="3"/>
        <w:spacing w:before="15"/>
        <w:ind w:left="0" w:right="0" w:firstLine="0"/>
        <w:rPr>
          <w:rFonts w:ascii="Arial Unicode MS"/>
          <w:sz w:val="19"/>
        </w:rPr>
      </w:pPr>
    </w:p>
    <w:p>
      <w:pPr>
        <w:pStyle w:val="3"/>
        <w:ind w:left="0" w:right="137" w:firstLine="0"/>
        <w:jc w:val="center"/>
      </w:pPr>
      <w:r>
        <w:t xml:space="preserve">中华人民共和国国务院令第 </w:t>
      </w:r>
      <w:r>
        <w:rPr>
          <w:rFonts w:ascii="Times New Roman" w:eastAsia="Times New Roman"/>
        </w:rPr>
        <w:t xml:space="preserve">728 </w:t>
      </w:r>
      <w:r>
        <w:t>号</w:t>
      </w:r>
    </w:p>
    <w:p>
      <w:pPr>
        <w:pStyle w:val="3"/>
        <w:ind w:left="0" w:right="0" w:firstLine="0"/>
        <w:rPr>
          <w:sz w:val="37"/>
        </w:rPr>
      </w:pPr>
    </w:p>
    <w:p>
      <w:pPr>
        <w:pStyle w:val="3"/>
        <w:ind w:left="677" w:right="0" w:firstLine="0"/>
      </w:pPr>
      <w:r>
        <w:t xml:space="preserve">《保障中小企业款项支付条例》已经 </w:t>
      </w:r>
      <w:r>
        <w:rPr>
          <w:rFonts w:ascii="Times New Roman" w:eastAsia="Times New Roman"/>
        </w:rPr>
        <w:t xml:space="preserve">2020 </w:t>
      </w:r>
      <w:r>
        <w:t xml:space="preserve">年 </w:t>
      </w:r>
      <w:r>
        <w:rPr>
          <w:rFonts w:ascii="Times New Roman" w:eastAsia="Times New Roman"/>
        </w:rPr>
        <w:t xml:space="preserve">7 </w:t>
      </w:r>
      <w:r>
        <w:t xml:space="preserve">月 </w:t>
      </w:r>
      <w:r>
        <w:rPr>
          <w:rFonts w:ascii="Times New Roman" w:eastAsia="Times New Roman"/>
        </w:rPr>
        <w:t xml:space="preserve">1 </w:t>
      </w:r>
      <w:r>
        <w:t xml:space="preserve">日国务院第 </w:t>
      </w:r>
      <w:r>
        <w:rPr>
          <w:rFonts w:ascii="Times New Roman" w:eastAsia="Times New Roman"/>
        </w:rPr>
        <w:t xml:space="preserve">99 </w:t>
      </w:r>
      <w:r>
        <w:t>次</w:t>
      </w:r>
    </w:p>
    <w:p>
      <w:pPr>
        <w:pStyle w:val="3"/>
        <w:spacing w:before="42"/>
        <w:ind w:right="0" w:firstLine="0"/>
      </w:pPr>
      <w:r>
        <w:t xml:space="preserve">常务会议通过，现予公布，自 </w:t>
      </w:r>
      <w:r>
        <w:rPr>
          <w:rFonts w:ascii="Times New Roman" w:eastAsia="Times New Roman"/>
        </w:rPr>
        <w:t xml:space="preserve">2020 </w:t>
      </w:r>
      <w:r>
        <w:t xml:space="preserve">年 </w:t>
      </w:r>
      <w:r>
        <w:rPr>
          <w:rFonts w:ascii="Times New Roman" w:eastAsia="Times New Roman"/>
        </w:rPr>
        <w:t xml:space="preserve">9 </w:t>
      </w:r>
      <w:r>
        <w:t xml:space="preserve">月 </w:t>
      </w:r>
      <w:r>
        <w:rPr>
          <w:rFonts w:ascii="Times New Roman" w:eastAsia="Times New Roman"/>
        </w:rPr>
        <w:t xml:space="preserve">1 </w:t>
      </w:r>
      <w:r>
        <w:t>日起施行。</w:t>
      </w:r>
    </w:p>
    <w:p>
      <w:pPr>
        <w:pStyle w:val="3"/>
        <w:spacing w:before="10"/>
        <w:ind w:left="0" w:right="0" w:firstLine="0"/>
        <w:rPr>
          <w:sz w:val="36"/>
        </w:rPr>
      </w:pPr>
    </w:p>
    <w:p>
      <w:pPr>
        <w:pStyle w:val="3"/>
        <w:tabs>
          <w:tab w:val="left" w:pos="839"/>
        </w:tabs>
        <w:ind w:left="0" w:right="255" w:firstLine="0"/>
        <w:jc w:val="right"/>
      </w:pPr>
      <w:r>
        <w:t>总理</w:t>
      </w:r>
      <w:r>
        <w:tab/>
      </w:r>
      <w:r>
        <w:rPr>
          <w:spacing w:val="-1"/>
        </w:rPr>
        <w:t>李</w:t>
      </w:r>
      <w:r>
        <w:rPr>
          <w:spacing w:val="-3"/>
        </w:rPr>
        <w:t>克</w:t>
      </w:r>
      <w:r>
        <w:t>强</w:t>
      </w:r>
    </w:p>
    <w:p>
      <w:pPr>
        <w:pStyle w:val="3"/>
        <w:spacing w:before="42"/>
        <w:ind w:left="0" w:right="253" w:firstLine="0"/>
        <w:jc w:val="right"/>
      </w:pPr>
      <w:r>
        <w:rPr>
          <w:rFonts w:ascii="Times New Roman" w:eastAsia="Times New Roman"/>
        </w:rPr>
        <w:t xml:space="preserve">2020 </w:t>
      </w:r>
      <w:r>
        <w:rPr>
          <w:spacing w:val="-36"/>
        </w:rPr>
        <w:t xml:space="preserve">年 </w:t>
      </w:r>
      <w:r>
        <w:rPr>
          <w:rFonts w:ascii="Times New Roman" w:eastAsia="Times New Roman"/>
        </w:rPr>
        <w:t>7</w:t>
      </w:r>
      <w:r>
        <w:rPr>
          <w:rFonts w:ascii="Times New Roman" w:eastAsia="Times New Roman"/>
          <w:spacing w:val="-2"/>
        </w:rPr>
        <w:t xml:space="preserve"> </w:t>
      </w:r>
      <w:r>
        <w:rPr>
          <w:spacing w:val="-36"/>
        </w:rPr>
        <w:t xml:space="preserve">月 </w:t>
      </w:r>
      <w:r>
        <w:rPr>
          <w:rFonts w:ascii="Times New Roman" w:eastAsia="Times New Roman"/>
        </w:rPr>
        <w:t xml:space="preserve">5 </w:t>
      </w:r>
      <w:r>
        <w:t>日</w:t>
      </w:r>
    </w:p>
    <w:p>
      <w:pPr>
        <w:pStyle w:val="3"/>
        <w:spacing w:before="1"/>
        <w:ind w:left="0" w:right="0" w:firstLine="0"/>
        <w:rPr>
          <w:sz w:val="30"/>
        </w:rPr>
      </w:pPr>
    </w:p>
    <w:p>
      <w:pPr>
        <w:pStyle w:val="3"/>
        <w:ind w:left="0" w:right="139" w:firstLine="0"/>
        <w:jc w:val="center"/>
        <w:rPr>
          <w:rFonts w:hint="eastAsia" w:ascii="Arial Unicode MS" w:eastAsia="Arial Unicode MS"/>
        </w:rPr>
      </w:pPr>
      <w:r>
        <w:rPr>
          <w:rFonts w:hint="eastAsia" w:ascii="Arial Unicode MS" w:eastAsia="Arial Unicode MS"/>
        </w:rPr>
        <w:t>保障中小企业款项支付条例</w:t>
      </w:r>
    </w:p>
    <w:p>
      <w:pPr>
        <w:pStyle w:val="3"/>
        <w:spacing w:before="4"/>
        <w:ind w:left="0" w:right="0" w:firstLine="0"/>
        <w:rPr>
          <w:rFonts w:ascii="Arial Unicode MS"/>
          <w:sz w:val="21"/>
        </w:rPr>
      </w:pPr>
    </w:p>
    <w:p>
      <w:pPr>
        <w:pStyle w:val="3"/>
        <w:tabs>
          <w:tab w:val="left" w:pos="1795"/>
        </w:tabs>
        <w:spacing w:line="266" w:lineRule="auto"/>
        <w:ind w:right="114"/>
      </w:pPr>
      <w:r>
        <w:t>第</w:t>
      </w:r>
      <w:r>
        <w:rPr>
          <w:spacing w:val="-3"/>
        </w:rPr>
        <w:t>一</w:t>
      </w:r>
      <w:r>
        <w:t>条</w:t>
      </w:r>
      <w:r>
        <w:tab/>
      </w:r>
      <w:r>
        <w:rPr>
          <w:spacing w:val="-1"/>
        </w:rPr>
        <w:t>为</w:t>
      </w:r>
      <w:r>
        <w:rPr>
          <w:spacing w:val="-3"/>
        </w:rPr>
        <w:t>了</w:t>
      </w:r>
      <w:r>
        <w:t>促进</w:t>
      </w:r>
      <w:r>
        <w:rPr>
          <w:spacing w:val="-3"/>
        </w:rPr>
        <w:t>机</w:t>
      </w:r>
      <w:r>
        <w:t>关</w:t>
      </w:r>
      <w:r>
        <w:rPr>
          <w:spacing w:val="-29"/>
        </w:rPr>
        <w:t>、</w:t>
      </w:r>
      <w:r>
        <w:t>事</w:t>
      </w:r>
      <w:r>
        <w:rPr>
          <w:spacing w:val="-3"/>
        </w:rPr>
        <w:t>业</w:t>
      </w:r>
      <w:r>
        <w:t>单位</w:t>
      </w:r>
      <w:r>
        <w:rPr>
          <w:spacing w:val="-3"/>
        </w:rPr>
        <w:t>和</w:t>
      </w:r>
      <w:r>
        <w:t>大型</w:t>
      </w:r>
      <w:r>
        <w:rPr>
          <w:spacing w:val="-3"/>
        </w:rPr>
        <w:t>企</w:t>
      </w:r>
      <w:r>
        <w:t>业及</w:t>
      </w:r>
      <w:r>
        <w:rPr>
          <w:spacing w:val="-3"/>
        </w:rPr>
        <w:t>时</w:t>
      </w:r>
      <w:r>
        <w:t>支付</w:t>
      </w:r>
      <w:r>
        <w:rPr>
          <w:spacing w:val="-3"/>
        </w:rPr>
        <w:t>中</w:t>
      </w:r>
      <w:r>
        <w:t>小企</w:t>
      </w:r>
      <w:r>
        <w:rPr>
          <w:spacing w:val="-3"/>
        </w:rPr>
        <w:t>业</w:t>
      </w:r>
      <w:r>
        <w:t>款项， 维</w:t>
      </w:r>
      <w:r>
        <w:rPr>
          <w:spacing w:val="-3"/>
        </w:rPr>
        <w:t>护</w:t>
      </w:r>
      <w:r>
        <w:t>中小</w:t>
      </w:r>
      <w:r>
        <w:rPr>
          <w:spacing w:val="-3"/>
        </w:rPr>
        <w:t>企</w:t>
      </w:r>
      <w:r>
        <w:t>业合</w:t>
      </w:r>
      <w:r>
        <w:rPr>
          <w:spacing w:val="-3"/>
        </w:rPr>
        <w:t>法</w:t>
      </w:r>
      <w:r>
        <w:t>权益</w:t>
      </w:r>
      <w:r>
        <w:rPr>
          <w:spacing w:val="-3"/>
        </w:rPr>
        <w:t>，</w:t>
      </w:r>
      <w:r>
        <w:t>优化</w:t>
      </w:r>
      <w:r>
        <w:rPr>
          <w:spacing w:val="-3"/>
        </w:rPr>
        <w:t>营</w:t>
      </w:r>
      <w:r>
        <w:t>商环</w:t>
      </w:r>
      <w:r>
        <w:rPr>
          <w:spacing w:val="-3"/>
        </w:rPr>
        <w:t>境</w:t>
      </w:r>
      <w:r>
        <w:t>，根</w:t>
      </w:r>
      <w:r>
        <w:rPr>
          <w:spacing w:val="-3"/>
        </w:rPr>
        <w:t>据</w:t>
      </w:r>
      <w:r>
        <w:t>《中</w:t>
      </w:r>
      <w:r>
        <w:rPr>
          <w:spacing w:val="-3"/>
        </w:rPr>
        <w:t>华</w:t>
      </w:r>
      <w:r>
        <w:t>人民</w:t>
      </w:r>
      <w:r>
        <w:rPr>
          <w:spacing w:val="-3"/>
        </w:rPr>
        <w:t>共</w:t>
      </w:r>
      <w:r>
        <w:t>和国</w:t>
      </w:r>
      <w:r>
        <w:rPr>
          <w:spacing w:val="-3"/>
        </w:rPr>
        <w:t>中</w:t>
      </w:r>
      <w:r>
        <w:t>小企业 促</w:t>
      </w:r>
      <w:r>
        <w:rPr>
          <w:spacing w:val="-3"/>
        </w:rPr>
        <w:t>进</w:t>
      </w:r>
      <w:r>
        <w:t>法》</w:t>
      </w:r>
      <w:r>
        <w:rPr>
          <w:spacing w:val="-3"/>
        </w:rPr>
        <w:t>等</w:t>
      </w:r>
      <w:r>
        <w:t>法律</w:t>
      </w:r>
      <w:r>
        <w:rPr>
          <w:spacing w:val="-3"/>
        </w:rPr>
        <w:t>，</w:t>
      </w:r>
      <w:r>
        <w:t>制定</w:t>
      </w:r>
      <w:r>
        <w:rPr>
          <w:spacing w:val="-3"/>
        </w:rPr>
        <w:t>本</w:t>
      </w:r>
      <w:r>
        <w:t>条例。</w:t>
      </w:r>
    </w:p>
    <w:p>
      <w:pPr>
        <w:pStyle w:val="3"/>
        <w:tabs>
          <w:tab w:val="left" w:pos="1795"/>
        </w:tabs>
        <w:spacing w:before="6" w:line="266" w:lineRule="auto"/>
      </w:pPr>
      <w:r>
        <w:t>第</w:t>
      </w:r>
      <w:r>
        <w:rPr>
          <w:spacing w:val="-3"/>
        </w:rPr>
        <w:t>二</w:t>
      </w:r>
      <w:r>
        <w:t>条</w:t>
      </w:r>
      <w:r>
        <w:tab/>
      </w:r>
      <w:r>
        <w:rPr>
          <w:spacing w:val="-1"/>
        </w:rPr>
        <w:t>机</w:t>
      </w:r>
      <w:r>
        <w:rPr>
          <w:spacing w:val="-3"/>
        </w:rPr>
        <w:t>关</w:t>
      </w:r>
      <w:r>
        <w:t>、事</w:t>
      </w:r>
      <w:r>
        <w:rPr>
          <w:spacing w:val="-3"/>
        </w:rPr>
        <w:t>业</w:t>
      </w:r>
      <w:r>
        <w:t>单位</w:t>
      </w:r>
      <w:r>
        <w:rPr>
          <w:spacing w:val="-3"/>
        </w:rPr>
        <w:t>和</w:t>
      </w:r>
      <w:r>
        <w:t>大型</w:t>
      </w:r>
      <w:r>
        <w:rPr>
          <w:spacing w:val="-3"/>
        </w:rPr>
        <w:t>企</w:t>
      </w:r>
      <w:r>
        <w:t>业采</w:t>
      </w:r>
      <w:r>
        <w:rPr>
          <w:spacing w:val="-3"/>
        </w:rPr>
        <w:t>购</w:t>
      </w:r>
      <w:r>
        <w:t>货物</w:t>
      </w:r>
      <w:r>
        <w:rPr>
          <w:spacing w:val="-3"/>
        </w:rPr>
        <w:t>、</w:t>
      </w:r>
      <w:r>
        <w:t>工程</w:t>
      </w:r>
      <w:r>
        <w:rPr>
          <w:spacing w:val="-3"/>
        </w:rPr>
        <w:t>、</w:t>
      </w:r>
      <w:r>
        <w:t>服务</w:t>
      </w:r>
      <w:r>
        <w:rPr>
          <w:spacing w:val="-3"/>
        </w:rPr>
        <w:t>支</w:t>
      </w:r>
      <w:r>
        <w:t>付中小企</w:t>
      </w:r>
      <w:r>
        <w:rPr>
          <w:spacing w:val="-3"/>
        </w:rPr>
        <w:t>业</w:t>
      </w:r>
      <w:r>
        <w:t>款项</w:t>
      </w:r>
      <w:r>
        <w:rPr>
          <w:spacing w:val="-3"/>
        </w:rPr>
        <w:t>，</w:t>
      </w:r>
      <w:r>
        <w:t>应当</w:t>
      </w:r>
      <w:r>
        <w:rPr>
          <w:spacing w:val="-3"/>
        </w:rPr>
        <w:t>遵</w:t>
      </w:r>
      <w:r>
        <w:t>守本</w:t>
      </w:r>
      <w:r>
        <w:rPr>
          <w:spacing w:val="-3"/>
        </w:rPr>
        <w:t>条</w:t>
      </w:r>
      <w:r>
        <w:t>例。</w:t>
      </w:r>
    </w:p>
    <w:p>
      <w:pPr>
        <w:pStyle w:val="3"/>
        <w:tabs>
          <w:tab w:val="left" w:pos="1795"/>
        </w:tabs>
        <w:spacing w:before="2" w:line="266" w:lineRule="auto"/>
        <w:ind w:right="114"/>
      </w:pPr>
      <w:r>
        <w:t>第</w:t>
      </w:r>
      <w:r>
        <w:rPr>
          <w:spacing w:val="-3"/>
        </w:rPr>
        <w:t>三</w:t>
      </w:r>
      <w:r>
        <w:t>条</w:t>
      </w:r>
      <w:r>
        <w:tab/>
      </w:r>
      <w:r>
        <w:rPr>
          <w:spacing w:val="-1"/>
        </w:rPr>
        <w:t>本</w:t>
      </w:r>
      <w:r>
        <w:rPr>
          <w:spacing w:val="-3"/>
        </w:rPr>
        <w:t>条</w:t>
      </w:r>
      <w:r>
        <w:t>例所</w:t>
      </w:r>
      <w:r>
        <w:rPr>
          <w:spacing w:val="-3"/>
        </w:rPr>
        <w:t>称</w:t>
      </w:r>
      <w:r>
        <w:t>中小</w:t>
      </w:r>
      <w:r>
        <w:rPr>
          <w:spacing w:val="-3"/>
        </w:rPr>
        <w:t>企</w:t>
      </w:r>
      <w:r>
        <w:t>业</w:t>
      </w:r>
      <w:r>
        <w:rPr>
          <w:spacing w:val="-29"/>
        </w:rPr>
        <w:t>，</w:t>
      </w:r>
      <w:r>
        <w:t>是</w:t>
      </w:r>
      <w:r>
        <w:rPr>
          <w:spacing w:val="-3"/>
        </w:rPr>
        <w:t>指</w:t>
      </w:r>
      <w:r>
        <w:t>在中</w:t>
      </w:r>
      <w:r>
        <w:rPr>
          <w:spacing w:val="-3"/>
        </w:rPr>
        <w:t>华</w:t>
      </w:r>
      <w:r>
        <w:t>人民</w:t>
      </w:r>
      <w:r>
        <w:rPr>
          <w:spacing w:val="-3"/>
        </w:rPr>
        <w:t>共</w:t>
      </w:r>
      <w:r>
        <w:t>和国</w:t>
      </w:r>
      <w:r>
        <w:rPr>
          <w:spacing w:val="-3"/>
        </w:rPr>
        <w:t>境</w:t>
      </w:r>
      <w:r>
        <w:t>内依</w:t>
      </w:r>
      <w:r>
        <w:rPr>
          <w:spacing w:val="-3"/>
        </w:rPr>
        <w:t>法</w:t>
      </w:r>
      <w:r>
        <w:t>设立， 依</w:t>
      </w:r>
      <w:r>
        <w:rPr>
          <w:spacing w:val="-3"/>
        </w:rPr>
        <w:t>据</w:t>
      </w:r>
      <w:r>
        <w:t>国务</w:t>
      </w:r>
      <w:r>
        <w:rPr>
          <w:spacing w:val="-3"/>
        </w:rPr>
        <w:t>院</w:t>
      </w:r>
      <w:r>
        <w:t>批准</w:t>
      </w:r>
      <w:r>
        <w:rPr>
          <w:spacing w:val="-3"/>
        </w:rPr>
        <w:t>的</w:t>
      </w:r>
      <w:r>
        <w:t>中小</w:t>
      </w:r>
      <w:r>
        <w:rPr>
          <w:spacing w:val="-3"/>
        </w:rPr>
        <w:t>企</w:t>
      </w:r>
      <w:r>
        <w:t>业划</w:t>
      </w:r>
      <w:r>
        <w:rPr>
          <w:spacing w:val="-3"/>
        </w:rPr>
        <w:t>分</w:t>
      </w:r>
      <w:r>
        <w:t>标准</w:t>
      </w:r>
      <w:r>
        <w:rPr>
          <w:spacing w:val="-3"/>
        </w:rPr>
        <w:t>确</w:t>
      </w:r>
      <w:r>
        <w:t>定的</w:t>
      </w:r>
      <w:r>
        <w:rPr>
          <w:spacing w:val="-3"/>
        </w:rPr>
        <w:t>中</w:t>
      </w:r>
      <w:r>
        <w:t>型企</w:t>
      </w:r>
      <w:r>
        <w:rPr>
          <w:spacing w:val="-3"/>
        </w:rPr>
        <w:t>业</w:t>
      </w:r>
      <w:r>
        <w:t>、小</w:t>
      </w:r>
      <w:r>
        <w:rPr>
          <w:spacing w:val="-3"/>
        </w:rPr>
        <w:t>型</w:t>
      </w:r>
      <w:r>
        <w:t>企业</w:t>
      </w:r>
      <w:r>
        <w:rPr>
          <w:spacing w:val="-3"/>
        </w:rPr>
        <w:t>和</w:t>
      </w:r>
      <w:r>
        <w:t>微型企 业</w:t>
      </w:r>
      <w:r>
        <w:rPr>
          <w:spacing w:val="-3"/>
        </w:rPr>
        <w:t>；</w:t>
      </w:r>
      <w:r>
        <w:t>所称</w:t>
      </w:r>
      <w:r>
        <w:rPr>
          <w:spacing w:val="-3"/>
        </w:rPr>
        <w:t>大</w:t>
      </w:r>
      <w:r>
        <w:t>型企</w:t>
      </w:r>
      <w:r>
        <w:rPr>
          <w:spacing w:val="-3"/>
        </w:rPr>
        <w:t>业</w:t>
      </w:r>
      <w:r>
        <w:t>，是</w:t>
      </w:r>
      <w:r>
        <w:rPr>
          <w:spacing w:val="-3"/>
        </w:rPr>
        <w:t>指</w:t>
      </w:r>
      <w:r>
        <w:t>中小</w:t>
      </w:r>
      <w:r>
        <w:rPr>
          <w:spacing w:val="-3"/>
        </w:rPr>
        <w:t>企</w:t>
      </w:r>
      <w:r>
        <w:t>业以</w:t>
      </w:r>
      <w:r>
        <w:rPr>
          <w:spacing w:val="-3"/>
        </w:rPr>
        <w:t>外</w:t>
      </w:r>
      <w:r>
        <w:t>的企</w:t>
      </w:r>
      <w:r>
        <w:rPr>
          <w:spacing w:val="-3"/>
        </w:rPr>
        <w:t>业</w:t>
      </w:r>
      <w:r>
        <w:t>。</w:t>
      </w:r>
    </w:p>
    <w:p>
      <w:pPr>
        <w:pStyle w:val="3"/>
        <w:tabs>
          <w:tab w:val="left" w:pos="1234"/>
        </w:tabs>
        <w:spacing w:before="6" w:line="266" w:lineRule="auto"/>
        <w:jc w:val="right"/>
      </w:pPr>
      <w:r>
        <w:rPr>
          <w:spacing w:val="-1"/>
        </w:rPr>
        <w:t>中</w:t>
      </w:r>
      <w:r>
        <w:rPr>
          <w:spacing w:val="-3"/>
        </w:rPr>
        <w:t>小</w:t>
      </w:r>
      <w:r>
        <w:rPr>
          <w:spacing w:val="-1"/>
        </w:rPr>
        <w:t>企业</w:t>
      </w:r>
      <w:r>
        <w:rPr>
          <w:spacing w:val="-3"/>
        </w:rPr>
        <w:t>、</w:t>
      </w:r>
      <w:r>
        <w:rPr>
          <w:spacing w:val="-1"/>
        </w:rPr>
        <w:t>大型</w:t>
      </w:r>
      <w:r>
        <w:rPr>
          <w:spacing w:val="-3"/>
        </w:rPr>
        <w:t>企</w:t>
      </w:r>
      <w:r>
        <w:rPr>
          <w:spacing w:val="-1"/>
        </w:rPr>
        <w:t>业依</w:t>
      </w:r>
      <w:r>
        <w:rPr>
          <w:spacing w:val="-3"/>
        </w:rPr>
        <w:t>合</w:t>
      </w:r>
      <w:r>
        <w:rPr>
          <w:spacing w:val="-1"/>
        </w:rPr>
        <w:t>同订</w:t>
      </w:r>
      <w:r>
        <w:rPr>
          <w:spacing w:val="-3"/>
        </w:rPr>
        <w:t>立</w:t>
      </w:r>
      <w:r>
        <w:rPr>
          <w:spacing w:val="-1"/>
        </w:rPr>
        <w:t>时的</w:t>
      </w:r>
      <w:r>
        <w:rPr>
          <w:spacing w:val="-3"/>
        </w:rPr>
        <w:t>企</w:t>
      </w:r>
      <w:r>
        <w:rPr>
          <w:spacing w:val="-1"/>
        </w:rPr>
        <w:t>业规</w:t>
      </w:r>
      <w:r>
        <w:rPr>
          <w:spacing w:val="-3"/>
        </w:rPr>
        <w:t>模</w:t>
      </w:r>
      <w:r>
        <w:rPr>
          <w:spacing w:val="-1"/>
        </w:rPr>
        <w:t>类型</w:t>
      </w:r>
      <w:r>
        <w:rPr>
          <w:spacing w:val="-3"/>
        </w:rPr>
        <w:t>确</w:t>
      </w:r>
      <w:r>
        <w:rPr>
          <w:spacing w:val="-1"/>
        </w:rPr>
        <w:t>定。</w:t>
      </w:r>
      <w:r>
        <w:rPr>
          <w:spacing w:val="-3"/>
        </w:rPr>
        <w:t>中</w:t>
      </w:r>
      <w:r>
        <w:rPr>
          <w:spacing w:val="-1"/>
        </w:rPr>
        <w:t>小企</w:t>
      </w:r>
      <w:r>
        <w:rPr>
          <w:spacing w:val="-3"/>
        </w:rPr>
        <w:t>业</w:t>
      </w:r>
      <w:r>
        <w:t>与</w:t>
      </w:r>
      <w:r>
        <w:rPr>
          <w:spacing w:val="-1"/>
        </w:rPr>
        <w:t>机</w:t>
      </w:r>
      <w:r>
        <w:rPr>
          <w:spacing w:val="-3"/>
        </w:rPr>
        <w:t>关</w:t>
      </w:r>
      <w:r>
        <w:rPr>
          <w:spacing w:val="-1"/>
        </w:rPr>
        <w:t>、事</w:t>
      </w:r>
      <w:r>
        <w:rPr>
          <w:spacing w:val="-3"/>
        </w:rPr>
        <w:t>业</w:t>
      </w:r>
      <w:r>
        <w:rPr>
          <w:spacing w:val="-1"/>
        </w:rPr>
        <w:t>单位</w:t>
      </w:r>
      <w:r>
        <w:rPr>
          <w:spacing w:val="-3"/>
        </w:rPr>
        <w:t>、</w:t>
      </w:r>
      <w:r>
        <w:rPr>
          <w:spacing w:val="-1"/>
        </w:rPr>
        <w:t>大型</w:t>
      </w:r>
      <w:r>
        <w:rPr>
          <w:spacing w:val="-3"/>
        </w:rPr>
        <w:t>企</w:t>
      </w:r>
      <w:r>
        <w:rPr>
          <w:spacing w:val="-1"/>
        </w:rPr>
        <w:t>业订</w:t>
      </w:r>
      <w:r>
        <w:rPr>
          <w:spacing w:val="-3"/>
        </w:rPr>
        <w:t>立</w:t>
      </w:r>
      <w:r>
        <w:rPr>
          <w:spacing w:val="-1"/>
        </w:rPr>
        <w:t>合同</w:t>
      </w:r>
      <w:r>
        <w:rPr>
          <w:spacing w:val="-3"/>
        </w:rPr>
        <w:t>时</w:t>
      </w:r>
      <w:r>
        <w:rPr>
          <w:spacing w:val="-1"/>
        </w:rPr>
        <w:t>，应</w:t>
      </w:r>
      <w:r>
        <w:rPr>
          <w:spacing w:val="-3"/>
        </w:rPr>
        <w:t>当</w:t>
      </w:r>
      <w:r>
        <w:rPr>
          <w:spacing w:val="-1"/>
        </w:rPr>
        <w:t>主动</w:t>
      </w:r>
      <w:r>
        <w:rPr>
          <w:spacing w:val="-3"/>
        </w:rPr>
        <w:t>告</w:t>
      </w:r>
      <w:r>
        <w:rPr>
          <w:spacing w:val="-1"/>
        </w:rPr>
        <w:t>知其</w:t>
      </w:r>
      <w:r>
        <w:rPr>
          <w:spacing w:val="-3"/>
        </w:rPr>
        <w:t>属</w:t>
      </w:r>
      <w:r>
        <w:rPr>
          <w:spacing w:val="-1"/>
        </w:rPr>
        <w:t>于中</w:t>
      </w:r>
      <w:r>
        <w:rPr>
          <w:spacing w:val="-3"/>
        </w:rPr>
        <w:t>小</w:t>
      </w:r>
      <w:r>
        <w:rPr>
          <w:spacing w:val="-1"/>
        </w:rPr>
        <w:t>企业</w:t>
      </w:r>
      <w:r>
        <w:t>。第</w:t>
      </w:r>
      <w:r>
        <w:rPr>
          <w:spacing w:val="-3"/>
        </w:rPr>
        <w:t>四</w:t>
      </w:r>
      <w:r>
        <w:t>条</w:t>
      </w:r>
      <w:r>
        <w:tab/>
      </w:r>
      <w:r>
        <w:rPr>
          <w:spacing w:val="-1"/>
        </w:rPr>
        <w:t>国</w:t>
      </w:r>
      <w:r>
        <w:rPr>
          <w:spacing w:val="-3"/>
        </w:rPr>
        <w:t>务</w:t>
      </w:r>
      <w:r>
        <w:rPr>
          <w:spacing w:val="-1"/>
        </w:rPr>
        <w:t>院负</w:t>
      </w:r>
      <w:r>
        <w:rPr>
          <w:spacing w:val="-3"/>
        </w:rPr>
        <w:t>责</w:t>
      </w:r>
      <w:r>
        <w:rPr>
          <w:spacing w:val="-1"/>
        </w:rPr>
        <w:t>中小</w:t>
      </w:r>
      <w:r>
        <w:rPr>
          <w:spacing w:val="-3"/>
        </w:rPr>
        <w:t>企</w:t>
      </w:r>
      <w:r>
        <w:rPr>
          <w:spacing w:val="-1"/>
        </w:rPr>
        <w:t>业促</w:t>
      </w:r>
      <w:r>
        <w:rPr>
          <w:spacing w:val="-3"/>
        </w:rPr>
        <w:t>进</w:t>
      </w:r>
      <w:r>
        <w:rPr>
          <w:spacing w:val="-1"/>
        </w:rPr>
        <w:t>工作</w:t>
      </w:r>
      <w:r>
        <w:rPr>
          <w:spacing w:val="-3"/>
        </w:rPr>
        <w:t>综</w:t>
      </w:r>
      <w:r>
        <w:rPr>
          <w:spacing w:val="-1"/>
        </w:rPr>
        <w:t>合管</w:t>
      </w:r>
      <w:r>
        <w:rPr>
          <w:spacing w:val="-3"/>
        </w:rPr>
        <w:t>理</w:t>
      </w:r>
      <w:r>
        <w:rPr>
          <w:spacing w:val="-1"/>
        </w:rPr>
        <w:t>的部</w:t>
      </w:r>
      <w:r>
        <w:rPr>
          <w:spacing w:val="-3"/>
        </w:rPr>
        <w:t>门</w:t>
      </w:r>
      <w:r>
        <w:rPr>
          <w:spacing w:val="-1"/>
        </w:rPr>
        <w:t>对机</w:t>
      </w:r>
      <w:r>
        <w:rPr>
          <w:spacing w:val="-3"/>
        </w:rPr>
        <w:t>关</w:t>
      </w:r>
      <w:r>
        <w:rPr>
          <w:spacing w:val="-1"/>
        </w:rPr>
        <w:t>、事</w:t>
      </w:r>
      <w:r>
        <w:t>业</w:t>
      </w:r>
    </w:p>
    <w:p>
      <w:pPr>
        <w:pStyle w:val="3"/>
        <w:spacing w:before="5" w:line="268" w:lineRule="auto"/>
        <w:ind w:firstLine="0"/>
      </w:pPr>
      <w:r>
        <w:t>单位和大型企业及时支付中小企业款项工作进行宏观指导、综合协调、监督检查；国务院有关部门在各自职责范围内，负责相关管理工作。</w:t>
      </w:r>
    </w:p>
    <w:p>
      <w:pPr>
        <w:pStyle w:val="3"/>
        <w:spacing w:line="268" w:lineRule="auto"/>
      </w:pPr>
      <w:r>
        <w:t>县级以上地方人民政府负责本行政区域内机关、事业单位和大型企业及时支付中小企业款项的管理工作。</w:t>
      </w:r>
    </w:p>
    <w:p>
      <w:pPr>
        <w:pStyle w:val="3"/>
        <w:tabs>
          <w:tab w:val="left" w:pos="1795"/>
        </w:tabs>
        <w:spacing w:line="266" w:lineRule="auto"/>
        <w:ind w:right="114"/>
      </w:pPr>
      <w:r>
        <w:t>第</w:t>
      </w:r>
      <w:r>
        <w:rPr>
          <w:spacing w:val="-3"/>
        </w:rPr>
        <w:t>五</w:t>
      </w:r>
      <w:r>
        <w:t>条</w:t>
      </w:r>
      <w:r>
        <w:tab/>
      </w:r>
      <w:r>
        <w:t>有</w:t>
      </w:r>
      <w:r>
        <w:rPr>
          <w:spacing w:val="-3"/>
        </w:rPr>
        <w:t>关</w:t>
      </w:r>
      <w:r>
        <w:t>行业</w:t>
      </w:r>
      <w:r>
        <w:rPr>
          <w:spacing w:val="-3"/>
        </w:rPr>
        <w:t>协</w:t>
      </w:r>
      <w:r>
        <w:t>会商</w:t>
      </w:r>
      <w:r>
        <w:rPr>
          <w:spacing w:val="-3"/>
        </w:rPr>
        <w:t>会</w:t>
      </w:r>
      <w:r>
        <w:t>应当</w:t>
      </w:r>
      <w:r>
        <w:rPr>
          <w:spacing w:val="-3"/>
        </w:rPr>
        <w:t>按</w:t>
      </w:r>
      <w:r>
        <w:t>照法</w:t>
      </w:r>
      <w:r>
        <w:rPr>
          <w:spacing w:val="-3"/>
        </w:rPr>
        <w:t>律</w:t>
      </w:r>
      <w:r>
        <w:t>法规</w:t>
      </w:r>
      <w:r>
        <w:rPr>
          <w:spacing w:val="-3"/>
        </w:rPr>
        <w:t>和</w:t>
      </w:r>
      <w:r>
        <w:t>组织</w:t>
      </w:r>
      <w:r>
        <w:rPr>
          <w:spacing w:val="-3"/>
        </w:rPr>
        <w:t>章</w:t>
      </w:r>
      <w:r>
        <w:t>程，</w:t>
      </w:r>
      <w:r>
        <w:rPr>
          <w:spacing w:val="-3"/>
        </w:rPr>
        <w:t>完</w:t>
      </w:r>
      <w:r>
        <w:t xml:space="preserve">善行业 </w:t>
      </w:r>
      <w:r>
        <w:rPr>
          <w:spacing w:val="-1"/>
        </w:rPr>
        <w:t>自律</w:t>
      </w:r>
      <w:r>
        <w:rPr>
          <w:spacing w:val="-29"/>
        </w:rPr>
        <w:t>，</w:t>
      </w:r>
      <w:r>
        <w:rPr>
          <w:spacing w:val="-1"/>
        </w:rPr>
        <w:t>禁</w:t>
      </w:r>
      <w:r>
        <w:rPr>
          <w:spacing w:val="-3"/>
        </w:rPr>
        <w:t>止</w:t>
      </w:r>
      <w:r>
        <w:t>本行</w:t>
      </w:r>
      <w:r>
        <w:rPr>
          <w:spacing w:val="-3"/>
        </w:rPr>
        <w:t>业</w:t>
      </w:r>
      <w:r>
        <w:t>大型</w:t>
      </w:r>
      <w:r>
        <w:rPr>
          <w:spacing w:val="-3"/>
        </w:rPr>
        <w:t>企</w:t>
      </w:r>
      <w:r>
        <w:t>业利</w:t>
      </w:r>
      <w:r>
        <w:rPr>
          <w:spacing w:val="-3"/>
        </w:rPr>
        <w:t>用</w:t>
      </w:r>
      <w:r>
        <w:t>优势</w:t>
      </w:r>
      <w:r>
        <w:rPr>
          <w:spacing w:val="-3"/>
        </w:rPr>
        <w:t>地</w:t>
      </w:r>
      <w:r>
        <w:t>位拒</w:t>
      </w:r>
      <w:r>
        <w:rPr>
          <w:spacing w:val="-3"/>
        </w:rPr>
        <w:t>绝</w:t>
      </w:r>
      <w:r>
        <w:t>或者</w:t>
      </w:r>
      <w:r>
        <w:rPr>
          <w:spacing w:val="-3"/>
        </w:rPr>
        <w:t>迟</w:t>
      </w:r>
      <w:r>
        <w:t>延支</w:t>
      </w:r>
      <w:r>
        <w:rPr>
          <w:spacing w:val="-3"/>
        </w:rPr>
        <w:t>付</w:t>
      </w:r>
      <w:r>
        <w:t>中小</w:t>
      </w:r>
      <w:r>
        <w:rPr>
          <w:spacing w:val="-3"/>
        </w:rPr>
        <w:t>企</w:t>
      </w:r>
      <w:r>
        <w:t>业款</w:t>
      </w:r>
      <w:r>
        <w:rPr>
          <w:spacing w:val="-3"/>
        </w:rPr>
        <w:t>项</w:t>
      </w:r>
      <w:r>
        <w:t>， 规</w:t>
      </w:r>
      <w:r>
        <w:rPr>
          <w:spacing w:val="-3"/>
        </w:rPr>
        <w:t>范</w:t>
      </w:r>
      <w:r>
        <w:t>引导</w:t>
      </w:r>
      <w:r>
        <w:rPr>
          <w:spacing w:val="-3"/>
        </w:rPr>
        <w:t>其</w:t>
      </w:r>
      <w:r>
        <w:t>履行</w:t>
      </w:r>
      <w:r>
        <w:rPr>
          <w:spacing w:val="-3"/>
        </w:rPr>
        <w:t>及</w:t>
      </w:r>
      <w:r>
        <w:t>时支</w:t>
      </w:r>
      <w:r>
        <w:rPr>
          <w:spacing w:val="-3"/>
        </w:rPr>
        <w:t>付</w:t>
      </w:r>
      <w:r>
        <w:t>中小</w:t>
      </w:r>
      <w:r>
        <w:rPr>
          <w:spacing w:val="-3"/>
        </w:rPr>
        <w:t>企</w:t>
      </w:r>
      <w:r>
        <w:t>业款</w:t>
      </w:r>
      <w:r>
        <w:rPr>
          <w:spacing w:val="-3"/>
        </w:rPr>
        <w:t>项</w:t>
      </w:r>
      <w:r>
        <w:t>义务</w:t>
      </w:r>
      <w:r>
        <w:rPr>
          <w:spacing w:val="-3"/>
        </w:rPr>
        <w:t>，</w:t>
      </w:r>
      <w:r>
        <w:t>保护</w:t>
      </w:r>
      <w:r>
        <w:rPr>
          <w:spacing w:val="-3"/>
        </w:rPr>
        <w:t>中</w:t>
      </w:r>
      <w:r>
        <w:t>小企</w:t>
      </w:r>
      <w:r>
        <w:rPr>
          <w:spacing w:val="-3"/>
        </w:rPr>
        <w:t>业</w:t>
      </w:r>
      <w:r>
        <w:t>合法</w:t>
      </w:r>
      <w:r>
        <w:rPr>
          <w:spacing w:val="-3"/>
        </w:rPr>
        <w:t>权</w:t>
      </w:r>
      <w:r>
        <w:t>益。</w:t>
      </w:r>
    </w:p>
    <w:p>
      <w:pPr>
        <w:pStyle w:val="3"/>
        <w:spacing w:line="266" w:lineRule="auto"/>
        <w:jc w:val="both"/>
      </w:pPr>
      <w:r>
        <w:t>第六条 机关、事业单位和大型企业不得要求中小企业接受不合理的付款期限、方式、条件和违约责任等交易条件，不得违约拖欠中小企业的货物、工程、服务款项。</w:t>
      </w:r>
    </w:p>
    <w:p>
      <w:pPr>
        <w:pStyle w:val="3"/>
        <w:spacing w:before="4"/>
        <w:ind w:left="677" w:right="0" w:firstLine="0"/>
      </w:pPr>
      <w:r>
        <w:t>中小企业应当依法经营，诚实守信，按照合同约定提供合格的货物、</w:t>
      </w:r>
    </w:p>
    <w:p>
      <w:pPr>
        <w:spacing w:after="0"/>
        <w:sectPr>
          <w:pgSz w:w="11910" w:h="16840"/>
          <w:pgMar w:top="1580" w:right="1160" w:bottom="1160" w:left="1300" w:header="0" w:footer="978" w:gutter="0"/>
          <w:cols w:space="720" w:num="1"/>
        </w:sectPr>
      </w:pPr>
    </w:p>
    <w:p>
      <w:pPr>
        <w:pStyle w:val="3"/>
        <w:spacing w:before="144"/>
        <w:ind w:right="0" w:firstLine="0"/>
      </w:pPr>
      <w:r>
        <w:t>工程和服务。</w:t>
      </w:r>
    </w:p>
    <w:p>
      <w:pPr>
        <w:pStyle w:val="3"/>
        <w:tabs>
          <w:tab w:val="left" w:pos="1795"/>
        </w:tabs>
        <w:spacing w:before="42" w:line="266" w:lineRule="auto"/>
      </w:pPr>
      <w:r>
        <w:t>第</w:t>
      </w:r>
      <w:r>
        <w:rPr>
          <w:spacing w:val="-3"/>
        </w:rPr>
        <w:t>七</w:t>
      </w:r>
      <w:r>
        <w:t>条</w:t>
      </w:r>
      <w:r>
        <w:tab/>
      </w:r>
      <w:r>
        <w:rPr>
          <w:spacing w:val="-1"/>
        </w:rPr>
        <w:t>机</w:t>
      </w:r>
      <w:r>
        <w:rPr>
          <w:spacing w:val="-3"/>
        </w:rPr>
        <w:t>关</w:t>
      </w:r>
      <w:r>
        <w:t>、事</w:t>
      </w:r>
      <w:r>
        <w:rPr>
          <w:spacing w:val="-3"/>
        </w:rPr>
        <w:t>业</w:t>
      </w:r>
      <w:r>
        <w:t>单位</w:t>
      </w:r>
      <w:r>
        <w:rPr>
          <w:spacing w:val="-3"/>
        </w:rPr>
        <w:t>使</w:t>
      </w:r>
      <w:r>
        <w:t>用财</w:t>
      </w:r>
      <w:r>
        <w:rPr>
          <w:spacing w:val="-3"/>
        </w:rPr>
        <w:t>政</w:t>
      </w:r>
      <w:r>
        <w:t>资金</w:t>
      </w:r>
      <w:r>
        <w:rPr>
          <w:spacing w:val="-3"/>
        </w:rPr>
        <w:t>从</w:t>
      </w:r>
      <w:r>
        <w:t>中小</w:t>
      </w:r>
      <w:r>
        <w:rPr>
          <w:spacing w:val="-3"/>
        </w:rPr>
        <w:t>企</w:t>
      </w:r>
      <w:r>
        <w:t>业采</w:t>
      </w:r>
      <w:r>
        <w:rPr>
          <w:spacing w:val="-3"/>
        </w:rPr>
        <w:t>购</w:t>
      </w:r>
      <w:r>
        <w:t>货物</w:t>
      </w:r>
      <w:r>
        <w:rPr>
          <w:spacing w:val="-3"/>
        </w:rPr>
        <w:t>、</w:t>
      </w:r>
      <w:r>
        <w:t>工程、服</w:t>
      </w:r>
      <w:r>
        <w:rPr>
          <w:spacing w:val="-3"/>
        </w:rPr>
        <w:t>务</w:t>
      </w:r>
      <w:r>
        <w:t>，应</w:t>
      </w:r>
      <w:r>
        <w:rPr>
          <w:spacing w:val="-3"/>
        </w:rPr>
        <w:t>当</w:t>
      </w:r>
      <w:r>
        <w:t>严格</w:t>
      </w:r>
      <w:r>
        <w:rPr>
          <w:spacing w:val="-3"/>
        </w:rPr>
        <w:t>按</w:t>
      </w:r>
      <w:r>
        <w:t>照批</w:t>
      </w:r>
      <w:r>
        <w:rPr>
          <w:spacing w:val="-3"/>
        </w:rPr>
        <w:t>准</w:t>
      </w:r>
      <w:r>
        <w:t>的预</w:t>
      </w:r>
      <w:r>
        <w:rPr>
          <w:spacing w:val="-3"/>
        </w:rPr>
        <w:t>算</w:t>
      </w:r>
      <w:r>
        <w:t>执行</w:t>
      </w:r>
      <w:r>
        <w:rPr>
          <w:spacing w:val="-3"/>
        </w:rPr>
        <w:t>，</w:t>
      </w:r>
      <w:r>
        <w:t>不得</w:t>
      </w:r>
      <w:r>
        <w:rPr>
          <w:spacing w:val="-3"/>
        </w:rPr>
        <w:t>无</w:t>
      </w:r>
      <w:r>
        <w:t>预算</w:t>
      </w:r>
      <w:r>
        <w:rPr>
          <w:spacing w:val="-3"/>
        </w:rPr>
        <w:t>、</w:t>
      </w:r>
      <w:r>
        <w:t>超预</w:t>
      </w:r>
      <w:r>
        <w:rPr>
          <w:spacing w:val="-3"/>
        </w:rPr>
        <w:t>算</w:t>
      </w:r>
      <w:r>
        <w:t>开展</w:t>
      </w:r>
      <w:r>
        <w:rPr>
          <w:spacing w:val="-3"/>
        </w:rPr>
        <w:t>采</w:t>
      </w:r>
      <w:r>
        <w:t>购。</w:t>
      </w:r>
    </w:p>
    <w:p>
      <w:pPr>
        <w:pStyle w:val="3"/>
        <w:spacing w:before="2" w:line="268" w:lineRule="auto"/>
      </w:pPr>
      <w:r>
        <w:t>政府投资项目所需资金应当按照国家有关规定确保落实到位，不得由施工单位垫资建设。</w:t>
      </w:r>
    </w:p>
    <w:p>
      <w:pPr>
        <w:pStyle w:val="3"/>
        <w:tabs>
          <w:tab w:val="left" w:pos="1795"/>
        </w:tabs>
        <w:spacing w:line="268" w:lineRule="auto"/>
        <w:ind w:right="255"/>
      </w:pPr>
      <w:r>
        <w:t>第</w:t>
      </w:r>
      <w:r>
        <w:rPr>
          <w:spacing w:val="-3"/>
        </w:rPr>
        <w:t>八</w:t>
      </w:r>
      <w:r>
        <w:t>条</w:t>
      </w:r>
      <w:r>
        <w:tab/>
      </w:r>
      <w:r>
        <w:t>机</w:t>
      </w:r>
      <w:r>
        <w:rPr>
          <w:spacing w:val="-3"/>
        </w:rPr>
        <w:t>关</w:t>
      </w:r>
      <w:r>
        <w:t>、事</w:t>
      </w:r>
      <w:r>
        <w:rPr>
          <w:spacing w:val="-3"/>
        </w:rPr>
        <w:t>业</w:t>
      </w:r>
      <w:r>
        <w:t>单位</w:t>
      </w:r>
      <w:r>
        <w:rPr>
          <w:spacing w:val="-3"/>
        </w:rPr>
        <w:t>从</w:t>
      </w:r>
      <w:r>
        <w:t>中小</w:t>
      </w:r>
      <w:r>
        <w:rPr>
          <w:spacing w:val="-3"/>
        </w:rPr>
        <w:t>企</w:t>
      </w:r>
      <w:r>
        <w:t>业采</w:t>
      </w:r>
      <w:r>
        <w:rPr>
          <w:spacing w:val="-3"/>
        </w:rPr>
        <w:t>购</w:t>
      </w:r>
      <w:r>
        <w:t>货物</w:t>
      </w:r>
      <w:r>
        <w:rPr>
          <w:spacing w:val="-3"/>
        </w:rPr>
        <w:t>、</w:t>
      </w:r>
      <w:r>
        <w:t>工程</w:t>
      </w:r>
      <w:r>
        <w:rPr>
          <w:spacing w:val="-3"/>
        </w:rPr>
        <w:t>、</w:t>
      </w:r>
      <w:r>
        <w:t>服务</w:t>
      </w:r>
      <w:r>
        <w:rPr>
          <w:spacing w:val="-3"/>
        </w:rPr>
        <w:t>，</w:t>
      </w:r>
      <w:r>
        <w:t>应当自货物</w:t>
      </w:r>
      <w:r>
        <w:rPr>
          <w:spacing w:val="-10"/>
        </w:rPr>
        <w:t>、</w:t>
      </w:r>
      <w:r>
        <w:t>工程</w:t>
      </w:r>
      <w:r>
        <w:rPr>
          <w:spacing w:val="-8"/>
        </w:rPr>
        <w:t>、</w:t>
      </w:r>
      <w:r>
        <w:t>服</w:t>
      </w:r>
      <w:r>
        <w:rPr>
          <w:spacing w:val="-3"/>
        </w:rPr>
        <w:t>务</w:t>
      </w:r>
      <w:r>
        <w:t>交付</w:t>
      </w:r>
      <w:r>
        <w:rPr>
          <w:spacing w:val="-3"/>
        </w:rPr>
        <w:t>之</w:t>
      </w:r>
      <w:r>
        <w:t>日起</w:t>
      </w:r>
      <w:r>
        <w:rPr>
          <w:spacing w:val="-69"/>
        </w:rPr>
        <w:t xml:space="preserve"> </w:t>
      </w:r>
      <w:r>
        <w:rPr>
          <w:rFonts w:ascii="Times New Roman" w:eastAsia="Times New Roman"/>
        </w:rPr>
        <w:t>30</w:t>
      </w:r>
      <w:r>
        <w:rPr>
          <w:rFonts w:ascii="Times New Roman" w:eastAsia="Times New Roman"/>
          <w:spacing w:val="5"/>
        </w:rPr>
        <w:t xml:space="preserve"> </w:t>
      </w:r>
      <w:r>
        <w:t>日</w:t>
      </w:r>
      <w:r>
        <w:rPr>
          <w:spacing w:val="-3"/>
        </w:rPr>
        <w:t>内</w:t>
      </w:r>
      <w:r>
        <w:t>支付</w:t>
      </w:r>
      <w:r>
        <w:rPr>
          <w:spacing w:val="-3"/>
        </w:rPr>
        <w:t>款</w:t>
      </w:r>
      <w:r>
        <w:t>项</w:t>
      </w:r>
      <w:r>
        <w:rPr>
          <w:spacing w:val="-8"/>
        </w:rPr>
        <w:t>；</w:t>
      </w:r>
      <w:r>
        <w:t>合</w:t>
      </w:r>
      <w:r>
        <w:rPr>
          <w:spacing w:val="-3"/>
        </w:rPr>
        <w:t>同</w:t>
      </w:r>
      <w:r>
        <w:t>另有</w:t>
      </w:r>
      <w:r>
        <w:rPr>
          <w:spacing w:val="-3"/>
        </w:rPr>
        <w:t>约</w:t>
      </w:r>
      <w:r>
        <w:t>定的</w:t>
      </w:r>
      <w:r>
        <w:rPr>
          <w:spacing w:val="-10"/>
        </w:rPr>
        <w:t>，</w:t>
      </w:r>
      <w:r>
        <w:t>付</w:t>
      </w:r>
      <w:r>
        <w:rPr>
          <w:spacing w:val="-3"/>
        </w:rPr>
        <w:t>款</w:t>
      </w:r>
      <w:r>
        <w:t>期</w:t>
      </w:r>
    </w:p>
    <w:p>
      <w:pPr>
        <w:pStyle w:val="3"/>
        <w:spacing w:line="357" w:lineRule="exact"/>
        <w:ind w:right="0" w:firstLine="0"/>
      </w:pPr>
      <w:r>
        <w:t xml:space="preserve">限最长不得超过 </w:t>
      </w:r>
      <w:r>
        <w:rPr>
          <w:rFonts w:ascii="Times New Roman" w:eastAsia="Times New Roman"/>
        </w:rPr>
        <w:t xml:space="preserve">60 </w:t>
      </w:r>
      <w:r>
        <w:t>日。</w:t>
      </w:r>
    </w:p>
    <w:p>
      <w:pPr>
        <w:pStyle w:val="3"/>
        <w:spacing w:before="36" w:line="268" w:lineRule="auto"/>
      </w:pPr>
      <w:r>
        <w:t>大型企业从中小企业采购货物、工程、服务，应当按照行业规范、交易习惯合理约定付款期限并及时支付款项。</w:t>
      </w:r>
    </w:p>
    <w:p>
      <w:pPr>
        <w:pStyle w:val="3"/>
        <w:spacing w:line="266" w:lineRule="auto"/>
      </w:pPr>
      <w:r>
        <w:t>合同约定采取履行进度结算、定期结算等结算方式的，付款期限应当自双方确认结算金额之日起算。</w:t>
      </w:r>
    </w:p>
    <w:p>
      <w:pPr>
        <w:pStyle w:val="3"/>
        <w:spacing w:line="266" w:lineRule="auto"/>
        <w:jc w:val="both"/>
      </w:pPr>
      <w:r>
        <w:t>第九条 机关、事业单位和大型企业与中小企业约定以货物、工程、服务交付后经检验或者验收合格作为支付中小企业款项条件的，付款期限应当自检验或者验收合格之日起算。</w:t>
      </w:r>
    </w:p>
    <w:p>
      <w:pPr>
        <w:pStyle w:val="3"/>
        <w:spacing w:before="6" w:line="266" w:lineRule="auto"/>
        <w:jc w:val="both"/>
      </w:pPr>
      <w:r>
        <w:t>合同双方应当在合同中约定明确、合理的检验或者验收期限，并在该期限内完成检验或者验收。机关、事业单位和大型企业拖延检验或者验收的，付款期限自约定的检验或者验收期限届满之日起算。</w:t>
      </w:r>
    </w:p>
    <w:p>
      <w:pPr>
        <w:pStyle w:val="3"/>
        <w:spacing w:before="5" w:line="266" w:lineRule="auto"/>
        <w:jc w:val="both"/>
      </w:pPr>
      <w:r>
        <w:t>第十条 机关、事业单位和大型企业使用商业汇票等非现金支付方式支付中小企业款项的，应当在合同中作出明确、合理约定，不得强制中小企业接受商业汇票等非现金支付方式，不得利用商业汇票等非现金支付方式变相延长付款期限。</w:t>
      </w:r>
    </w:p>
    <w:p>
      <w:pPr>
        <w:pStyle w:val="3"/>
        <w:spacing w:before="8" w:line="266" w:lineRule="auto"/>
        <w:jc w:val="both"/>
      </w:pPr>
      <w:r>
        <w:t>第十一条 机关、事业单位和国有大型企业不得强制要求以审计机关的审计结果作为结算依据，但合同另有约定或者法律、行政法规另有规定的除外。</w:t>
      </w:r>
    </w:p>
    <w:p>
      <w:pPr>
        <w:pStyle w:val="3"/>
        <w:tabs>
          <w:tab w:val="left" w:pos="2076"/>
        </w:tabs>
        <w:spacing w:before="5" w:line="266" w:lineRule="auto"/>
        <w:ind w:right="114"/>
      </w:pPr>
      <w:r>
        <w:t>第</w:t>
      </w:r>
      <w:r>
        <w:rPr>
          <w:spacing w:val="-3"/>
        </w:rPr>
        <w:t>十</w:t>
      </w:r>
      <w:r>
        <w:t>二条</w:t>
      </w:r>
      <w:r>
        <w:tab/>
      </w:r>
      <w:r>
        <w:rPr>
          <w:spacing w:val="-1"/>
        </w:rPr>
        <w:t>除</w:t>
      </w:r>
      <w:r>
        <w:rPr>
          <w:spacing w:val="-3"/>
        </w:rPr>
        <w:t>依</w:t>
      </w:r>
      <w:r>
        <w:t>法设</w:t>
      </w:r>
      <w:r>
        <w:rPr>
          <w:spacing w:val="-3"/>
        </w:rPr>
        <w:t>立</w:t>
      </w:r>
      <w:r>
        <w:t>的投</w:t>
      </w:r>
      <w:r>
        <w:rPr>
          <w:spacing w:val="-3"/>
        </w:rPr>
        <w:t>标</w:t>
      </w:r>
      <w:r>
        <w:t>保证</w:t>
      </w:r>
      <w:r>
        <w:rPr>
          <w:spacing w:val="-3"/>
        </w:rPr>
        <w:t>金</w:t>
      </w:r>
      <w:r>
        <w:rPr>
          <w:spacing w:val="-15"/>
        </w:rPr>
        <w:t>、</w:t>
      </w:r>
      <w:r>
        <w:t>履</w:t>
      </w:r>
      <w:r>
        <w:rPr>
          <w:spacing w:val="-3"/>
        </w:rPr>
        <w:t>约</w:t>
      </w:r>
      <w:r>
        <w:t>保证金</w:t>
      </w:r>
      <w:r>
        <w:rPr>
          <w:spacing w:val="-17"/>
        </w:rPr>
        <w:t>、</w:t>
      </w:r>
      <w:r>
        <w:t>工</w:t>
      </w:r>
      <w:r>
        <w:rPr>
          <w:spacing w:val="-3"/>
        </w:rPr>
        <w:t>程</w:t>
      </w:r>
      <w:r>
        <w:t>质量</w:t>
      </w:r>
      <w:r>
        <w:rPr>
          <w:spacing w:val="-3"/>
        </w:rPr>
        <w:t>保</w:t>
      </w:r>
      <w:r>
        <w:t>证金、农</w:t>
      </w:r>
      <w:r>
        <w:rPr>
          <w:spacing w:val="-3"/>
        </w:rPr>
        <w:t>民</w:t>
      </w:r>
      <w:r>
        <w:t>工工</w:t>
      </w:r>
      <w:r>
        <w:rPr>
          <w:spacing w:val="-3"/>
        </w:rPr>
        <w:t>资</w:t>
      </w:r>
      <w:r>
        <w:t>保证</w:t>
      </w:r>
      <w:r>
        <w:rPr>
          <w:spacing w:val="-3"/>
        </w:rPr>
        <w:t>金</w:t>
      </w:r>
      <w:r>
        <w:t>外，</w:t>
      </w:r>
      <w:r>
        <w:rPr>
          <w:spacing w:val="-3"/>
        </w:rPr>
        <w:t>工</w:t>
      </w:r>
      <w:r>
        <w:t>程建</w:t>
      </w:r>
      <w:r>
        <w:rPr>
          <w:spacing w:val="-3"/>
        </w:rPr>
        <w:t>设</w:t>
      </w:r>
      <w:r>
        <w:t>中不</w:t>
      </w:r>
      <w:r>
        <w:rPr>
          <w:spacing w:val="-3"/>
        </w:rPr>
        <w:t>得</w:t>
      </w:r>
      <w:r>
        <w:t>收取</w:t>
      </w:r>
      <w:r>
        <w:rPr>
          <w:spacing w:val="-3"/>
        </w:rPr>
        <w:t>其</w:t>
      </w:r>
      <w:r>
        <w:t>他保</w:t>
      </w:r>
      <w:r>
        <w:rPr>
          <w:spacing w:val="-3"/>
        </w:rPr>
        <w:t>证</w:t>
      </w:r>
      <w:r>
        <w:t>金。</w:t>
      </w:r>
      <w:r>
        <w:rPr>
          <w:spacing w:val="-3"/>
        </w:rPr>
        <w:t>保</w:t>
      </w:r>
      <w:r>
        <w:t>证金</w:t>
      </w:r>
      <w:r>
        <w:rPr>
          <w:spacing w:val="-3"/>
        </w:rPr>
        <w:t>的</w:t>
      </w:r>
      <w:r>
        <w:t>收取比 例</w:t>
      </w:r>
      <w:r>
        <w:rPr>
          <w:spacing w:val="-3"/>
        </w:rPr>
        <w:t>应</w:t>
      </w:r>
      <w:r>
        <w:t>当符</w:t>
      </w:r>
      <w:r>
        <w:rPr>
          <w:spacing w:val="-3"/>
        </w:rPr>
        <w:t>合</w:t>
      </w:r>
      <w:r>
        <w:t>国家</w:t>
      </w:r>
      <w:r>
        <w:rPr>
          <w:spacing w:val="-3"/>
        </w:rPr>
        <w:t>有</w:t>
      </w:r>
      <w:r>
        <w:t>关规</w:t>
      </w:r>
      <w:r>
        <w:rPr>
          <w:spacing w:val="-3"/>
        </w:rPr>
        <w:t>定</w:t>
      </w:r>
      <w:r>
        <w:t>。</w:t>
      </w:r>
    </w:p>
    <w:p>
      <w:pPr>
        <w:pStyle w:val="3"/>
        <w:spacing w:before="6" w:line="266" w:lineRule="auto"/>
      </w:pPr>
      <w:r>
        <w:t>机关、事业单位和大型企业不得将保证金限定为现金。中小企业以金融机构保函提供保证的，机关、事业单位和大型企业应当接受。</w:t>
      </w:r>
    </w:p>
    <w:p>
      <w:pPr>
        <w:pStyle w:val="3"/>
        <w:spacing w:before="3" w:line="268" w:lineRule="auto"/>
      </w:pPr>
      <w:r>
        <w:t>机关、事业单位和大型企业应当按照合同约定，在保证期限届满后及时与中小企业对收取的保证金进行核实和结算。</w:t>
      </w:r>
    </w:p>
    <w:p>
      <w:pPr>
        <w:pStyle w:val="3"/>
        <w:tabs>
          <w:tab w:val="left" w:pos="2076"/>
        </w:tabs>
        <w:spacing w:line="268" w:lineRule="auto"/>
      </w:pPr>
      <w:r>
        <w:t>第</w:t>
      </w:r>
      <w:r>
        <w:rPr>
          <w:spacing w:val="-3"/>
        </w:rPr>
        <w:t>十</w:t>
      </w:r>
      <w:r>
        <w:t>三条</w:t>
      </w:r>
      <w:r>
        <w:tab/>
      </w:r>
      <w:r>
        <w:rPr>
          <w:spacing w:val="-1"/>
        </w:rPr>
        <w:t>机</w:t>
      </w:r>
      <w:r>
        <w:rPr>
          <w:spacing w:val="-3"/>
        </w:rPr>
        <w:t>关</w:t>
      </w:r>
      <w:r>
        <w:t>、事</w:t>
      </w:r>
      <w:r>
        <w:rPr>
          <w:spacing w:val="-3"/>
        </w:rPr>
        <w:t>业</w:t>
      </w:r>
      <w:r>
        <w:t>单位</w:t>
      </w:r>
      <w:r>
        <w:rPr>
          <w:spacing w:val="-3"/>
        </w:rPr>
        <w:t>和</w:t>
      </w:r>
      <w:r>
        <w:t>大型</w:t>
      </w:r>
      <w:r>
        <w:rPr>
          <w:spacing w:val="-3"/>
        </w:rPr>
        <w:t>企</w:t>
      </w:r>
      <w:r>
        <w:t>业不</w:t>
      </w:r>
      <w:r>
        <w:rPr>
          <w:spacing w:val="-3"/>
        </w:rPr>
        <w:t>得</w:t>
      </w:r>
      <w:r>
        <w:t>以法</w:t>
      </w:r>
      <w:r>
        <w:rPr>
          <w:spacing w:val="-3"/>
        </w:rPr>
        <w:t>定</w:t>
      </w:r>
      <w:r>
        <w:t>代表</w:t>
      </w:r>
      <w:r>
        <w:rPr>
          <w:spacing w:val="-3"/>
        </w:rPr>
        <w:t>人</w:t>
      </w:r>
      <w:r>
        <w:t>或者</w:t>
      </w:r>
      <w:r>
        <w:rPr>
          <w:spacing w:val="-3"/>
        </w:rPr>
        <w:t>主</w:t>
      </w:r>
      <w:r>
        <w:t>要负</w:t>
      </w:r>
      <w:r>
        <w:rPr>
          <w:spacing w:val="-1"/>
        </w:rPr>
        <w:t>责</w:t>
      </w:r>
      <w:r>
        <w:rPr>
          <w:spacing w:val="-3"/>
        </w:rPr>
        <w:t>人</w:t>
      </w:r>
      <w:r>
        <w:rPr>
          <w:spacing w:val="-1"/>
        </w:rPr>
        <w:t>变更</w:t>
      </w:r>
      <w:r>
        <w:rPr>
          <w:spacing w:val="-3"/>
        </w:rPr>
        <w:t>，</w:t>
      </w:r>
      <w:r>
        <w:t>履行</w:t>
      </w:r>
      <w:r>
        <w:rPr>
          <w:spacing w:val="-3"/>
        </w:rPr>
        <w:t>内</w:t>
      </w:r>
      <w:r>
        <w:t>部付</w:t>
      </w:r>
      <w:r>
        <w:rPr>
          <w:spacing w:val="-3"/>
        </w:rPr>
        <w:t>款</w:t>
      </w:r>
      <w:r>
        <w:t>流程</w:t>
      </w:r>
      <w:r>
        <w:rPr>
          <w:spacing w:val="-3"/>
        </w:rPr>
        <w:t>，</w:t>
      </w:r>
      <w:r>
        <w:t>或者</w:t>
      </w:r>
      <w:r>
        <w:rPr>
          <w:spacing w:val="-3"/>
        </w:rPr>
        <w:t>在</w:t>
      </w:r>
      <w:r>
        <w:t>合同</w:t>
      </w:r>
      <w:r>
        <w:rPr>
          <w:spacing w:val="-3"/>
        </w:rPr>
        <w:t>未</w:t>
      </w:r>
      <w:r>
        <w:t>作约</w:t>
      </w:r>
      <w:r>
        <w:rPr>
          <w:spacing w:val="-3"/>
        </w:rPr>
        <w:t>定</w:t>
      </w:r>
      <w:r>
        <w:t>的情</w:t>
      </w:r>
      <w:r>
        <w:rPr>
          <w:spacing w:val="-3"/>
        </w:rPr>
        <w:t>况</w:t>
      </w:r>
      <w:r>
        <w:t>下以</w:t>
      </w:r>
      <w:r>
        <w:rPr>
          <w:spacing w:val="-3"/>
        </w:rPr>
        <w:t>等</w:t>
      </w:r>
      <w:r>
        <w:t>待竣工</w:t>
      </w:r>
    </w:p>
    <w:p>
      <w:pPr>
        <w:spacing w:after="0" w:line="268" w:lineRule="auto"/>
        <w:sectPr>
          <w:pgSz w:w="11910" w:h="16840"/>
          <w:pgMar w:top="1580" w:right="1160" w:bottom="1160" w:left="1300" w:header="0" w:footer="978" w:gutter="0"/>
          <w:cols w:space="720" w:num="1"/>
        </w:sectPr>
      </w:pPr>
    </w:p>
    <w:p>
      <w:pPr>
        <w:pStyle w:val="3"/>
        <w:spacing w:before="144"/>
        <w:ind w:right="0" w:firstLine="0"/>
      </w:pPr>
      <w:r>
        <w:t>验收批复、决算审计等为由，拒绝或者迟延支付中小企业款项。</w:t>
      </w:r>
    </w:p>
    <w:p>
      <w:pPr>
        <w:pStyle w:val="3"/>
        <w:tabs>
          <w:tab w:val="left" w:pos="2076"/>
        </w:tabs>
        <w:spacing w:before="42" w:line="266" w:lineRule="auto"/>
        <w:ind w:right="253"/>
      </w:pPr>
      <w:r>
        <w:t>第</w:t>
      </w:r>
      <w:r>
        <w:rPr>
          <w:spacing w:val="-3"/>
        </w:rPr>
        <w:t>十</w:t>
      </w:r>
      <w:r>
        <w:t>四条</w:t>
      </w:r>
      <w:r>
        <w:tab/>
      </w:r>
      <w:r>
        <w:t>中</w:t>
      </w:r>
      <w:r>
        <w:rPr>
          <w:spacing w:val="-3"/>
        </w:rPr>
        <w:t>小</w:t>
      </w:r>
      <w:r>
        <w:t>企业</w:t>
      </w:r>
      <w:r>
        <w:rPr>
          <w:spacing w:val="-3"/>
        </w:rPr>
        <w:t>以</w:t>
      </w:r>
      <w:r>
        <w:t>应收</w:t>
      </w:r>
      <w:r>
        <w:rPr>
          <w:spacing w:val="-3"/>
        </w:rPr>
        <w:t>账</w:t>
      </w:r>
      <w:r>
        <w:t>款担</w:t>
      </w:r>
      <w:r>
        <w:rPr>
          <w:spacing w:val="-3"/>
        </w:rPr>
        <w:t>保</w:t>
      </w:r>
      <w:r>
        <w:t>融资</w:t>
      </w:r>
      <w:r>
        <w:rPr>
          <w:spacing w:val="-3"/>
        </w:rPr>
        <w:t>的</w:t>
      </w:r>
      <w:r>
        <w:t>，机</w:t>
      </w:r>
      <w:r>
        <w:rPr>
          <w:spacing w:val="-3"/>
        </w:rPr>
        <w:t>关</w:t>
      </w:r>
      <w:r>
        <w:t>、事</w:t>
      </w:r>
      <w:r>
        <w:rPr>
          <w:spacing w:val="-3"/>
        </w:rPr>
        <w:t>业</w:t>
      </w:r>
      <w:r>
        <w:t>单位</w:t>
      </w:r>
      <w:r>
        <w:rPr>
          <w:spacing w:val="-3"/>
        </w:rPr>
        <w:t>和</w:t>
      </w:r>
      <w:r>
        <w:t>大型企</w:t>
      </w:r>
      <w:r>
        <w:rPr>
          <w:spacing w:val="-3"/>
        </w:rPr>
        <w:t>业</w:t>
      </w:r>
      <w:r>
        <w:t>应当</w:t>
      </w:r>
      <w:r>
        <w:rPr>
          <w:spacing w:val="-3"/>
        </w:rPr>
        <w:t>自</w:t>
      </w:r>
      <w:r>
        <w:t>中小</w:t>
      </w:r>
      <w:r>
        <w:rPr>
          <w:spacing w:val="-3"/>
        </w:rPr>
        <w:t>企</w:t>
      </w:r>
      <w:r>
        <w:t>业提</w:t>
      </w:r>
      <w:r>
        <w:rPr>
          <w:spacing w:val="-3"/>
        </w:rPr>
        <w:t>出</w:t>
      </w:r>
      <w:r>
        <w:t>确权</w:t>
      </w:r>
      <w:r>
        <w:rPr>
          <w:spacing w:val="-3"/>
        </w:rPr>
        <w:t>请</w:t>
      </w:r>
      <w:r>
        <w:t>求之</w:t>
      </w:r>
      <w:r>
        <w:rPr>
          <w:spacing w:val="-3"/>
        </w:rPr>
        <w:t>日</w:t>
      </w:r>
      <w:r>
        <w:t>起</w:t>
      </w:r>
      <w:r>
        <w:rPr>
          <w:spacing w:val="-65"/>
        </w:rPr>
        <w:t xml:space="preserve"> </w:t>
      </w:r>
      <w:r>
        <w:rPr>
          <w:rFonts w:ascii="Times New Roman" w:eastAsia="Times New Roman"/>
        </w:rPr>
        <w:t>30</w:t>
      </w:r>
      <w:r>
        <w:rPr>
          <w:rFonts w:ascii="Times New Roman" w:eastAsia="Times New Roman"/>
          <w:spacing w:val="3"/>
        </w:rPr>
        <w:t xml:space="preserve"> </w:t>
      </w:r>
      <w:r>
        <w:t>日</w:t>
      </w:r>
      <w:r>
        <w:rPr>
          <w:spacing w:val="-3"/>
        </w:rPr>
        <w:t>内</w:t>
      </w:r>
      <w:r>
        <w:t>确认</w:t>
      </w:r>
      <w:r>
        <w:rPr>
          <w:spacing w:val="-3"/>
        </w:rPr>
        <w:t>债</w:t>
      </w:r>
      <w:r>
        <w:t>权债</w:t>
      </w:r>
      <w:r>
        <w:rPr>
          <w:spacing w:val="-3"/>
        </w:rPr>
        <w:t>务</w:t>
      </w:r>
      <w:r>
        <w:t>关系</w:t>
      </w:r>
      <w:r>
        <w:rPr>
          <w:spacing w:val="-29"/>
        </w:rPr>
        <w:t>，</w:t>
      </w:r>
      <w:r>
        <w:t>支持中</w:t>
      </w:r>
      <w:r>
        <w:rPr>
          <w:spacing w:val="-3"/>
        </w:rPr>
        <w:t>小</w:t>
      </w:r>
      <w:r>
        <w:t>企业</w:t>
      </w:r>
      <w:r>
        <w:rPr>
          <w:spacing w:val="-3"/>
        </w:rPr>
        <w:t>融</w:t>
      </w:r>
      <w:r>
        <w:t>资。</w:t>
      </w:r>
    </w:p>
    <w:p>
      <w:pPr>
        <w:pStyle w:val="3"/>
        <w:spacing w:before="5" w:line="266" w:lineRule="auto"/>
        <w:jc w:val="both"/>
      </w:pPr>
      <w:r>
        <w:rPr>
          <w:spacing w:val="-3"/>
        </w:rPr>
        <w:t>第十五条 机关、事业单位和大型企业迟延支付中小企业款项的，应当支付逾期利息。双方对逾期利息的利率有约定的，约定利率不得低于合</w:t>
      </w:r>
      <w:r>
        <w:rPr>
          <w:spacing w:val="-15"/>
        </w:rPr>
        <w:t xml:space="preserve">同订立时 </w:t>
      </w:r>
      <w:r>
        <w:rPr>
          <w:rFonts w:ascii="Times New Roman" w:eastAsia="Times New Roman"/>
        </w:rPr>
        <w:t>1</w:t>
      </w:r>
      <w:r>
        <w:rPr>
          <w:rFonts w:ascii="Times New Roman" w:eastAsia="Times New Roman"/>
          <w:spacing w:val="5"/>
        </w:rPr>
        <w:t xml:space="preserve"> </w:t>
      </w:r>
      <w:r>
        <w:rPr>
          <w:spacing w:val="-3"/>
        </w:rPr>
        <w:t>年期贷款市场报价利率；未作约定的，按照每日利率万分之五支付逾期利息。</w:t>
      </w:r>
    </w:p>
    <w:p>
      <w:pPr>
        <w:pStyle w:val="3"/>
        <w:tabs>
          <w:tab w:val="left" w:pos="2076"/>
        </w:tabs>
        <w:spacing w:before="5" w:line="268" w:lineRule="auto"/>
        <w:ind w:right="253"/>
      </w:pPr>
      <w:r>
        <w:t>第</w:t>
      </w:r>
      <w:r>
        <w:rPr>
          <w:spacing w:val="-3"/>
        </w:rPr>
        <w:t>十</w:t>
      </w:r>
      <w:r>
        <w:t>六条</w:t>
      </w:r>
      <w:r>
        <w:tab/>
      </w:r>
      <w:r>
        <w:t>机</w:t>
      </w:r>
      <w:r>
        <w:rPr>
          <w:spacing w:val="-3"/>
        </w:rPr>
        <w:t>关</w:t>
      </w:r>
      <w:r>
        <w:rPr>
          <w:spacing w:val="-29"/>
        </w:rPr>
        <w:t>、</w:t>
      </w:r>
      <w:r>
        <w:t>事</w:t>
      </w:r>
      <w:r>
        <w:rPr>
          <w:spacing w:val="-3"/>
        </w:rPr>
        <w:t>业</w:t>
      </w:r>
      <w:r>
        <w:t>单位</w:t>
      </w:r>
      <w:r>
        <w:rPr>
          <w:spacing w:val="-3"/>
        </w:rPr>
        <w:t>应</w:t>
      </w:r>
      <w:r>
        <w:t>当于</w:t>
      </w:r>
      <w:r>
        <w:rPr>
          <w:spacing w:val="-3"/>
        </w:rPr>
        <w:t>每</w:t>
      </w:r>
      <w:r>
        <w:t>年</w:t>
      </w:r>
      <w:r>
        <w:rPr>
          <w:spacing w:val="-67"/>
        </w:rPr>
        <w:t xml:space="preserve"> </w:t>
      </w:r>
      <w:r>
        <w:rPr>
          <w:rFonts w:ascii="Times New Roman" w:eastAsia="Times New Roman"/>
        </w:rPr>
        <w:t xml:space="preserve">3 </w:t>
      </w:r>
      <w:r>
        <w:t>月</w:t>
      </w:r>
      <w:r>
        <w:rPr>
          <w:spacing w:val="-68"/>
        </w:rPr>
        <w:t xml:space="preserve"> </w:t>
      </w:r>
      <w:r>
        <w:rPr>
          <w:rFonts w:ascii="Times New Roman" w:eastAsia="Times New Roman"/>
        </w:rPr>
        <w:t>31</w:t>
      </w:r>
      <w:r>
        <w:rPr>
          <w:rFonts w:ascii="Times New Roman" w:eastAsia="Times New Roman"/>
          <w:spacing w:val="2"/>
        </w:rPr>
        <w:t xml:space="preserve"> </w:t>
      </w:r>
      <w:r>
        <w:t>日</w:t>
      </w:r>
      <w:r>
        <w:rPr>
          <w:spacing w:val="-3"/>
        </w:rPr>
        <w:t>前</w:t>
      </w:r>
      <w:r>
        <w:t>将上</w:t>
      </w:r>
      <w:r>
        <w:rPr>
          <w:spacing w:val="-3"/>
        </w:rPr>
        <w:t>一</w:t>
      </w:r>
      <w:r>
        <w:t>年度</w:t>
      </w:r>
      <w:r>
        <w:rPr>
          <w:spacing w:val="-3"/>
        </w:rPr>
        <w:t>逾</w:t>
      </w:r>
      <w:r>
        <w:t>期尚未</w:t>
      </w:r>
      <w:r>
        <w:rPr>
          <w:spacing w:val="-3"/>
        </w:rPr>
        <w:t>支</w:t>
      </w:r>
      <w:r>
        <w:t>付中</w:t>
      </w:r>
      <w:r>
        <w:rPr>
          <w:spacing w:val="-3"/>
        </w:rPr>
        <w:t>小</w:t>
      </w:r>
      <w:r>
        <w:t>企业</w:t>
      </w:r>
      <w:r>
        <w:rPr>
          <w:spacing w:val="-3"/>
        </w:rPr>
        <w:t>款</w:t>
      </w:r>
      <w:r>
        <w:t>项的</w:t>
      </w:r>
      <w:r>
        <w:rPr>
          <w:spacing w:val="-3"/>
        </w:rPr>
        <w:t>合</w:t>
      </w:r>
      <w:r>
        <w:t>同数</w:t>
      </w:r>
      <w:r>
        <w:rPr>
          <w:spacing w:val="-3"/>
        </w:rPr>
        <w:t>量</w:t>
      </w:r>
      <w:r>
        <w:t>、金</w:t>
      </w:r>
      <w:r>
        <w:rPr>
          <w:spacing w:val="-3"/>
        </w:rPr>
        <w:t>额</w:t>
      </w:r>
      <w:r>
        <w:t>等信</w:t>
      </w:r>
      <w:r>
        <w:rPr>
          <w:spacing w:val="-3"/>
        </w:rPr>
        <w:t>息</w:t>
      </w:r>
      <w:r>
        <w:t>通过</w:t>
      </w:r>
      <w:r>
        <w:rPr>
          <w:spacing w:val="-3"/>
        </w:rPr>
        <w:t>网</w:t>
      </w:r>
      <w:r>
        <w:t>站、</w:t>
      </w:r>
      <w:r>
        <w:rPr>
          <w:spacing w:val="-3"/>
        </w:rPr>
        <w:t>报</w:t>
      </w:r>
      <w:r>
        <w:t>刊等</w:t>
      </w:r>
      <w:r>
        <w:rPr>
          <w:spacing w:val="-3"/>
        </w:rPr>
        <w:t>便</w:t>
      </w:r>
      <w:r>
        <w:t>于公众知</w:t>
      </w:r>
      <w:r>
        <w:rPr>
          <w:spacing w:val="-3"/>
        </w:rPr>
        <w:t>晓</w:t>
      </w:r>
      <w:r>
        <w:t>的方</w:t>
      </w:r>
      <w:r>
        <w:rPr>
          <w:spacing w:val="-3"/>
        </w:rPr>
        <w:t>式</w:t>
      </w:r>
      <w:r>
        <w:t>公开。</w:t>
      </w:r>
    </w:p>
    <w:p>
      <w:pPr>
        <w:pStyle w:val="3"/>
        <w:spacing w:line="268" w:lineRule="auto"/>
      </w:pPr>
      <w:r>
        <w:t>大型企业应当将逾期尚未支付中小企业款项的合同数量、金额等信息纳入企业年度报告，通过企业信用信息公示系统向社会公示。</w:t>
      </w:r>
    </w:p>
    <w:p>
      <w:pPr>
        <w:pStyle w:val="3"/>
        <w:spacing w:line="266" w:lineRule="auto"/>
        <w:jc w:val="both"/>
      </w:pPr>
      <w:r>
        <w:t>第十七条 省级以上人民政府负责中小企业促进工作综合管理的部门应当建立便利畅通的渠道，受理对机关、事业单位和大型企业拒绝或者迟延支付中小企业款项的投诉。</w:t>
      </w:r>
    </w:p>
    <w:p>
      <w:pPr>
        <w:pStyle w:val="3"/>
        <w:spacing w:line="266" w:lineRule="auto"/>
        <w:ind w:right="120"/>
      </w:pPr>
      <w:r>
        <w:rPr>
          <w:spacing w:val="-3"/>
        </w:rPr>
        <w:t>受理投诉部门应当按照</w:t>
      </w:r>
      <w:r>
        <w:rPr>
          <w:rFonts w:ascii="Times New Roman" w:hAnsi="Times New Roman" w:eastAsia="Times New Roman"/>
        </w:rPr>
        <w:t>“</w:t>
      </w:r>
      <w:r>
        <w:rPr>
          <w:spacing w:val="-3"/>
        </w:rPr>
        <w:t>属地管理、分级负责，谁主管谁负责</w:t>
      </w:r>
      <w:r>
        <w:rPr>
          <w:rFonts w:ascii="Times New Roman" w:hAnsi="Times New Roman" w:eastAsia="Times New Roman"/>
          <w:spacing w:val="-3"/>
        </w:rPr>
        <w:t>”</w:t>
      </w:r>
      <w:r>
        <w:rPr>
          <w:spacing w:val="-2"/>
        </w:rPr>
        <w:t xml:space="preserve">的原则， </w:t>
      </w:r>
      <w:r>
        <w:rPr>
          <w:spacing w:val="-3"/>
        </w:rPr>
        <w:t>及时将投诉转交有关部门、地方人民政府处理，有关部门、地方人民政府 应当依法及时处理，并将处理结果告知投诉人，同时反馈受理投诉部门。</w:t>
      </w:r>
    </w:p>
    <w:p>
      <w:pPr>
        <w:pStyle w:val="3"/>
        <w:spacing w:before="4" w:line="266" w:lineRule="auto"/>
        <w:jc w:val="both"/>
      </w:pPr>
      <w:r>
        <w:t>机关、事业单位和大型企业不履行及时支付中小企业款项义务，情节严重的，受理投诉部门可以依法依规将其失信信息纳入全国信用信息共享平台，并将相关涉企信息通过企业信用信息公示系统向社会公示，依法实施失信惩戒。</w:t>
      </w:r>
    </w:p>
    <w:p>
      <w:pPr>
        <w:pStyle w:val="3"/>
        <w:spacing w:before="5" w:line="268" w:lineRule="auto"/>
        <w:jc w:val="both"/>
      </w:pPr>
      <w:r>
        <w:t>第十八条 被投诉的机关、事业单位和大型企业及其工作人员不得以任何形式对投诉人进行恐吓、打击报复。</w:t>
      </w:r>
    </w:p>
    <w:p>
      <w:pPr>
        <w:pStyle w:val="3"/>
        <w:spacing w:line="266" w:lineRule="auto"/>
        <w:jc w:val="both"/>
      </w:pPr>
      <w:r>
        <w:t>第十九条 对拒绝或者迟延支付中小企业款项的机关、事业单位，应当在公务消费、办公用房、经费安排等方面采取必要的限制措施。</w:t>
      </w:r>
    </w:p>
    <w:p>
      <w:pPr>
        <w:pStyle w:val="3"/>
        <w:spacing w:before="1" w:line="268" w:lineRule="auto"/>
        <w:jc w:val="both"/>
      </w:pPr>
      <w:r>
        <w:t>第二十条 审计机关依法对机关、事业单位和国有大型企业支付中小企业款项情况实施审计监督。</w:t>
      </w:r>
    </w:p>
    <w:p>
      <w:pPr>
        <w:pStyle w:val="3"/>
        <w:spacing w:line="268" w:lineRule="auto"/>
        <w:jc w:val="both"/>
      </w:pPr>
      <w:r>
        <w:t>第二十一条 省级以上人民政府建立督查制度，对及时支付中小企业款项工作进行监督检查。</w:t>
      </w:r>
    </w:p>
    <w:p>
      <w:pPr>
        <w:pStyle w:val="3"/>
        <w:tabs>
          <w:tab w:val="left" w:pos="2357"/>
        </w:tabs>
        <w:spacing w:line="266" w:lineRule="auto"/>
        <w:ind w:right="644"/>
      </w:pPr>
      <w:r>
        <w:t>第</w:t>
      </w:r>
      <w:r>
        <w:rPr>
          <w:spacing w:val="-3"/>
        </w:rPr>
        <w:t>二</w:t>
      </w:r>
      <w:r>
        <w:t>十二条</w:t>
      </w:r>
      <w:r>
        <w:tab/>
      </w:r>
      <w:r>
        <w:rPr>
          <w:spacing w:val="-1"/>
        </w:rPr>
        <w:t>国</w:t>
      </w:r>
      <w:r>
        <w:rPr>
          <w:spacing w:val="-3"/>
        </w:rPr>
        <w:t>家</w:t>
      </w:r>
      <w:r>
        <w:t>依法</w:t>
      </w:r>
      <w:r>
        <w:rPr>
          <w:spacing w:val="-3"/>
        </w:rPr>
        <w:t>开</w:t>
      </w:r>
      <w:r>
        <w:t>展中</w:t>
      </w:r>
      <w:r>
        <w:rPr>
          <w:spacing w:val="-3"/>
        </w:rPr>
        <w:t>小</w:t>
      </w:r>
      <w:r>
        <w:t>企业</w:t>
      </w:r>
      <w:r>
        <w:rPr>
          <w:spacing w:val="-3"/>
        </w:rPr>
        <w:t>发</w:t>
      </w:r>
      <w:r>
        <w:t>展环</w:t>
      </w:r>
      <w:r>
        <w:rPr>
          <w:spacing w:val="-3"/>
        </w:rPr>
        <w:t>境</w:t>
      </w:r>
      <w:r>
        <w:t>评估</w:t>
      </w:r>
      <w:r>
        <w:rPr>
          <w:spacing w:val="-3"/>
        </w:rPr>
        <w:t>和</w:t>
      </w:r>
      <w:r>
        <w:t>营商</w:t>
      </w:r>
      <w:r>
        <w:rPr>
          <w:spacing w:val="-3"/>
        </w:rPr>
        <w:t>环</w:t>
      </w:r>
      <w:r>
        <w:t>境评价时</w:t>
      </w:r>
      <w:r>
        <w:rPr>
          <w:spacing w:val="-3"/>
        </w:rPr>
        <w:t>，</w:t>
      </w:r>
      <w:r>
        <w:t>应当</w:t>
      </w:r>
      <w:r>
        <w:rPr>
          <w:spacing w:val="-3"/>
        </w:rPr>
        <w:t>将</w:t>
      </w:r>
      <w:r>
        <w:t>及时</w:t>
      </w:r>
      <w:r>
        <w:rPr>
          <w:spacing w:val="-3"/>
        </w:rPr>
        <w:t>支</w:t>
      </w:r>
      <w:r>
        <w:t>付中</w:t>
      </w:r>
      <w:r>
        <w:rPr>
          <w:spacing w:val="-3"/>
        </w:rPr>
        <w:t>小</w:t>
      </w:r>
      <w:r>
        <w:t>企业</w:t>
      </w:r>
      <w:r>
        <w:rPr>
          <w:spacing w:val="-3"/>
        </w:rPr>
        <w:t>款</w:t>
      </w:r>
      <w:r>
        <w:t>项工</w:t>
      </w:r>
      <w:r>
        <w:rPr>
          <w:spacing w:val="-3"/>
        </w:rPr>
        <w:t>作</w:t>
      </w:r>
      <w:r>
        <w:t>情况</w:t>
      </w:r>
      <w:r>
        <w:rPr>
          <w:spacing w:val="-3"/>
        </w:rPr>
        <w:t>纳</w:t>
      </w:r>
      <w:r>
        <w:t>入评</w:t>
      </w:r>
      <w:r>
        <w:rPr>
          <w:spacing w:val="-3"/>
        </w:rPr>
        <w:t>估</w:t>
      </w:r>
      <w:r>
        <w:t>和评</w:t>
      </w:r>
      <w:r>
        <w:rPr>
          <w:spacing w:val="-3"/>
        </w:rPr>
        <w:t>价</w:t>
      </w:r>
      <w:r>
        <w:t>内容。</w:t>
      </w:r>
    </w:p>
    <w:p>
      <w:pPr>
        <w:pStyle w:val="3"/>
        <w:tabs>
          <w:tab w:val="left" w:pos="2357"/>
        </w:tabs>
        <w:ind w:left="677" w:right="0" w:firstLine="0"/>
      </w:pPr>
      <w:r>
        <w:t>第</w:t>
      </w:r>
      <w:r>
        <w:rPr>
          <w:spacing w:val="-3"/>
        </w:rPr>
        <w:t>二</w:t>
      </w:r>
      <w:r>
        <w:t>十三条</w:t>
      </w:r>
      <w:r>
        <w:tab/>
      </w:r>
      <w:r>
        <w:t>国</w:t>
      </w:r>
      <w:r>
        <w:rPr>
          <w:spacing w:val="-3"/>
        </w:rPr>
        <w:t>务</w:t>
      </w:r>
      <w:r>
        <w:t>院负</w:t>
      </w:r>
      <w:r>
        <w:rPr>
          <w:spacing w:val="-3"/>
        </w:rPr>
        <w:t>责</w:t>
      </w:r>
      <w:r>
        <w:t>中小</w:t>
      </w:r>
      <w:r>
        <w:rPr>
          <w:spacing w:val="-3"/>
        </w:rPr>
        <w:t>企</w:t>
      </w:r>
      <w:r>
        <w:t>业促</w:t>
      </w:r>
      <w:r>
        <w:rPr>
          <w:spacing w:val="-3"/>
        </w:rPr>
        <w:t>进</w:t>
      </w:r>
      <w:r>
        <w:t>工作</w:t>
      </w:r>
      <w:r>
        <w:rPr>
          <w:spacing w:val="-3"/>
        </w:rPr>
        <w:t>综</w:t>
      </w:r>
      <w:r>
        <w:t>合管</w:t>
      </w:r>
      <w:r>
        <w:rPr>
          <w:spacing w:val="-3"/>
        </w:rPr>
        <w:t>理</w:t>
      </w:r>
      <w:r>
        <w:t>的部</w:t>
      </w:r>
      <w:r>
        <w:rPr>
          <w:spacing w:val="-3"/>
        </w:rPr>
        <w:t>门</w:t>
      </w:r>
      <w:r>
        <w:t>依据</w:t>
      </w:r>
      <w:r>
        <w:rPr>
          <w:spacing w:val="-3"/>
        </w:rPr>
        <w:t>国</w:t>
      </w:r>
      <w:r>
        <w:t>务</w:t>
      </w:r>
    </w:p>
    <w:p>
      <w:pPr>
        <w:spacing w:after="0"/>
        <w:sectPr>
          <w:pgSz w:w="11910" w:h="16840"/>
          <w:pgMar w:top="1580" w:right="1160" w:bottom="1160" w:left="1300" w:header="0" w:footer="978" w:gutter="0"/>
          <w:cols w:space="720" w:num="1"/>
        </w:sectPr>
      </w:pPr>
    </w:p>
    <w:p>
      <w:pPr>
        <w:pStyle w:val="3"/>
        <w:spacing w:before="144" w:line="268" w:lineRule="auto"/>
        <w:ind w:firstLine="0"/>
      </w:pPr>
      <w:r>
        <w:t>院批准的中小企业划分标准，建立企业规模类型测试平台，提供中小企业规模类型自测服务。</w:t>
      </w:r>
    </w:p>
    <w:p>
      <w:pPr>
        <w:pStyle w:val="3"/>
        <w:tabs>
          <w:tab w:val="left" w:pos="1795"/>
        </w:tabs>
        <w:spacing w:line="268" w:lineRule="auto"/>
        <w:jc w:val="right"/>
      </w:pPr>
      <w:r>
        <w:rPr>
          <w:spacing w:val="-1"/>
        </w:rPr>
        <w:t>对</w:t>
      </w:r>
      <w:r>
        <w:rPr>
          <w:spacing w:val="-3"/>
        </w:rPr>
        <w:t>中</w:t>
      </w:r>
      <w:r>
        <w:rPr>
          <w:spacing w:val="-1"/>
        </w:rPr>
        <w:t>小企</w:t>
      </w:r>
      <w:r>
        <w:rPr>
          <w:spacing w:val="-3"/>
        </w:rPr>
        <w:t>业</w:t>
      </w:r>
      <w:r>
        <w:rPr>
          <w:spacing w:val="-1"/>
        </w:rPr>
        <w:t>规模</w:t>
      </w:r>
      <w:r>
        <w:rPr>
          <w:spacing w:val="-3"/>
        </w:rPr>
        <w:t>类</w:t>
      </w:r>
      <w:r>
        <w:rPr>
          <w:spacing w:val="-1"/>
        </w:rPr>
        <w:t>型有</w:t>
      </w:r>
      <w:r>
        <w:rPr>
          <w:spacing w:val="-3"/>
        </w:rPr>
        <w:t>争</w:t>
      </w:r>
      <w:r>
        <w:rPr>
          <w:spacing w:val="-1"/>
        </w:rPr>
        <w:t>议的</w:t>
      </w:r>
      <w:r>
        <w:rPr>
          <w:spacing w:val="-3"/>
        </w:rPr>
        <w:t>，</w:t>
      </w:r>
      <w:r>
        <w:rPr>
          <w:spacing w:val="-1"/>
        </w:rPr>
        <w:t>可以</w:t>
      </w:r>
      <w:r>
        <w:rPr>
          <w:spacing w:val="-3"/>
        </w:rPr>
        <w:t>向</w:t>
      </w:r>
      <w:r>
        <w:rPr>
          <w:spacing w:val="-1"/>
        </w:rPr>
        <w:t>主张</w:t>
      </w:r>
      <w:r>
        <w:rPr>
          <w:spacing w:val="-3"/>
        </w:rPr>
        <w:t>为</w:t>
      </w:r>
      <w:r>
        <w:rPr>
          <w:spacing w:val="-1"/>
        </w:rPr>
        <w:t>中小</w:t>
      </w:r>
      <w:r>
        <w:rPr>
          <w:spacing w:val="-3"/>
        </w:rPr>
        <w:t>企</w:t>
      </w:r>
      <w:r>
        <w:rPr>
          <w:spacing w:val="-1"/>
        </w:rPr>
        <w:t>业一</w:t>
      </w:r>
      <w:r>
        <w:rPr>
          <w:spacing w:val="-3"/>
        </w:rPr>
        <w:t>方</w:t>
      </w:r>
      <w:r>
        <w:rPr>
          <w:spacing w:val="-1"/>
        </w:rPr>
        <w:t>所在</w:t>
      </w:r>
      <w:r>
        <w:rPr>
          <w:spacing w:val="-3"/>
        </w:rPr>
        <w:t>地</w:t>
      </w:r>
      <w:r>
        <w:t>的</w:t>
      </w:r>
      <w:r>
        <w:rPr>
          <w:spacing w:val="-1"/>
        </w:rPr>
        <w:t>县</w:t>
      </w:r>
      <w:r>
        <w:rPr>
          <w:spacing w:val="-3"/>
        </w:rPr>
        <w:t>级</w:t>
      </w:r>
      <w:r>
        <w:rPr>
          <w:spacing w:val="-1"/>
        </w:rPr>
        <w:t>以上</w:t>
      </w:r>
      <w:r>
        <w:rPr>
          <w:spacing w:val="-3"/>
        </w:rPr>
        <w:t>地</w:t>
      </w:r>
      <w:r>
        <w:rPr>
          <w:spacing w:val="-1"/>
        </w:rPr>
        <w:t>方人</w:t>
      </w:r>
      <w:r>
        <w:rPr>
          <w:spacing w:val="-3"/>
        </w:rPr>
        <w:t>民</w:t>
      </w:r>
      <w:r>
        <w:rPr>
          <w:spacing w:val="-1"/>
        </w:rPr>
        <w:t>政府</w:t>
      </w:r>
      <w:r>
        <w:rPr>
          <w:spacing w:val="-3"/>
        </w:rPr>
        <w:t>负</w:t>
      </w:r>
      <w:r>
        <w:rPr>
          <w:spacing w:val="-1"/>
        </w:rPr>
        <w:t>责中</w:t>
      </w:r>
      <w:r>
        <w:rPr>
          <w:spacing w:val="-3"/>
        </w:rPr>
        <w:t>小</w:t>
      </w:r>
      <w:r>
        <w:rPr>
          <w:spacing w:val="-1"/>
        </w:rPr>
        <w:t>企业</w:t>
      </w:r>
      <w:r>
        <w:rPr>
          <w:spacing w:val="-3"/>
        </w:rPr>
        <w:t>促</w:t>
      </w:r>
      <w:r>
        <w:rPr>
          <w:spacing w:val="-1"/>
        </w:rPr>
        <w:t>进工</w:t>
      </w:r>
      <w:r>
        <w:rPr>
          <w:spacing w:val="-3"/>
        </w:rPr>
        <w:t>作</w:t>
      </w:r>
      <w:r>
        <w:rPr>
          <w:spacing w:val="-1"/>
        </w:rPr>
        <w:t>综合</w:t>
      </w:r>
      <w:r>
        <w:rPr>
          <w:spacing w:val="-3"/>
        </w:rPr>
        <w:t>管</w:t>
      </w:r>
      <w:r>
        <w:rPr>
          <w:spacing w:val="-1"/>
        </w:rPr>
        <w:t>理的</w:t>
      </w:r>
      <w:r>
        <w:rPr>
          <w:spacing w:val="-3"/>
        </w:rPr>
        <w:t>部</w:t>
      </w:r>
      <w:r>
        <w:rPr>
          <w:spacing w:val="-1"/>
        </w:rPr>
        <w:t>门申</w:t>
      </w:r>
      <w:r>
        <w:rPr>
          <w:spacing w:val="-3"/>
        </w:rPr>
        <w:t>请</w:t>
      </w:r>
      <w:r>
        <w:rPr>
          <w:spacing w:val="-1"/>
        </w:rPr>
        <w:t>认定</w:t>
      </w:r>
      <w:r>
        <w:t>。第</w:t>
      </w:r>
      <w:r>
        <w:rPr>
          <w:spacing w:val="-3"/>
        </w:rPr>
        <w:t>二</w:t>
      </w:r>
      <w:r>
        <w:t>十四条</w:t>
      </w:r>
      <w:r>
        <w:tab/>
      </w:r>
      <w:r>
        <w:rPr>
          <w:spacing w:val="-1"/>
        </w:rPr>
        <w:t>国</w:t>
      </w:r>
      <w:r>
        <w:rPr>
          <w:spacing w:val="-3"/>
        </w:rPr>
        <w:t>家</w:t>
      </w:r>
      <w:r>
        <w:rPr>
          <w:spacing w:val="-1"/>
        </w:rPr>
        <w:t>鼓励</w:t>
      </w:r>
      <w:r>
        <w:rPr>
          <w:spacing w:val="-3"/>
        </w:rPr>
        <w:t>法</w:t>
      </w:r>
      <w:r>
        <w:rPr>
          <w:spacing w:val="-1"/>
        </w:rPr>
        <w:t>律服</w:t>
      </w:r>
      <w:r>
        <w:rPr>
          <w:spacing w:val="-3"/>
        </w:rPr>
        <w:t>务</w:t>
      </w:r>
      <w:r>
        <w:rPr>
          <w:spacing w:val="-1"/>
        </w:rPr>
        <w:t>机构</w:t>
      </w:r>
      <w:r>
        <w:rPr>
          <w:spacing w:val="-3"/>
        </w:rPr>
        <w:t>为</w:t>
      </w:r>
      <w:r>
        <w:rPr>
          <w:spacing w:val="-1"/>
        </w:rPr>
        <w:t>与机</w:t>
      </w:r>
      <w:r>
        <w:rPr>
          <w:spacing w:val="-3"/>
        </w:rPr>
        <w:t>关</w:t>
      </w:r>
      <w:r>
        <w:rPr>
          <w:spacing w:val="-1"/>
        </w:rPr>
        <w:t>、事</w:t>
      </w:r>
      <w:r>
        <w:rPr>
          <w:spacing w:val="-3"/>
        </w:rPr>
        <w:t>业</w:t>
      </w:r>
      <w:r>
        <w:rPr>
          <w:spacing w:val="-1"/>
        </w:rPr>
        <w:t>单位</w:t>
      </w:r>
      <w:r>
        <w:rPr>
          <w:spacing w:val="-3"/>
        </w:rPr>
        <w:t>和</w:t>
      </w:r>
      <w:r>
        <w:rPr>
          <w:spacing w:val="-1"/>
        </w:rPr>
        <w:t>大型</w:t>
      </w:r>
      <w:r>
        <w:rPr>
          <w:spacing w:val="-3"/>
        </w:rPr>
        <w:t>企</w:t>
      </w:r>
      <w:r>
        <w:t>业</w:t>
      </w:r>
    </w:p>
    <w:p>
      <w:pPr>
        <w:pStyle w:val="3"/>
        <w:spacing w:line="353" w:lineRule="exact"/>
        <w:ind w:right="0" w:firstLine="0"/>
      </w:pPr>
      <w:r>
        <w:t>存在支付纠纷的中小企业提供法律服务。</w:t>
      </w:r>
    </w:p>
    <w:p>
      <w:pPr>
        <w:pStyle w:val="3"/>
        <w:spacing w:before="37" w:line="266" w:lineRule="auto"/>
        <w:jc w:val="both"/>
      </w:pPr>
      <w:r>
        <w:t>新闻媒体应当开展对及时支付中小企业款项相关法律法规政策的公益宣传，依法加强对机关、事业单位和大型企业拒绝或者迟延支付中小企业款项行为的舆论监督。</w:t>
      </w:r>
    </w:p>
    <w:p>
      <w:pPr>
        <w:pStyle w:val="3"/>
        <w:spacing w:before="6" w:line="266" w:lineRule="auto"/>
        <w:jc w:val="both"/>
      </w:pPr>
      <w:r>
        <w:t>第二十五条 机关、事业单位违反本条例，有下列情形之一的，由其上级机关、主管部门责令改正；拒不改正的，对直接负责的主管人员和其他直接责任人员依法给予处分：</w:t>
      </w:r>
    </w:p>
    <w:p>
      <w:pPr>
        <w:pStyle w:val="3"/>
        <w:spacing w:before="5"/>
        <w:ind w:left="677" w:right="0" w:firstLine="0"/>
      </w:pPr>
      <w:r>
        <w:t>（一）未在规定的期限内支付中小企业货物、工程、服务款项；</w:t>
      </w:r>
    </w:p>
    <w:p>
      <w:pPr>
        <w:pStyle w:val="3"/>
        <w:spacing w:before="42"/>
        <w:ind w:left="677" w:right="0" w:firstLine="0"/>
      </w:pPr>
      <w:r>
        <w:t>（二）拖延检验、验收；</w:t>
      </w:r>
    </w:p>
    <w:p>
      <w:pPr>
        <w:pStyle w:val="3"/>
        <w:spacing w:before="40" w:line="268" w:lineRule="auto"/>
      </w:pPr>
      <w:r>
        <w:t>（三）强制中小企业接受商业汇票等非现金支付方式，或者利用商业汇票等非现金支付方式变相延长付款期限；</w:t>
      </w:r>
    </w:p>
    <w:p>
      <w:pPr>
        <w:pStyle w:val="3"/>
        <w:spacing w:line="266" w:lineRule="auto"/>
      </w:pPr>
      <w:r>
        <w:t>（四）没有法律、行政法规依据或者合同约定，要求以审计机关的审计结果作为结算依据；</w:t>
      </w:r>
    </w:p>
    <w:p>
      <w:pPr>
        <w:pStyle w:val="3"/>
        <w:spacing w:line="268" w:lineRule="auto"/>
      </w:pPr>
      <w:r>
        <w:t>（五）违法收取保证金，拒绝接受中小企业提供的金融机构保函，或者不及时与中小企业对保证金进行核实、结算；</w:t>
      </w:r>
    </w:p>
    <w:p>
      <w:pPr>
        <w:pStyle w:val="3"/>
        <w:spacing w:line="268" w:lineRule="auto"/>
        <w:jc w:val="both"/>
      </w:pPr>
      <w:r>
        <w:t>（六）以法定代表人或者主要负责人变更，履行内部付款流程，或者在合同未作约定的情况下以等待竣工验收批复、决算审计等为由，拒绝或者迟延支付中小企业款项；</w:t>
      </w:r>
    </w:p>
    <w:p>
      <w:pPr>
        <w:pStyle w:val="3"/>
        <w:spacing w:line="353" w:lineRule="exact"/>
        <w:ind w:left="677" w:right="0" w:firstLine="0"/>
      </w:pPr>
      <w:r>
        <w:t>（七）未按照规定公开逾期尚未支付中小企业款项信息；</w:t>
      </w:r>
    </w:p>
    <w:p>
      <w:pPr>
        <w:pStyle w:val="3"/>
        <w:spacing w:before="38"/>
        <w:ind w:left="677" w:right="0" w:firstLine="0"/>
      </w:pPr>
      <w:r>
        <w:t>（八）对投诉人进行恐吓、打击报复。</w:t>
      </w:r>
    </w:p>
    <w:p>
      <w:pPr>
        <w:pStyle w:val="3"/>
        <w:tabs>
          <w:tab w:val="left" w:pos="2357"/>
        </w:tabs>
        <w:spacing w:before="42" w:line="266" w:lineRule="auto"/>
      </w:pPr>
      <w:r>
        <w:t>第</w:t>
      </w:r>
      <w:r>
        <w:rPr>
          <w:spacing w:val="-3"/>
        </w:rPr>
        <w:t>二</w:t>
      </w:r>
      <w:r>
        <w:t>十六条</w:t>
      </w:r>
      <w:r>
        <w:tab/>
      </w:r>
      <w:r>
        <w:rPr>
          <w:spacing w:val="-1"/>
        </w:rPr>
        <w:t>机</w:t>
      </w:r>
      <w:r>
        <w:rPr>
          <w:spacing w:val="-3"/>
        </w:rPr>
        <w:t>关</w:t>
      </w:r>
      <w:r>
        <w:t>、事</w:t>
      </w:r>
      <w:r>
        <w:rPr>
          <w:spacing w:val="-3"/>
        </w:rPr>
        <w:t>业</w:t>
      </w:r>
      <w:r>
        <w:t>单位</w:t>
      </w:r>
      <w:r>
        <w:rPr>
          <w:spacing w:val="-3"/>
        </w:rPr>
        <w:t>有</w:t>
      </w:r>
      <w:r>
        <w:t>下列</w:t>
      </w:r>
      <w:r>
        <w:rPr>
          <w:spacing w:val="-3"/>
        </w:rPr>
        <w:t>情</w:t>
      </w:r>
      <w:r>
        <w:t>形之</w:t>
      </w:r>
      <w:r>
        <w:rPr>
          <w:spacing w:val="-3"/>
        </w:rPr>
        <w:t>一</w:t>
      </w:r>
      <w:r>
        <w:t>的，</w:t>
      </w:r>
      <w:r>
        <w:rPr>
          <w:spacing w:val="-3"/>
        </w:rPr>
        <w:t>依</w:t>
      </w:r>
      <w:r>
        <w:t>照法</w:t>
      </w:r>
      <w:r>
        <w:rPr>
          <w:spacing w:val="-3"/>
        </w:rPr>
        <w:t>律</w:t>
      </w:r>
      <w:r>
        <w:t>、行</w:t>
      </w:r>
      <w:r>
        <w:rPr>
          <w:spacing w:val="-3"/>
        </w:rPr>
        <w:t>政</w:t>
      </w:r>
      <w:r>
        <w:t>法规</w:t>
      </w:r>
      <w:r>
        <w:rPr>
          <w:spacing w:val="-3"/>
        </w:rPr>
        <w:t>和</w:t>
      </w:r>
      <w:r>
        <w:t>国家</w:t>
      </w:r>
      <w:r>
        <w:rPr>
          <w:spacing w:val="-3"/>
        </w:rPr>
        <w:t>有</w:t>
      </w:r>
      <w:r>
        <w:t>关规</w:t>
      </w:r>
      <w:r>
        <w:rPr>
          <w:spacing w:val="-3"/>
        </w:rPr>
        <w:t>定</w:t>
      </w:r>
      <w:r>
        <w:t>追究</w:t>
      </w:r>
      <w:r>
        <w:rPr>
          <w:spacing w:val="-3"/>
        </w:rPr>
        <w:t>责</w:t>
      </w:r>
      <w:r>
        <w:t>任：</w:t>
      </w:r>
    </w:p>
    <w:p>
      <w:pPr>
        <w:pStyle w:val="3"/>
        <w:spacing w:before="3" w:line="268" w:lineRule="auto"/>
      </w:pPr>
      <w:r>
        <w:t>（一）使用财政资金从中小企业采购货物、工程、服务，未按照批准的预算执行；</w:t>
      </w:r>
    </w:p>
    <w:p>
      <w:pPr>
        <w:pStyle w:val="3"/>
        <w:spacing w:line="354" w:lineRule="exact"/>
        <w:ind w:left="677" w:right="0" w:firstLine="0"/>
      </w:pPr>
      <w:r>
        <w:t>（二）要求施工单位对政府投资项目垫资建设。</w:t>
      </w:r>
    </w:p>
    <w:p>
      <w:pPr>
        <w:pStyle w:val="3"/>
        <w:spacing w:before="42" w:line="266" w:lineRule="auto"/>
        <w:jc w:val="both"/>
      </w:pPr>
      <w:r>
        <w:t>第二十七条 大型企业违反本条例，未按照规定在企业年度报告中公示逾期尚未支付中小企业款项信息或者隐瞒真实情况、弄虚作假的，由市场监督管理部门依法处理。</w:t>
      </w:r>
    </w:p>
    <w:p>
      <w:pPr>
        <w:pStyle w:val="3"/>
        <w:spacing w:before="5"/>
        <w:ind w:left="677" w:right="0" w:firstLine="0"/>
      </w:pPr>
      <w:r>
        <w:t>国有大型企业没有合同约定或者法律、行政法规依据，要求以审计机</w:t>
      </w:r>
    </w:p>
    <w:p>
      <w:pPr>
        <w:spacing w:after="0"/>
        <w:sectPr>
          <w:pgSz w:w="11910" w:h="16840"/>
          <w:pgMar w:top="1580" w:right="1160" w:bottom="1160" w:left="1300" w:header="0" w:footer="978" w:gutter="0"/>
          <w:cols w:space="720" w:num="1"/>
        </w:sectPr>
      </w:pPr>
    </w:p>
    <w:p>
      <w:pPr>
        <w:pStyle w:val="3"/>
        <w:spacing w:before="144" w:line="268" w:lineRule="auto"/>
        <w:ind w:firstLine="0"/>
      </w:pPr>
      <w:r>
        <w:t>关的审计结果作为结算依据的，由其主管部门责令改正；拒不改正的，对直接负责的主管人员和其他直接责任人员依法给予处分。</w:t>
      </w:r>
    </w:p>
    <w:p>
      <w:pPr>
        <w:pStyle w:val="3"/>
        <w:tabs>
          <w:tab w:val="left" w:pos="2357"/>
        </w:tabs>
        <w:spacing w:line="268" w:lineRule="auto"/>
        <w:ind w:right="114"/>
      </w:pPr>
      <w:r>
        <w:t>第</w:t>
      </w:r>
      <w:r>
        <w:rPr>
          <w:spacing w:val="-3"/>
        </w:rPr>
        <w:t>二</w:t>
      </w:r>
      <w:r>
        <w:t>十八条</w:t>
      </w:r>
      <w:r>
        <w:tab/>
      </w:r>
      <w:r>
        <w:rPr>
          <w:spacing w:val="-1"/>
        </w:rPr>
        <w:t>部</w:t>
      </w:r>
      <w:r>
        <w:rPr>
          <w:spacing w:val="-3"/>
        </w:rPr>
        <w:t>分</w:t>
      </w:r>
      <w:r>
        <w:t>或者</w:t>
      </w:r>
      <w:r>
        <w:rPr>
          <w:spacing w:val="-3"/>
        </w:rPr>
        <w:t>全</w:t>
      </w:r>
      <w:r>
        <w:t>部使</w:t>
      </w:r>
      <w:r>
        <w:rPr>
          <w:spacing w:val="-3"/>
        </w:rPr>
        <w:t>用</w:t>
      </w:r>
      <w:r>
        <w:t>财政</w:t>
      </w:r>
      <w:r>
        <w:rPr>
          <w:spacing w:val="-3"/>
        </w:rPr>
        <w:t>资</w:t>
      </w:r>
      <w:r>
        <w:t>金的</w:t>
      </w:r>
      <w:r>
        <w:rPr>
          <w:spacing w:val="-3"/>
        </w:rPr>
        <w:t>团</w:t>
      </w:r>
      <w:r>
        <w:t>体组</w:t>
      </w:r>
      <w:r>
        <w:rPr>
          <w:spacing w:val="-3"/>
        </w:rPr>
        <w:t>织</w:t>
      </w:r>
      <w:r>
        <w:t>采购</w:t>
      </w:r>
      <w:r>
        <w:rPr>
          <w:spacing w:val="-3"/>
        </w:rPr>
        <w:t>货</w:t>
      </w:r>
      <w:r>
        <w:t>物</w:t>
      </w:r>
      <w:r>
        <w:rPr>
          <w:spacing w:val="-29"/>
        </w:rPr>
        <w:t>、</w:t>
      </w:r>
      <w:r>
        <w:t>工</w:t>
      </w:r>
      <w:r>
        <w:rPr>
          <w:spacing w:val="-3"/>
        </w:rPr>
        <w:t>程</w:t>
      </w:r>
      <w:r>
        <w:t>、服</w:t>
      </w:r>
      <w:r>
        <w:rPr>
          <w:spacing w:val="-3"/>
        </w:rPr>
        <w:t>务</w:t>
      </w:r>
      <w:r>
        <w:t>支付</w:t>
      </w:r>
      <w:r>
        <w:rPr>
          <w:spacing w:val="-3"/>
        </w:rPr>
        <w:t>中</w:t>
      </w:r>
      <w:r>
        <w:t>小企</w:t>
      </w:r>
      <w:r>
        <w:rPr>
          <w:spacing w:val="-3"/>
        </w:rPr>
        <w:t>业</w:t>
      </w:r>
      <w:r>
        <w:t>款项</w:t>
      </w:r>
      <w:r>
        <w:rPr>
          <w:spacing w:val="-3"/>
        </w:rPr>
        <w:t>，</w:t>
      </w:r>
      <w:r>
        <w:t>参照</w:t>
      </w:r>
      <w:r>
        <w:rPr>
          <w:spacing w:val="-3"/>
        </w:rPr>
        <w:t>本</w:t>
      </w:r>
      <w:r>
        <w:t>条例</w:t>
      </w:r>
      <w:r>
        <w:rPr>
          <w:spacing w:val="-3"/>
        </w:rPr>
        <w:t>对</w:t>
      </w:r>
      <w:r>
        <w:t>机关</w:t>
      </w:r>
      <w:r>
        <w:rPr>
          <w:spacing w:val="-3"/>
        </w:rPr>
        <w:t>、</w:t>
      </w:r>
      <w:r>
        <w:t>事业</w:t>
      </w:r>
      <w:r>
        <w:rPr>
          <w:spacing w:val="-3"/>
        </w:rPr>
        <w:t>单</w:t>
      </w:r>
      <w:r>
        <w:t>位的</w:t>
      </w:r>
      <w:r>
        <w:rPr>
          <w:spacing w:val="-3"/>
        </w:rPr>
        <w:t>有</w:t>
      </w:r>
      <w:r>
        <w:t>关规</w:t>
      </w:r>
      <w:r>
        <w:rPr>
          <w:spacing w:val="-3"/>
        </w:rPr>
        <w:t>定</w:t>
      </w:r>
      <w:r>
        <w:t>执行。</w:t>
      </w:r>
    </w:p>
    <w:p>
      <w:pPr>
        <w:pStyle w:val="3"/>
        <w:spacing w:line="266" w:lineRule="auto"/>
      </w:pPr>
      <w:r>
        <w:t>军队采购货物、工程、服务支付中小企业款项，按照军队的有关规定执行。</w:t>
      </w:r>
    </w:p>
    <w:p>
      <w:pPr>
        <w:pStyle w:val="3"/>
        <w:tabs>
          <w:tab w:val="left" w:pos="2357"/>
        </w:tabs>
        <w:ind w:left="677" w:right="0" w:firstLine="0"/>
      </w:pPr>
      <w:r>
        <w:t>第</w:t>
      </w:r>
      <w:r>
        <w:rPr>
          <w:spacing w:val="-3"/>
        </w:rPr>
        <w:t>二</w:t>
      </w:r>
      <w:r>
        <w:t>十九条</w:t>
      </w:r>
      <w:r>
        <w:tab/>
      </w:r>
      <w:r>
        <w:t>本</w:t>
      </w:r>
      <w:r>
        <w:rPr>
          <w:spacing w:val="-3"/>
        </w:rPr>
        <w:t>条</w:t>
      </w:r>
      <w:r>
        <w:t>例自</w:t>
      </w:r>
      <w:r>
        <w:rPr>
          <w:spacing w:val="-71"/>
        </w:rPr>
        <w:t xml:space="preserve"> </w:t>
      </w:r>
      <w:r>
        <w:rPr>
          <w:rFonts w:ascii="Times New Roman" w:eastAsia="Times New Roman"/>
        </w:rPr>
        <w:t xml:space="preserve">2020 </w:t>
      </w:r>
      <w:r>
        <w:t>年</w:t>
      </w:r>
      <w:r>
        <w:rPr>
          <w:spacing w:val="-71"/>
        </w:rPr>
        <w:t xml:space="preserve"> </w:t>
      </w:r>
      <w:r>
        <w:rPr>
          <w:rFonts w:ascii="Times New Roman" w:eastAsia="Times New Roman"/>
        </w:rPr>
        <w:t>9</w:t>
      </w:r>
      <w:r>
        <w:rPr>
          <w:rFonts w:ascii="Times New Roman" w:eastAsia="Times New Roman"/>
          <w:spacing w:val="-2"/>
        </w:rPr>
        <w:t xml:space="preserve"> </w:t>
      </w:r>
      <w:r>
        <w:t>月</w:t>
      </w:r>
      <w:r>
        <w:rPr>
          <w:spacing w:val="-71"/>
        </w:rPr>
        <w:t xml:space="preserve"> </w:t>
      </w:r>
      <w:r>
        <w:rPr>
          <w:rFonts w:ascii="Times New Roman" w:eastAsia="Times New Roman"/>
        </w:rPr>
        <w:t xml:space="preserve">1 </w:t>
      </w:r>
      <w:r>
        <w:t>日</w:t>
      </w:r>
      <w:r>
        <w:rPr>
          <w:spacing w:val="-3"/>
        </w:rPr>
        <w:t>起</w:t>
      </w:r>
      <w:r>
        <w:t>施行。</w:t>
      </w:r>
    </w:p>
    <w:p>
      <w:pPr>
        <w:pStyle w:val="3"/>
        <w:spacing w:before="12"/>
        <w:ind w:left="0" w:right="0" w:firstLine="0"/>
        <w:rPr>
          <w:sz w:val="25"/>
        </w:rPr>
      </w:pPr>
    </w:p>
    <w:p>
      <w:pPr>
        <w:pStyle w:val="2"/>
      </w:pPr>
      <w:bookmarkStart w:id="2" w:name="山东省优化营商环境条例"/>
      <w:bookmarkEnd w:id="2"/>
      <w:bookmarkStart w:id="3" w:name="_bookmark1"/>
      <w:bookmarkEnd w:id="3"/>
      <w:r>
        <w:t>山东省优化营商环境条例</w:t>
      </w:r>
    </w:p>
    <w:p>
      <w:pPr>
        <w:pStyle w:val="3"/>
        <w:ind w:left="0" w:right="0" w:firstLine="0"/>
        <w:rPr>
          <w:rFonts w:ascii="Arial Unicode MS"/>
          <w:sz w:val="20"/>
        </w:rPr>
      </w:pPr>
    </w:p>
    <w:p>
      <w:pPr>
        <w:pStyle w:val="3"/>
        <w:spacing w:line="266" w:lineRule="auto"/>
        <w:ind w:left="161" w:right="299" w:firstLine="0"/>
        <w:jc w:val="center"/>
        <w:rPr>
          <w:rFonts w:ascii="Times New Roman" w:eastAsia="Times New Roman"/>
        </w:rPr>
      </w:pPr>
      <w:r>
        <w:rPr>
          <w:rFonts w:ascii="Times New Roman" w:eastAsia="Times New Roman"/>
        </w:rPr>
        <w:t xml:space="preserve">(2020 </w:t>
      </w:r>
      <w:r>
        <w:rPr>
          <w:spacing w:val="-35"/>
        </w:rPr>
        <w:t xml:space="preserve">年 </w:t>
      </w:r>
      <w:r>
        <w:rPr>
          <w:rFonts w:ascii="Times New Roman" w:eastAsia="Times New Roman"/>
        </w:rPr>
        <w:t xml:space="preserve">9 </w:t>
      </w:r>
      <w:r>
        <w:rPr>
          <w:spacing w:val="-36"/>
        </w:rPr>
        <w:t xml:space="preserve">月 </w:t>
      </w:r>
      <w:r>
        <w:rPr>
          <w:rFonts w:ascii="Times New Roman" w:eastAsia="Times New Roman"/>
        </w:rPr>
        <w:t xml:space="preserve">25 </w:t>
      </w:r>
      <w:r>
        <w:rPr>
          <w:spacing w:val="-3"/>
        </w:rPr>
        <w:t>日山东省第十三届人民代表大会常务委员会第二十三次会</w:t>
      </w:r>
      <w:r>
        <w:rPr>
          <w:spacing w:val="-2"/>
        </w:rPr>
        <w:t>议通过</w:t>
      </w:r>
      <w:r>
        <w:rPr>
          <w:rFonts w:ascii="Times New Roman" w:eastAsia="Times New Roman"/>
        </w:rPr>
        <w:t>)</w:t>
      </w:r>
    </w:p>
    <w:p>
      <w:pPr>
        <w:pStyle w:val="3"/>
        <w:spacing w:before="10"/>
        <w:ind w:left="0" w:right="0" w:firstLine="0"/>
        <w:rPr>
          <w:rFonts w:ascii="Times New Roman"/>
          <w:sz w:val="35"/>
        </w:rPr>
      </w:pPr>
    </w:p>
    <w:p>
      <w:pPr>
        <w:pStyle w:val="3"/>
        <w:spacing w:before="1"/>
        <w:ind w:left="0" w:right="135" w:firstLine="0"/>
        <w:jc w:val="center"/>
        <w:rPr>
          <w:rFonts w:hint="eastAsia" w:ascii="华文细黑" w:eastAsia="华文细黑"/>
        </w:rPr>
      </w:pPr>
      <w:r>
        <w:rPr>
          <w:rFonts w:hint="eastAsia" w:ascii="华文细黑" w:eastAsia="华文细黑"/>
        </w:rPr>
        <w:t>第一章 总则</w:t>
      </w:r>
    </w:p>
    <w:p>
      <w:pPr>
        <w:pStyle w:val="3"/>
        <w:spacing w:before="2"/>
        <w:ind w:left="0" w:right="0" w:firstLine="0"/>
        <w:rPr>
          <w:rFonts w:ascii="华文细黑"/>
          <w:sz w:val="29"/>
        </w:rPr>
      </w:pPr>
    </w:p>
    <w:p>
      <w:pPr>
        <w:pStyle w:val="3"/>
        <w:spacing w:line="266" w:lineRule="auto"/>
        <w:ind w:right="213"/>
      </w:pPr>
      <w:r>
        <w:t>第一条 为了优化营商环境，保护各类市场主体合法权益，激发市场活力，促进高质量发展，根据有关法律、行政法规，结合本省实际，制定本条例。</w:t>
      </w:r>
    </w:p>
    <w:p>
      <w:pPr>
        <w:pStyle w:val="3"/>
        <w:spacing w:before="6" w:line="266" w:lineRule="auto"/>
        <w:ind w:left="677" w:right="204" w:firstLine="0"/>
      </w:pPr>
      <w:r>
        <w:t>第二条 本省行政区域内与优化营商环境相关的活动，适用本条例。第三条 优化营商环境应当遵循市场化、法治化、国际化原则，坚持改</w:t>
      </w:r>
    </w:p>
    <w:p>
      <w:pPr>
        <w:pStyle w:val="3"/>
        <w:spacing w:before="3" w:line="266" w:lineRule="auto"/>
        <w:ind w:firstLine="0"/>
        <w:jc w:val="both"/>
      </w:pPr>
      <w:r>
        <w:t>革创新、公平公正、诚实守信、权责一致，发挥市场在资源配置中的决定性作用，最大限度减少政府对市场资源的直接配置和对市场活动的直接干预，建立统一开放、竞争有序的现代市场体系，营造稳定、公平、透明和可预期的营商环境。</w:t>
      </w:r>
    </w:p>
    <w:p>
      <w:pPr>
        <w:pStyle w:val="3"/>
        <w:spacing w:before="7" w:line="266" w:lineRule="auto"/>
      </w:pPr>
      <w:r>
        <w:t>第四条 县级以上人民政府应当加强对本行政区域内优化营商环境工作的组织领导，制定实施优化营商环境政策措施，建立健全优化营商环境工作协调机制，协调解决优化营商环境工作中的重大问题。</w:t>
      </w:r>
    </w:p>
    <w:p>
      <w:pPr>
        <w:pStyle w:val="3"/>
        <w:spacing w:before="6" w:line="266" w:lineRule="auto"/>
        <w:ind w:right="64"/>
      </w:pPr>
      <w:r>
        <w:t>县级以上人民政府可以明确优化营商环境工作的主管部门。有关部门、司法机关、人民团体应当按照各自职责，做好优化营商环境有关工作。</w:t>
      </w:r>
    </w:p>
    <w:p>
      <w:pPr>
        <w:pStyle w:val="3"/>
        <w:spacing w:before="3" w:line="268" w:lineRule="auto"/>
      </w:pPr>
      <w:r>
        <w:t>各级人民政府的主要负责人，是本行政区域优化营商环境工作的第一责任人。</w:t>
      </w:r>
    </w:p>
    <w:p>
      <w:pPr>
        <w:pStyle w:val="3"/>
        <w:spacing w:line="268" w:lineRule="auto"/>
        <w:ind w:right="203"/>
      </w:pPr>
      <w:r>
        <w:t>第五条 各级人民政府和有关部门、司法机关应当按照权利平等、机会平等、规则平等的原则，保障各种所有制经济平等受到法律保护。</w:t>
      </w:r>
    </w:p>
    <w:p>
      <w:pPr>
        <w:pStyle w:val="3"/>
        <w:spacing w:line="357" w:lineRule="exact"/>
        <w:ind w:left="677" w:right="0" w:firstLine="0"/>
      </w:pPr>
      <w:r>
        <w:t>鼓励、支持和引导非公有制经济发展，激发非公有制经济活力和创造</w:t>
      </w:r>
    </w:p>
    <w:p>
      <w:pPr>
        <w:spacing w:after="0" w:line="357" w:lineRule="exact"/>
        <w:sectPr>
          <w:pgSz w:w="11910" w:h="16840"/>
          <w:pgMar w:top="1580" w:right="1160" w:bottom="1160" w:left="1300" w:header="0" w:footer="978" w:gutter="0"/>
          <w:cols w:space="720" w:num="1"/>
        </w:sectPr>
      </w:pPr>
    </w:p>
    <w:p>
      <w:pPr>
        <w:pStyle w:val="3"/>
        <w:spacing w:before="144" w:line="268" w:lineRule="auto"/>
        <w:ind w:firstLine="0"/>
      </w:pPr>
      <w:r>
        <w:t>力；进一步扩大对外开放，积极促进外商投资，平等对待内资企业、外商投资企业等各类市场主体。</w:t>
      </w:r>
    </w:p>
    <w:p>
      <w:pPr>
        <w:pStyle w:val="3"/>
        <w:spacing w:line="268" w:lineRule="auto"/>
        <w:ind w:right="114"/>
      </w:pPr>
      <w:r>
        <w:rPr>
          <w:spacing w:val="-8"/>
        </w:rPr>
        <w:t>第六条 设区的市和县</w:t>
      </w:r>
      <w:r>
        <w:rPr>
          <w:spacing w:val="-3"/>
        </w:rPr>
        <w:t>（</w:t>
      </w:r>
      <w:r>
        <w:rPr>
          <w:spacing w:val="-20"/>
        </w:rPr>
        <w:t>市、区</w:t>
      </w:r>
      <w:r>
        <w:rPr>
          <w:spacing w:val="-58"/>
        </w:rPr>
        <w:t>）</w:t>
      </w:r>
      <w:r>
        <w:rPr>
          <w:spacing w:val="-3"/>
        </w:rPr>
        <w:t>人民政府及其有关部门应当结合实际， 探索与当地经济社会发展相适宜的优化营商环境具体措施并动态调整完</w:t>
      </w:r>
    </w:p>
    <w:p>
      <w:pPr>
        <w:pStyle w:val="3"/>
        <w:spacing w:line="357" w:lineRule="exact"/>
        <w:ind w:right="0" w:firstLine="0"/>
      </w:pPr>
      <w:r>
        <w:rPr>
          <w:spacing w:val="-3"/>
        </w:rPr>
        <w:t>善；对行之有效的改革措施，可以在全省复制推广。</w:t>
      </w:r>
    </w:p>
    <w:p>
      <w:pPr>
        <w:pStyle w:val="3"/>
        <w:spacing w:before="35" w:line="268" w:lineRule="auto"/>
        <w:ind w:right="459"/>
      </w:pPr>
      <w:r>
        <w:rPr>
          <w:spacing w:val="-2"/>
        </w:rPr>
        <w:t>中国</w:t>
      </w:r>
      <w:r>
        <w:rPr>
          <w:rFonts w:ascii="Times New Roman" w:eastAsia="Times New Roman"/>
        </w:rPr>
        <w:t>(</w:t>
      </w:r>
      <w:r>
        <w:rPr>
          <w:spacing w:val="-2"/>
        </w:rPr>
        <w:t>山东</w:t>
      </w:r>
      <w:r>
        <w:rPr>
          <w:rFonts w:ascii="Times New Roman" w:eastAsia="Times New Roman"/>
        </w:rPr>
        <w:t>)</w:t>
      </w:r>
      <w:r>
        <w:rPr>
          <w:spacing w:val="-3"/>
        </w:rPr>
        <w:t>自由贸易试验区应当在优化营商环境方面发挥引领示范作用，先行先试有利于优化营商环境的各项改革措施。</w:t>
      </w:r>
    </w:p>
    <w:p>
      <w:pPr>
        <w:pStyle w:val="3"/>
        <w:spacing w:line="266" w:lineRule="auto"/>
        <w:ind w:right="214"/>
      </w:pPr>
      <w:r>
        <w:t>第七条 市场主体在生产经营活动中应当遵守法律、法规，遵守社会公德、商业道德，诚实守信，公平竞争，承担安全生产、生态环境保护、耕地保护、消费者权益保护等社会责任。</w:t>
      </w:r>
    </w:p>
    <w:p>
      <w:pPr>
        <w:pStyle w:val="3"/>
        <w:spacing w:before="3" w:line="266" w:lineRule="auto"/>
      </w:pPr>
      <w:r>
        <w:t>第八条 各级人民政府和有关部门以及新闻媒体应当加强优化营商环境的法律、法规、政策措施和先进典型的宣传，营造良好的优化营商环境社会氛围。</w:t>
      </w:r>
    </w:p>
    <w:p>
      <w:pPr>
        <w:pStyle w:val="3"/>
        <w:spacing w:before="3"/>
        <w:ind w:left="0" w:right="0" w:firstLine="0"/>
        <w:rPr>
          <w:sz w:val="32"/>
        </w:rPr>
      </w:pPr>
    </w:p>
    <w:p>
      <w:pPr>
        <w:pStyle w:val="3"/>
        <w:ind w:left="0" w:right="137" w:firstLine="0"/>
        <w:jc w:val="center"/>
        <w:rPr>
          <w:rFonts w:hint="eastAsia" w:ascii="华文细黑" w:eastAsia="华文细黑"/>
        </w:rPr>
      </w:pPr>
      <w:r>
        <w:rPr>
          <w:rFonts w:hint="eastAsia" w:ascii="华文细黑" w:eastAsia="华文细黑"/>
        </w:rPr>
        <w:t>第二章 市场环境</w:t>
      </w:r>
    </w:p>
    <w:p>
      <w:pPr>
        <w:pStyle w:val="3"/>
        <w:spacing w:before="3"/>
        <w:ind w:left="0" w:right="0" w:firstLine="0"/>
        <w:rPr>
          <w:rFonts w:ascii="华文细黑"/>
          <w:sz w:val="29"/>
        </w:rPr>
      </w:pPr>
    </w:p>
    <w:p>
      <w:pPr>
        <w:pStyle w:val="3"/>
        <w:spacing w:line="268" w:lineRule="auto"/>
        <w:ind w:right="203"/>
      </w:pPr>
      <w:r>
        <w:t>第九条 国家规定的市场准入负面清单以外的领域，各类市场主体均可依法平等进入。</w:t>
      </w:r>
    </w:p>
    <w:p>
      <w:pPr>
        <w:pStyle w:val="3"/>
        <w:spacing w:line="266" w:lineRule="auto"/>
      </w:pPr>
      <w:r>
        <w:t>各级人民政府和有关部门不得颁布施行歧视非公有制市场主体的政策措施。</w:t>
      </w:r>
    </w:p>
    <w:p>
      <w:pPr>
        <w:pStyle w:val="3"/>
        <w:spacing w:before="1" w:line="268" w:lineRule="auto"/>
      </w:pPr>
      <w:r>
        <w:t>禁止在市场准入、融资借贷、招标投标等领域设置不合理条件限制或者排斥非公有制市场主体。</w:t>
      </w:r>
    </w:p>
    <w:p>
      <w:pPr>
        <w:pStyle w:val="3"/>
        <w:spacing w:line="266" w:lineRule="auto"/>
        <w:ind w:right="228"/>
      </w:pPr>
      <w:r>
        <w:t>第十条 县级以上人民政府及其有关部门应当推进“证照分离”改革， 持续精简涉企经营许可事项，依法采取直接取消审批、审批改为备案、实行告知承诺、优化审批服务等方式，对所有涉企经营许可事项进行分类管理，推行证照联办，为企业取得营业执照后开展相关经营活动提供便利。</w:t>
      </w:r>
    </w:p>
    <w:p>
      <w:pPr>
        <w:pStyle w:val="3"/>
        <w:spacing w:before="3" w:line="266" w:lineRule="auto"/>
        <w:jc w:val="both"/>
      </w:pPr>
      <w:r>
        <w:t>县级以上人民政府及其有关部门应当按照国家有关规定简化企业从设立到具备一般性经营条件所需办理的手续，推行企业登记全程网上办理， 实行一次认证、全网通办。</w:t>
      </w:r>
    </w:p>
    <w:p>
      <w:pPr>
        <w:pStyle w:val="3"/>
        <w:spacing w:before="5" w:line="266" w:lineRule="auto"/>
        <w:jc w:val="both"/>
      </w:pPr>
      <w:r>
        <w:t>本省推行“一业一证”改革，将一个行业涉及多个许可证整合为统一的行业综合许可证，精简申请材料，缩短办理时限，加快行业准营进程。具体适用范围和实施办法由省人民政府制定。</w:t>
      </w:r>
    </w:p>
    <w:p>
      <w:pPr>
        <w:pStyle w:val="3"/>
        <w:spacing w:before="6" w:line="268" w:lineRule="auto"/>
        <w:ind w:left="677" w:firstLine="0"/>
        <w:jc w:val="both"/>
      </w:pPr>
      <w:r>
        <w:t>第十一条  依法保护各类所有制市场主体财产权和其他合法权益。严禁违反法定权限、条件、程序对市场主体的财产和企业经营者个人</w:t>
      </w:r>
    </w:p>
    <w:p>
      <w:pPr>
        <w:spacing w:after="0" w:line="268" w:lineRule="auto"/>
        <w:jc w:val="both"/>
        <w:sectPr>
          <w:pgSz w:w="11910" w:h="16840"/>
          <w:pgMar w:top="1580" w:right="1160" w:bottom="1160" w:left="1300" w:header="0" w:footer="978" w:gutter="0"/>
          <w:cols w:space="720" w:num="1"/>
        </w:sectPr>
      </w:pPr>
    </w:p>
    <w:p>
      <w:pPr>
        <w:pStyle w:val="3"/>
        <w:spacing w:before="144" w:line="266" w:lineRule="auto"/>
        <w:ind w:firstLine="0"/>
        <w:jc w:val="both"/>
      </w:pPr>
      <w:r>
        <w:t>财产实施查封、扣押、冻结等行政强制措施；依法确需实施前述行政强制措施的，应当限定在所必需的范围内，最大限度减少对市场主体正常生产经营活动的不利影响。</w:t>
      </w:r>
    </w:p>
    <w:p>
      <w:pPr>
        <w:pStyle w:val="3"/>
        <w:spacing w:before="5" w:line="266" w:lineRule="auto"/>
        <w:ind w:right="214"/>
      </w:pPr>
      <w:r>
        <w:t>第十二条 县级以上人民政府有关部门应当按照法定职责，加大反垄断和反不正当竞争执法力度，有效预防和制止市场经济活动中的垄断行为、不正当竞争行为以及滥用行政权力排除、限制竞争的行为，对违法行为依法开展调查和处理，营造公平竞争的市场环境。</w:t>
      </w:r>
    </w:p>
    <w:p>
      <w:pPr>
        <w:pStyle w:val="3"/>
        <w:spacing w:before="8" w:line="266" w:lineRule="auto"/>
        <w:ind w:right="214"/>
      </w:pPr>
      <w:r>
        <w:t>第十三条 县级以上人民政府应当营造企业家健康成长环境，弘扬优秀企业家精神，尊重企业家价值，依法保护企业家人身和财产安全，鼓励企业家创业创新、服务社会。</w:t>
      </w:r>
    </w:p>
    <w:p>
      <w:pPr>
        <w:pStyle w:val="3"/>
        <w:spacing w:before="5" w:line="266" w:lineRule="auto"/>
      </w:pPr>
      <w:r>
        <w:t>第十四条 县级以上人民政府及其有关部门应当完善有利于创业创新的扶持政策和激励措施，优化创业投资政策环境，统筹安排各类支持创业创新的资金，健全创业辅导制度，完善孵化载体建设，强化服务支撑。</w:t>
      </w:r>
    </w:p>
    <w:p>
      <w:pPr>
        <w:pStyle w:val="3"/>
        <w:spacing w:before="6" w:line="266" w:lineRule="auto"/>
      </w:pPr>
      <w:r>
        <w:t>第十五条 县级以上人民政府及其有关部门应当按照规定公示本地区执行的政府性基金、涉企行政事业性收费、涉企保证金和实行政府定价的经营服务性收费目录清单；目录清单以外，任何单位实施行政管理或者提供公共服务不得向企业和其他市场主体收取任何费用。推广以银行保函、保证保险替代现金缴纳涉企保证金。</w:t>
      </w:r>
    </w:p>
    <w:p>
      <w:pPr>
        <w:pStyle w:val="3"/>
        <w:spacing w:before="8" w:line="266" w:lineRule="auto"/>
        <w:jc w:val="both"/>
      </w:pPr>
      <w:r>
        <w:t>除法律、法规另有规定外，任何单位和个人不得强制或者变相强制市场主体参加评比、达标、表彰、培训、考核、考试以及类似活动，不得借前述活动向市场主体收费或者变相收费。市场主体有权拒绝任何形式的摊派和强制捐赠。</w:t>
      </w:r>
    </w:p>
    <w:p>
      <w:pPr>
        <w:pStyle w:val="3"/>
        <w:spacing w:before="8" w:line="266" w:lineRule="auto"/>
        <w:ind w:right="214"/>
      </w:pPr>
      <w:r>
        <w:t>第十六条 鼓励金融机构和地方金融组织加大对民营企业、中小企业的支持力度，在依法合规、风险可控的基础上创新金融产品，优化金融服务流程，降低市场主体的综合融资成本，为市场主体提供优质高效便捷的金融支持。</w:t>
      </w:r>
    </w:p>
    <w:p>
      <w:pPr>
        <w:pStyle w:val="3"/>
        <w:spacing w:before="5" w:line="268" w:lineRule="auto"/>
        <w:jc w:val="both"/>
      </w:pPr>
      <w:r>
        <w:t>省人民政府大数据工作主管部门应当会同有关部门和机构，建立健全企业融资服务平台，整合融资需求、金融供给、征信服务、进出口、税收和社会保险等信息，提升金融机构向企业提供信贷便利化程度。</w:t>
      </w:r>
    </w:p>
    <w:p>
      <w:pPr>
        <w:pStyle w:val="3"/>
        <w:spacing w:line="268" w:lineRule="auto"/>
      </w:pPr>
      <w:r>
        <w:t>第十七条 县级以上人民政府及其有关部门应当鼓励金融机构为民营企业、中小企业提供融资、结算等金融服务，提高对民营企业、中小企业信贷规模和比重。</w:t>
      </w:r>
    </w:p>
    <w:p>
      <w:pPr>
        <w:pStyle w:val="3"/>
        <w:spacing w:line="268" w:lineRule="auto"/>
      </w:pPr>
      <w:r>
        <w:t>本省建立政府性融资担保体系，完善融资担保风险补偿机制，引导融资担保机构加大对中小企业发展的金融支持力度。</w:t>
      </w:r>
    </w:p>
    <w:p>
      <w:pPr>
        <w:spacing w:after="0" w:line="268" w:lineRule="auto"/>
        <w:sectPr>
          <w:pgSz w:w="11910" w:h="16840"/>
          <w:pgMar w:top="1580" w:right="1160" w:bottom="1160" w:left="1300" w:header="0" w:footer="978" w:gutter="0"/>
          <w:cols w:space="720" w:num="1"/>
        </w:sectPr>
      </w:pPr>
    </w:p>
    <w:p>
      <w:pPr>
        <w:pStyle w:val="3"/>
        <w:spacing w:before="144" w:line="268" w:lineRule="auto"/>
        <w:ind w:right="214"/>
      </w:pPr>
      <w:r>
        <w:t>第十八条 供水、供电、供气、供热、排水与污水处理等公用企业，应当向社会公开服务标准、服务流程、办理时限、资费标准等信息，简化报装手续、优化办理流程、降低报装成本，为市场主体提供安全、方便、快捷、稳定和价格合理的服务，不得强迫市场主体接受不合理的服务条件， 不得以任何名义收取不合理费用。</w:t>
      </w:r>
    </w:p>
    <w:p>
      <w:pPr>
        <w:pStyle w:val="3"/>
        <w:spacing w:line="266" w:lineRule="auto"/>
      </w:pPr>
      <w:r>
        <w:t>第十九条 县级以上人民政府有关部门应当及时清理规范行政审批过程中的中介服务行为，编制行政审批中介服务事项目录。中介服务机构应当明确办理法定行政审批中介服务的条件、流程、时限、收费标准，并向社会公开。</w:t>
      </w:r>
    </w:p>
    <w:p>
      <w:pPr>
        <w:pStyle w:val="3"/>
        <w:spacing w:line="266" w:lineRule="auto"/>
        <w:jc w:val="both"/>
      </w:pPr>
      <w:r>
        <w:t>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pPr>
        <w:pStyle w:val="3"/>
        <w:spacing w:before="6" w:line="266" w:lineRule="auto"/>
      </w:pPr>
      <w:r>
        <w:rPr>
          <w:spacing w:val="-3"/>
        </w:rPr>
        <w:t>行政机关在行政审批过程中需要委托中介服务机构开展技术性服务 的，应当通过竞争性方式选择中介服务机构，并自行承担服务费用，不得转嫁给市场主体承担。</w:t>
      </w:r>
    </w:p>
    <w:p>
      <w:pPr>
        <w:pStyle w:val="3"/>
        <w:spacing w:before="5" w:line="266" w:lineRule="auto"/>
        <w:ind w:right="214"/>
      </w:pPr>
      <w:r>
        <w:t>第二十条 行业协会商会应当加强行业指导和自律管理，反映企业和行业诉求，为市场主体提供信息咨询、宣传培训、市场拓展、权益保护、纠纷处理等服务，加强对行业运行态势的研究分析和预测预警，向县级人民政府及其有关部门反映涉及企业和行业利益的意见和建议。</w:t>
      </w:r>
    </w:p>
    <w:p>
      <w:pPr>
        <w:pStyle w:val="3"/>
        <w:spacing w:before="6" w:line="268" w:lineRule="auto"/>
      </w:pPr>
      <w:r>
        <w:t>行业协会商会应当严格执行国家有关收费、评比、认定等规定，不得组织市场主体达成垄断协议，排除、限制竞争。</w:t>
      </w:r>
    </w:p>
    <w:p>
      <w:pPr>
        <w:pStyle w:val="3"/>
        <w:spacing w:line="266" w:lineRule="auto"/>
      </w:pPr>
      <w:r>
        <w:t>县级以上人民政府制定行业发展政策措施和开展实施效果评价时，应当充分听取行业协会商会的意见。</w:t>
      </w:r>
    </w:p>
    <w:p>
      <w:pPr>
        <w:pStyle w:val="3"/>
        <w:spacing w:line="266" w:lineRule="auto"/>
        <w:ind w:right="214"/>
      </w:pPr>
      <w:r>
        <w:t>第二十一条 县级以上人民政府应当按照国家规定，加大中小投资者权益保护力度，完善中小投资者权益保护相关制度，保障中小投资者的知情权、表决权、收益权和监督权。</w:t>
      </w:r>
    </w:p>
    <w:p>
      <w:pPr>
        <w:pStyle w:val="3"/>
        <w:spacing w:before="6" w:line="266" w:lineRule="auto"/>
        <w:jc w:val="both"/>
      </w:pPr>
      <w:r>
        <w:t>国家机关、事业单位不得违约拖欠市场主体的货物、工程、服务等款项，大型企业不得利用市场优势地位拖欠中小企业账款。市场主体有权依法要求拖欠方支付拖欠款并对拖欠造成的损失进行赔偿。</w:t>
      </w:r>
    </w:p>
    <w:p>
      <w:pPr>
        <w:pStyle w:val="3"/>
        <w:spacing w:before="5" w:line="266" w:lineRule="auto"/>
        <w:ind w:right="214"/>
      </w:pPr>
      <w:r>
        <w:t>第二十二条 海关、商务、交通运输等部门应当建立健全合作机制，推行国际贸易“单一窗口”服务和全程通关流程电子化，精简进出口环节监管证件，优化通关流程，促进跨境贸易便利化。</w:t>
      </w:r>
    </w:p>
    <w:p>
      <w:pPr>
        <w:pStyle w:val="3"/>
        <w:spacing w:before="5"/>
        <w:ind w:left="677" w:right="0" w:firstLine="0"/>
      </w:pPr>
      <w:r>
        <w:t>口岸收费实行目录清单公示制度，清单以外不得收取任何费用。</w:t>
      </w:r>
    </w:p>
    <w:p>
      <w:pPr>
        <w:spacing w:after="0"/>
        <w:sectPr>
          <w:pgSz w:w="11910" w:h="16840"/>
          <w:pgMar w:top="1580" w:right="1160" w:bottom="1160" w:left="1300" w:header="0" w:footer="978" w:gutter="0"/>
          <w:cols w:space="720" w:num="1"/>
        </w:sectPr>
      </w:pPr>
    </w:p>
    <w:p>
      <w:pPr>
        <w:pStyle w:val="3"/>
        <w:spacing w:before="144" w:line="268" w:lineRule="auto"/>
        <w:ind w:right="214"/>
      </w:pPr>
      <w:r>
        <w:t>第二十三条 县级以上人民政府行政审批服务、市场监督管理等部门应当优化市场主体注销办理流程，依托一体化政务服务平台，设立企业注销网上服务专区，推行注销“一网通办”。对设立后未开展生产经营活动或者无债权债务的市场主体，可以按照简易程序办理注销；对有债权债务的市场主体，在债权债务依法解决后及时办理注销。</w:t>
      </w:r>
    </w:p>
    <w:p>
      <w:pPr>
        <w:pStyle w:val="3"/>
        <w:spacing w:line="268" w:lineRule="auto"/>
        <w:ind w:right="214"/>
      </w:pPr>
      <w:r>
        <w:t>第二十四条 县级以上人民政府、人民法院应当建立和完善企业破产工作协调机制，协调解决企业破产启动、职工安置、资产处置、信用修复、涉税事项处理、破产企业重组等问题。</w:t>
      </w:r>
    </w:p>
    <w:p>
      <w:pPr>
        <w:pStyle w:val="3"/>
        <w:spacing w:line="266" w:lineRule="auto"/>
        <w:ind w:right="114"/>
      </w:pPr>
      <w:r>
        <w:rPr>
          <w:spacing w:val="-5"/>
        </w:rPr>
        <w:t>第二十五条 人民法院应当健全重整企业识别审查机制，对具有挽救价</w:t>
      </w:r>
      <w:r>
        <w:rPr>
          <w:spacing w:val="-3"/>
        </w:rPr>
        <w:t xml:space="preserve">值和可能的困境企业进行破产重整，对没有挽救价值和可能的企业通过破 </w:t>
      </w:r>
      <w:r>
        <w:rPr>
          <w:spacing w:val="-6"/>
        </w:rPr>
        <w:t xml:space="preserve">产清算实现市场出清；建立执行与破产衔接机制，推进破产案件繁简分流， </w:t>
      </w:r>
      <w:r>
        <w:rPr>
          <w:spacing w:val="-3"/>
        </w:rPr>
        <w:t>降低破产成本，提高审判效率。</w:t>
      </w:r>
    </w:p>
    <w:p>
      <w:pPr>
        <w:pStyle w:val="3"/>
        <w:spacing w:line="266" w:lineRule="auto"/>
        <w:jc w:val="both"/>
      </w:pPr>
      <w:r>
        <w:t>人民法院应当健全破产案件债权人权益保障机制，保障债权人会议对破产企业财产分配、处置的决策权，保障债权人的知情权、参与权和监督权。</w:t>
      </w:r>
    </w:p>
    <w:p>
      <w:pPr>
        <w:pStyle w:val="3"/>
        <w:spacing w:line="266" w:lineRule="auto"/>
        <w:jc w:val="both"/>
      </w:pPr>
      <w:r>
        <w:t>人民法院应当加强对破产案件管理人工作的监督和指导，健全完善破产案件管理人工作规则，提高破产案件管理人工作质量和效率；破产管理人协会应当加强行业自律，提高破产管理人的履职能力和水平。</w:t>
      </w:r>
    </w:p>
    <w:p>
      <w:pPr>
        <w:pStyle w:val="3"/>
        <w:spacing w:before="3" w:line="268" w:lineRule="auto"/>
        <w:ind w:right="507"/>
        <w:jc w:val="both"/>
      </w:pPr>
      <w:r>
        <w:t>第二十六条 省高级人民法院应当会同省人民政府有关部门建立破产案件财产处置联动机制，提高破产财产处置效率。</w:t>
      </w:r>
    </w:p>
    <w:p>
      <w:pPr>
        <w:pStyle w:val="3"/>
        <w:spacing w:line="268" w:lineRule="auto"/>
        <w:jc w:val="both"/>
      </w:pPr>
      <w:r>
        <w:t>县级以上人民政府人力资源社会保障部门应当加大破产企业职工权益保障力度，完善职工社会保险关系转移、退休人员社会化管理、档案接转等制度，保障职工合法权益。</w:t>
      </w:r>
    </w:p>
    <w:p>
      <w:pPr>
        <w:pStyle w:val="3"/>
        <w:spacing w:before="3"/>
        <w:ind w:left="0" w:right="0" w:firstLine="0"/>
        <w:rPr>
          <w:sz w:val="31"/>
        </w:rPr>
      </w:pPr>
    </w:p>
    <w:p>
      <w:pPr>
        <w:pStyle w:val="3"/>
        <w:ind w:left="0" w:right="137" w:firstLine="0"/>
        <w:jc w:val="center"/>
        <w:rPr>
          <w:rFonts w:hint="eastAsia" w:ascii="华文细黑" w:eastAsia="华文细黑"/>
        </w:rPr>
      </w:pPr>
      <w:r>
        <w:rPr>
          <w:rFonts w:hint="eastAsia" w:ascii="华文细黑" w:eastAsia="华文细黑"/>
        </w:rPr>
        <w:t>第三章 政务环境</w:t>
      </w:r>
    </w:p>
    <w:p>
      <w:pPr>
        <w:pStyle w:val="3"/>
        <w:spacing w:before="2"/>
        <w:ind w:left="0" w:right="0" w:firstLine="0"/>
        <w:rPr>
          <w:rFonts w:ascii="华文细黑"/>
          <w:sz w:val="29"/>
        </w:rPr>
      </w:pPr>
    </w:p>
    <w:p>
      <w:pPr>
        <w:pStyle w:val="3"/>
        <w:spacing w:before="1" w:line="266" w:lineRule="auto"/>
        <w:ind w:right="214"/>
      </w:pPr>
      <w:r>
        <w:t>第二十七条 县级以上人民政府应当加强服务型政府建设，转变政府职能，提高政务服务效能，推进政务服务标准化智能化便利化，实现“一窗受理·一次办好”，为市场主体提供高效、规范、便捷的政务服务。</w:t>
      </w:r>
    </w:p>
    <w:p>
      <w:pPr>
        <w:pStyle w:val="3"/>
        <w:spacing w:before="5" w:line="266" w:lineRule="auto"/>
        <w:jc w:val="both"/>
      </w:pPr>
      <w:r>
        <w:t>县级以上人民政府有关部门应当建立权责清单制度，将行使的各项行政权力事项、公共服务事项及其依据、行使主体、对应责任等，以清单形式向社会公布，接受社会监督。</w:t>
      </w:r>
    </w:p>
    <w:p>
      <w:pPr>
        <w:pStyle w:val="3"/>
        <w:spacing w:before="5" w:line="268" w:lineRule="auto"/>
        <w:jc w:val="both"/>
      </w:pPr>
      <w:r>
        <w:t>第二十八条 省人民政府应当组织有关部门编制全省统一的政务服务事项目录，制定并公布政务服务事项标准化工作流程、规程和办事指南，</w:t>
      </w:r>
    </w:p>
    <w:p>
      <w:pPr>
        <w:spacing w:after="0" w:line="268" w:lineRule="auto"/>
        <w:jc w:val="both"/>
        <w:sectPr>
          <w:footerReference r:id="rId6" w:type="default"/>
          <w:pgSz w:w="11910" w:h="16840"/>
          <w:pgMar w:top="1580" w:right="1160" w:bottom="1160" w:left="1300" w:header="0" w:footer="978" w:gutter="0"/>
          <w:pgNumType w:start="10"/>
          <w:cols w:space="720" w:num="1"/>
        </w:sectPr>
      </w:pPr>
    </w:p>
    <w:p>
      <w:pPr>
        <w:pStyle w:val="3"/>
        <w:spacing w:before="144" w:line="268" w:lineRule="auto"/>
        <w:ind w:right="114" w:firstLine="0"/>
      </w:pPr>
      <w:r>
        <w:rPr>
          <w:spacing w:val="-3"/>
        </w:rPr>
        <w:t xml:space="preserve">明确政务服务事项的名称、设定依据、申请条件、申请材料、审查标准、 </w:t>
      </w:r>
      <w:r>
        <w:rPr>
          <w:spacing w:val="-6"/>
        </w:rPr>
        <w:t xml:space="preserve">办理程序、办结时限、容缺受理等信息，实行同一服务事项同一办理标准， </w:t>
      </w:r>
      <w:r>
        <w:rPr>
          <w:spacing w:val="-3"/>
        </w:rPr>
        <w:t xml:space="preserve">线上线下办理同一服务标准、一个办理平台，实现政务服务和公共服务标 准化。没有法律、法规、规章依据，不得增设政务服务事项的办理条件和 </w:t>
      </w:r>
      <w:r>
        <w:rPr>
          <w:spacing w:val="-2"/>
        </w:rPr>
        <w:t>环节。</w:t>
      </w:r>
    </w:p>
    <w:p>
      <w:pPr>
        <w:pStyle w:val="3"/>
        <w:spacing w:line="268" w:lineRule="auto"/>
        <w:ind w:right="214"/>
      </w:pPr>
      <w:r>
        <w:t>第二十九条 除直接涉及公共安全、金融安全、生态环境保护以及直接关系人身健康、生命财产安全的行政权力事项外，能够通过事中事后监管不会产生严重后果的行政权力事项，可以采取告知承诺方式办理。</w:t>
      </w:r>
    </w:p>
    <w:p>
      <w:pPr>
        <w:pStyle w:val="3"/>
        <w:spacing w:line="268" w:lineRule="auto"/>
        <w:jc w:val="both"/>
      </w:pPr>
      <w:r>
        <w:t>市场主体作出的承诺符合办理条件的，县级以上人民政府有关部门应当直接办理并作出决定；未履行承诺的，应当责令其限期整改；整改后仍不符合条件的，应当撤销办理决定。</w:t>
      </w:r>
    </w:p>
    <w:p>
      <w:pPr>
        <w:pStyle w:val="3"/>
        <w:spacing w:line="268" w:lineRule="auto"/>
      </w:pPr>
      <w:r>
        <w:t>县级以上人民政府有关部门应当公开告知承诺事项办理条件、标准、流程等。</w:t>
      </w:r>
    </w:p>
    <w:p>
      <w:pPr>
        <w:pStyle w:val="3"/>
        <w:spacing w:line="266" w:lineRule="auto"/>
      </w:pPr>
      <w:r>
        <w:t>第三十条 县级以上人民政府及其有关部门应当优化政务服务事项办理流程，按照减事项、减环节、减材料、减时限的要求，推行当场办结、一次办结、限时办结等制度，构建跨部门横向联通、跨层级纵向联动的服务模式，实现集中办理、就近办理、网上办理、异地可办；需要市场主体补正有关材料、手续的，应当一次性告知需要补正的内容。</w:t>
      </w:r>
    </w:p>
    <w:p>
      <w:pPr>
        <w:pStyle w:val="3"/>
        <w:spacing w:line="266" w:lineRule="auto"/>
        <w:jc w:val="both"/>
      </w:pPr>
      <w:r>
        <w:t>县级以上人民政府及其有关部门应当在法律、法规、规章以及国家和省规定的办理时限内尽快办结政务服务事项。设区的市、县（市、区）人民政府可以在前述规定的政务服务事项办理时限内进一步压减时间，并向社会公开。</w:t>
      </w:r>
    </w:p>
    <w:p>
      <w:pPr>
        <w:pStyle w:val="3"/>
        <w:spacing w:line="266" w:lineRule="auto"/>
        <w:ind w:right="114"/>
      </w:pPr>
      <w:r>
        <w:rPr>
          <w:spacing w:val="-4"/>
        </w:rPr>
        <w:t>第三十一条 县级以上人民政府应当明确统一的政务服务中心，乡镇人</w:t>
      </w:r>
      <w:r>
        <w:rPr>
          <w:spacing w:val="-5"/>
        </w:rPr>
        <w:t>民政府和街道办事处应当设立便民服务中心，实行政务服务事项综合受理、</w:t>
      </w:r>
      <w:r>
        <w:rPr>
          <w:spacing w:val="-3"/>
        </w:rPr>
        <w:t xml:space="preserve">集中办理、现场服务、限时服务，为市场主体就近办理政务服务事项提供 </w:t>
      </w:r>
      <w:r>
        <w:rPr>
          <w:spacing w:val="-2"/>
        </w:rPr>
        <w:t>便利。</w:t>
      </w:r>
    </w:p>
    <w:p>
      <w:pPr>
        <w:pStyle w:val="3"/>
        <w:spacing w:line="268" w:lineRule="auto"/>
      </w:pPr>
      <w:r>
        <w:t>乡镇人民政府、街道办事处可以在村、社区设立便民服务站点，提供政务服务事项办理延伸服务。</w:t>
      </w:r>
    </w:p>
    <w:p>
      <w:pPr>
        <w:pStyle w:val="3"/>
        <w:spacing w:line="266" w:lineRule="auto"/>
        <w:ind w:right="214"/>
      </w:pPr>
      <w:r>
        <w:t>第三十二条 省人民政府根据国家统一要求，建立全省一体化在线政务服务平台，完善全省人口、法人单位、公共信用、空间地理、电子证照等政务基础信息数据库，实行跨地区、跨部门、跨层级政务数据共享和业务协同，利用互联网端、移动终端、自助终端等智能化办事渠道，推动实现政务服务事项一网通办。除法律、法规另有规定或者涉及国家秘密等情形外，政务服务事项应当纳入一体化在线平台办理。</w:t>
      </w:r>
    </w:p>
    <w:p>
      <w:pPr>
        <w:spacing w:after="0" w:line="266" w:lineRule="auto"/>
        <w:sectPr>
          <w:pgSz w:w="11910" w:h="16840"/>
          <w:pgMar w:top="1580" w:right="1160" w:bottom="1160" w:left="1300" w:header="0" w:footer="978" w:gutter="0"/>
          <w:cols w:space="720" w:num="1"/>
        </w:sectPr>
      </w:pPr>
    </w:p>
    <w:p>
      <w:pPr>
        <w:pStyle w:val="3"/>
        <w:spacing w:before="144" w:line="266" w:lineRule="auto"/>
        <w:jc w:val="both"/>
      </w:pPr>
      <w:r>
        <w:t>县级以上人民政府及其有关部门应当加强电子印章、电子证照和电子档案在政务服务中的互认共享和推广应用，能够通过在线政务服务平台提取、生成或者信息共享的材料，不得要求重复提供。</w:t>
      </w:r>
    </w:p>
    <w:p>
      <w:pPr>
        <w:pStyle w:val="3"/>
        <w:spacing w:before="5" w:line="268" w:lineRule="auto"/>
        <w:ind w:right="114"/>
        <w:jc w:val="both"/>
      </w:pPr>
      <w:r>
        <w:rPr>
          <w:spacing w:val="-5"/>
        </w:rPr>
        <w:t>第三十三条 市场主体依法享有获取政府信息的权利，并有权咨询有关</w:t>
      </w:r>
      <w:r>
        <w:rPr>
          <w:spacing w:val="-6"/>
        </w:rPr>
        <w:t>情况以及查阅、复制有关资料，政府有关部门应当依法提供免费查询服务。</w:t>
      </w:r>
    </w:p>
    <w:p>
      <w:pPr>
        <w:pStyle w:val="3"/>
        <w:spacing w:line="266" w:lineRule="auto"/>
        <w:jc w:val="both"/>
      </w:pPr>
      <w:r>
        <w:t>除涉及国家秘密和依法受到保护的商业秘密、个人隐私事项外，政府有关部门应当将其职责内容、工作程序、服务承诺、行政执法等履行职责的政务活动事项，通过政府网站、部门门户网站、办事窗口以及有关新闻媒体向社会公开。</w:t>
      </w:r>
    </w:p>
    <w:p>
      <w:pPr>
        <w:pStyle w:val="3"/>
        <w:spacing w:before="3" w:line="266" w:lineRule="auto"/>
      </w:pPr>
      <w:r>
        <w:t>第三十四条 县级以上人民政府及其有关部门应当依托在线政务服务平台，依法公开涉及市场主体的规划、产业、税费、融资、奖励、补贴、创业、创新、人才、市场等政策。</w:t>
      </w:r>
    </w:p>
    <w:p>
      <w:pPr>
        <w:pStyle w:val="3"/>
        <w:spacing w:before="6" w:line="268" w:lineRule="auto"/>
      </w:pPr>
      <w:r>
        <w:t>政府有关部门应当建立涉企政策辅导机制，通过宣传、解读和接受咨询等多种形式，及时为市场主体提供涉企政策服务。</w:t>
      </w:r>
    </w:p>
    <w:p>
      <w:pPr>
        <w:pStyle w:val="3"/>
        <w:spacing w:line="268" w:lineRule="auto"/>
        <w:ind w:right="114"/>
      </w:pPr>
      <w:r>
        <w:rPr>
          <w:spacing w:val="-4"/>
        </w:rPr>
        <w:t>第三十五条 县级以上人民政府应当完善公共资源交易制度，将工程建</w:t>
      </w:r>
      <w:r>
        <w:rPr>
          <w:spacing w:val="-3"/>
        </w:rPr>
        <w:t xml:space="preserve">设项目招标投标、政府采购、土地使用权和矿业权出让、国有产权交易、 药品和医疗器械采购、特许经营权以及其他涉及公共利益、公共安全的资 </w:t>
      </w:r>
      <w:r>
        <w:rPr>
          <w:spacing w:val="-6"/>
        </w:rPr>
        <w:t xml:space="preserve">源交易纳入统一的公共资源交易平台，公开交易目录、程序、结果等信息， </w:t>
      </w:r>
      <w:r>
        <w:rPr>
          <w:spacing w:val="-3"/>
        </w:rPr>
        <w:t>保障各类市场主体及时获取有关信息并平等参与交易活动。</w:t>
      </w:r>
    </w:p>
    <w:p>
      <w:pPr>
        <w:pStyle w:val="3"/>
        <w:spacing w:line="266" w:lineRule="auto"/>
      </w:pPr>
      <w:r>
        <w:t>第三十六条 县级以上人民政府有关部门应当加强不动产登记相关信息共享，优化不动产登记办事流程，实行不动产登记、交易和缴税一窗受理、并行办理，提供不动产登记信息网上查询和现场自助查询服务，提高服务效率。</w:t>
      </w:r>
    </w:p>
    <w:p>
      <w:pPr>
        <w:pStyle w:val="3"/>
        <w:spacing w:line="266" w:lineRule="auto"/>
      </w:pPr>
      <w:r>
        <w:rPr>
          <w:spacing w:val="-3"/>
        </w:rPr>
        <w:t>第三十七条 省人民政府应当统一组织编制并公布工程建设项目报建审批事项清单，明确审批事项名称、适用范围、前置条件、申请材料和审批时限，实现工程建设项目统一受理、多规合一、多评合一、并联审批， 简化审批手续，提高审批效能。</w:t>
      </w:r>
    </w:p>
    <w:p>
      <w:pPr>
        <w:pStyle w:val="3"/>
        <w:spacing w:before="1" w:line="268" w:lineRule="auto"/>
        <w:jc w:val="both"/>
      </w:pPr>
      <w:r>
        <w:rPr>
          <w:spacing w:val="-3"/>
        </w:rPr>
        <w:t>依法设立的经济开发区、高新技术产业开发区、海关特殊监管区域、新区和其他有条件的区域，设区的市人民政府应当按照国家和省有关规定推行区域化评估，对区域内压覆重要矿产资源、地质灾害危险性等事项进行统一评估，评估结果由市场主体共享使用，提高项目落地效率。区域评估的费用不得由市场主体承担。</w:t>
      </w:r>
    </w:p>
    <w:p>
      <w:pPr>
        <w:pStyle w:val="3"/>
        <w:spacing w:line="268" w:lineRule="auto"/>
      </w:pPr>
      <w:r>
        <w:t>已经实施区域评估的，有关部门在审批工程建设项目时，不得要求市场主体重复开展相关评估评价，法律、法规另有规定的除外。</w:t>
      </w:r>
    </w:p>
    <w:p>
      <w:pPr>
        <w:spacing w:after="0" w:line="268" w:lineRule="auto"/>
        <w:sectPr>
          <w:pgSz w:w="11910" w:h="16840"/>
          <w:pgMar w:top="1580" w:right="1160" w:bottom="1160" w:left="1300" w:header="0" w:footer="978" w:gutter="0"/>
          <w:cols w:space="720" w:num="1"/>
        </w:sectPr>
      </w:pPr>
    </w:p>
    <w:p>
      <w:pPr>
        <w:pStyle w:val="3"/>
        <w:spacing w:before="144" w:line="266" w:lineRule="auto"/>
        <w:ind w:right="114"/>
      </w:pPr>
      <w:r>
        <w:rPr>
          <w:spacing w:val="-5"/>
        </w:rPr>
        <w:t>第三十八条 税务机关应当严格执行税收法律、法规，落实国家规定的</w:t>
      </w:r>
      <w:r>
        <w:rPr>
          <w:spacing w:val="-6"/>
        </w:rPr>
        <w:t xml:space="preserve">优惠政策，保障市场主体依法享受减税、免税、出口退税等有关税收优惠， </w:t>
      </w:r>
      <w:r>
        <w:rPr>
          <w:spacing w:val="-3"/>
        </w:rPr>
        <w:t>降低企业税收负担。</w:t>
      </w:r>
    </w:p>
    <w:p>
      <w:pPr>
        <w:pStyle w:val="3"/>
        <w:spacing w:before="5" w:line="266" w:lineRule="auto"/>
        <w:jc w:val="both"/>
      </w:pPr>
      <w:r>
        <w:t>税务机关应当优化办税流程、精简办税资料，简并申报缴税次数，公开涉税事项办理时限，压减办税时间，加大推广使用电子发票的力度，逐步实现全程网上办税，持续优化纳税服务。</w:t>
      </w:r>
    </w:p>
    <w:p>
      <w:pPr>
        <w:pStyle w:val="3"/>
        <w:spacing w:before="5" w:line="266" w:lineRule="auto"/>
        <w:ind w:right="214"/>
      </w:pPr>
      <w:r>
        <w:t>第三十九条 证明事项应当有法律、法规或者国务院决定依据。对通过法定证照、法定文书、书面告知承诺、政府部门内部核查和部门间核查、网络核验、合同凭证等能够办理，或者能够被其他材料涵盖、替代，以及开具单位无法调查核实的，不得设定证明事项。</w:t>
      </w:r>
    </w:p>
    <w:p>
      <w:pPr>
        <w:pStyle w:val="3"/>
        <w:spacing w:before="8" w:line="266" w:lineRule="auto"/>
        <w:ind w:right="114"/>
      </w:pPr>
      <w:r>
        <w:rPr>
          <w:spacing w:val="-3"/>
        </w:rPr>
        <w:t xml:space="preserve">县级以上人民政府应当组织有关部门编制并公布证明事项清单，逐项 </w:t>
      </w:r>
      <w:r>
        <w:rPr>
          <w:spacing w:val="-7"/>
        </w:rPr>
        <w:t>列明设定依据、索要单位、开具单位、办理指南等。清单之外，政府部门、</w:t>
      </w:r>
      <w:r>
        <w:rPr>
          <w:spacing w:val="-3"/>
        </w:rPr>
        <w:t>公用企业事业单位和服务机构不得索要证明。各地区、各部门之间应当加 强证明的互认共享，避免重复索要证明。</w:t>
      </w:r>
    </w:p>
    <w:p>
      <w:pPr>
        <w:pStyle w:val="3"/>
        <w:spacing w:before="5"/>
        <w:ind w:left="0" w:right="0" w:firstLine="0"/>
        <w:rPr>
          <w:sz w:val="32"/>
        </w:rPr>
      </w:pPr>
    </w:p>
    <w:p>
      <w:pPr>
        <w:pStyle w:val="3"/>
        <w:spacing w:before="1"/>
        <w:ind w:left="0" w:right="137" w:firstLine="0"/>
        <w:jc w:val="center"/>
        <w:rPr>
          <w:rFonts w:hint="eastAsia" w:ascii="华文细黑" w:eastAsia="华文细黑"/>
        </w:rPr>
      </w:pPr>
      <w:r>
        <w:rPr>
          <w:rFonts w:hint="eastAsia" w:ascii="华文细黑" w:eastAsia="华文细黑"/>
        </w:rPr>
        <w:t>第四章 法治环境</w:t>
      </w:r>
    </w:p>
    <w:p>
      <w:pPr>
        <w:pStyle w:val="3"/>
        <w:spacing w:before="2"/>
        <w:ind w:left="0" w:right="0" w:firstLine="0"/>
        <w:rPr>
          <w:rFonts w:ascii="华文细黑"/>
          <w:sz w:val="29"/>
        </w:rPr>
      </w:pPr>
    </w:p>
    <w:p>
      <w:pPr>
        <w:pStyle w:val="3"/>
        <w:spacing w:line="266" w:lineRule="auto"/>
      </w:pPr>
      <w:r>
        <w:t>第四十条 县级以上人民政府及其有关部门应当及时修改或者废止与法律、法规或者经济社会发展需要不一致的地方政府规章以及行政规范性文件，并予以公布。</w:t>
      </w:r>
    </w:p>
    <w:p>
      <w:pPr>
        <w:pStyle w:val="3"/>
        <w:spacing w:before="6" w:line="266" w:lineRule="auto"/>
        <w:jc w:val="both"/>
      </w:pPr>
      <w:r>
        <w:t>制定与市场主体生产经营活动密切相关的地方政府规章和行政规范性文件，应当按照国家规定进行公平竞争审查，并充分听取市场主体和行业协会商会意见。</w:t>
      </w:r>
    </w:p>
    <w:p>
      <w:pPr>
        <w:pStyle w:val="3"/>
        <w:spacing w:before="5" w:line="266" w:lineRule="auto"/>
      </w:pPr>
      <w:r>
        <w:t>第四十一条 各级人民政府和有关部门应当履行向市场主体依法作出的政策承诺以及依法订立的各类合同，不得以行政区划调整、政府换届、机构或者职能调整以及相关责任人更替等为由，不履行、不完全履行或者迟延履行约定义务。因国家利益、公共利益需要改变政策承诺、合同约定的，应当依照法定权限和程序进行；给市场主体造成损失的，应当依法予以补偿。</w:t>
      </w:r>
    </w:p>
    <w:p>
      <w:pPr>
        <w:pStyle w:val="3"/>
        <w:spacing w:before="11" w:line="266" w:lineRule="auto"/>
        <w:ind w:right="214"/>
      </w:pPr>
      <w:r>
        <w:t>第四十二条 县级以上人民政府有关部门应当严格依照法律、法规、规章和职责分工，落实监管责任，依法对市场主体进行监管，实现监管全覆盖。</w:t>
      </w:r>
    </w:p>
    <w:p>
      <w:pPr>
        <w:pStyle w:val="3"/>
        <w:spacing w:before="5" w:line="268" w:lineRule="auto"/>
      </w:pPr>
      <w:r>
        <w:t>最大限度减少不必要的行政执法事项。除法律、法规、规章另有规定外，同一部门对市场主体实施的多项执法检查，应当合并进行。多个部门</w:t>
      </w:r>
    </w:p>
    <w:p>
      <w:pPr>
        <w:spacing w:after="0" w:line="268" w:lineRule="auto"/>
        <w:sectPr>
          <w:pgSz w:w="11910" w:h="16840"/>
          <w:pgMar w:top="1580" w:right="1160" w:bottom="1160" w:left="1300" w:header="0" w:footer="978" w:gutter="0"/>
          <w:cols w:space="720" w:num="1"/>
        </w:sectPr>
      </w:pPr>
    </w:p>
    <w:p>
      <w:pPr>
        <w:pStyle w:val="3"/>
        <w:spacing w:before="144" w:line="268" w:lineRule="auto"/>
        <w:ind w:firstLine="0"/>
      </w:pPr>
      <w:r>
        <w:t>对同一市场主体进行检查的，由同级司法行政部门协调，明确由一个部门组织实施联合检查。</w:t>
      </w:r>
    </w:p>
    <w:p>
      <w:pPr>
        <w:pStyle w:val="3"/>
        <w:spacing w:line="354" w:lineRule="exact"/>
        <w:ind w:left="677" w:right="0" w:firstLine="0"/>
      </w:pPr>
      <w:r>
        <w:t>实施行政执法检查，不得妨碍市场主体正常的生产经营活动。</w:t>
      </w:r>
    </w:p>
    <w:p>
      <w:pPr>
        <w:pStyle w:val="3"/>
        <w:spacing w:before="42" w:line="268" w:lineRule="auto"/>
        <w:ind w:right="507"/>
      </w:pPr>
      <w:r>
        <w:t>第四十三条 除直接涉及公共安全和人民群众生命健康等特殊重点领域，在市场监管领域实行部门联合“双随机、一公开”监管。</w:t>
      </w:r>
    </w:p>
    <w:p>
      <w:pPr>
        <w:pStyle w:val="3"/>
        <w:spacing w:line="268" w:lineRule="auto"/>
        <w:ind w:right="114"/>
      </w:pPr>
      <w:r>
        <w:rPr>
          <w:spacing w:val="-3"/>
        </w:rPr>
        <w:t xml:space="preserve">省人民政府有关部门应当建立健全本省统一监管工作平台，制定市场 </w:t>
      </w:r>
      <w:r>
        <w:rPr>
          <w:spacing w:val="-6"/>
        </w:rPr>
        <w:t>监管领域随机抽查事项清单，实现抽查检查结果互认共享，促进“双随机、</w:t>
      </w:r>
      <w:r>
        <w:rPr>
          <w:spacing w:val="-3"/>
        </w:rPr>
        <w:t>一公开”监管与信用监管有效衔接。</w:t>
      </w:r>
    </w:p>
    <w:p>
      <w:pPr>
        <w:pStyle w:val="3"/>
        <w:spacing w:line="268" w:lineRule="auto"/>
        <w:jc w:val="both"/>
      </w:pPr>
      <w:r>
        <w:t>对直接涉及公共安全和人民群众生命健康等特殊重点领域，有关部门应当强化全过程质量安全管理和风险监控，依法实行重点监管。重点监管事项应当严格控制数量和范围。</w:t>
      </w:r>
    </w:p>
    <w:p>
      <w:pPr>
        <w:pStyle w:val="3"/>
        <w:spacing w:line="268" w:lineRule="auto"/>
        <w:ind w:right="255"/>
        <w:jc w:val="both"/>
      </w:pPr>
      <w:r>
        <w:rPr>
          <w:spacing w:val="-5"/>
        </w:rPr>
        <w:t>第四十四条 本省实行行政执法公示制度、行政执法全过程记录制度和</w:t>
      </w:r>
      <w:r>
        <w:rPr>
          <w:spacing w:val="-3"/>
        </w:rPr>
        <w:t>重大执法决定法制审核制度，推进行政执法透明、规范、合法、公正。</w:t>
      </w:r>
    </w:p>
    <w:p>
      <w:pPr>
        <w:pStyle w:val="3"/>
        <w:spacing w:line="266" w:lineRule="auto"/>
        <w:jc w:val="both"/>
      </w:pPr>
      <w:r>
        <w:t>县级以上人民政府应当加强行政执法监督，防止和纠正违法或者不当的行政执法行为，督促有关部门依法履行职责，切实保障市场主体的合法权益。</w:t>
      </w:r>
    </w:p>
    <w:p>
      <w:pPr>
        <w:pStyle w:val="3"/>
        <w:spacing w:line="266" w:lineRule="auto"/>
        <w:ind w:right="114"/>
      </w:pPr>
      <w:r>
        <w:rPr>
          <w:spacing w:val="-4"/>
        </w:rPr>
        <w:t>第四十五条 县级以上人民政府及其有关部门应当充分运用互联网、大</w:t>
      </w:r>
      <w:r>
        <w:rPr>
          <w:spacing w:val="-3"/>
        </w:rPr>
        <w:t xml:space="preserve">数据等技术手段，依托国家和省统一的在线监管系统，加强监管信息归集 </w:t>
      </w:r>
      <w:r>
        <w:rPr>
          <w:spacing w:val="-6"/>
        </w:rPr>
        <w:t xml:space="preserve">共享和关联整合，推行远程监管、移动监管、预警防控等非现场监管方式， </w:t>
      </w:r>
      <w:r>
        <w:rPr>
          <w:spacing w:val="-3"/>
        </w:rPr>
        <w:t>提高监管效率和监管的精准化、智能化水平。</w:t>
      </w:r>
    </w:p>
    <w:p>
      <w:pPr>
        <w:pStyle w:val="3"/>
        <w:spacing w:line="266" w:lineRule="auto"/>
        <w:ind w:right="214"/>
      </w:pPr>
      <w:r>
        <w:t>第四十六条 县级以上人民政府及其有关部门对市场主体采取限产、停产等应急管理措施的，应当严格依照相关法律、法规的规定实施，并根据市场主体的具体生产经营情况采取相应措施，减少对市场主体生产经营活动的影响。</w:t>
      </w:r>
    </w:p>
    <w:p>
      <w:pPr>
        <w:pStyle w:val="3"/>
        <w:spacing w:before="1" w:line="266" w:lineRule="auto"/>
        <w:jc w:val="both"/>
      </w:pPr>
      <w:r>
        <w:t>除涉及人民群众生命安全、发生重特大事故或者举办国家重大活动， 并报经有权机关批准外，不得在相关区域采取要求相关行业、领域的市场主体普遍停产、停业等措施。</w:t>
      </w:r>
    </w:p>
    <w:p>
      <w:pPr>
        <w:pStyle w:val="3"/>
        <w:spacing w:before="6" w:line="266" w:lineRule="auto"/>
        <w:ind w:right="214"/>
      </w:pPr>
      <w:r>
        <w:t>第四十七条 人民法院、人民检察院应当坚持各类市场主体法律地位平等、权利保护平等和发展机会平等的原则，严格依法公开公正高效做好审判、检察和执行工作，保护市场主体合法权益。</w:t>
      </w:r>
    </w:p>
    <w:p>
      <w:pPr>
        <w:pStyle w:val="3"/>
        <w:spacing w:before="5" w:line="266" w:lineRule="auto"/>
        <w:jc w:val="both"/>
      </w:pPr>
      <w:r>
        <w:t>公安机关应当对干扰市场主体正常生产经营活动，或者侵害生产经营者人身安全、财产安全等违法行为，及时依法处置，保障正常的生产经营秩序。</w:t>
      </w:r>
    </w:p>
    <w:p>
      <w:pPr>
        <w:pStyle w:val="3"/>
        <w:spacing w:before="5"/>
        <w:ind w:left="677" w:right="0" w:firstLine="0"/>
        <w:jc w:val="both"/>
      </w:pPr>
      <w:r>
        <w:t>第四十八条 人民法院、人民检察院和公安机关应当严格依法审慎对市</w:t>
      </w:r>
    </w:p>
    <w:p>
      <w:pPr>
        <w:spacing w:after="0"/>
        <w:jc w:val="both"/>
        <w:sectPr>
          <w:pgSz w:w="11910" w:h="16840"/>
          <w:pgMar w:top="1580" w:right="1160" w:bottom="1160" w:left="1300" w:header="0" w:footer="978" w:gutter="0"/>
          <w:cols w:space="720" w:num="1"/>
        </w:sectPr>
      </w:pPr>
    </w:p>
    <w:p>
      <w:pPr>
        <w:pStyle w:val="3"/>
        <w:spacing w:before="144" w:line="266" w:lineRule="auto"/>
        <w:ind w:firstLine="0"/>
        <w:jc w:val="both"/>
      </w:pPr>
      <w:r>
        <w:t>场主体的法定代表人、主要管理人员采取限制人身自由的强制措施；依法需要采取限制人身自由强制措施的，应当严格依照法定条件和法定程序进行。</w:t>
      </w:r>
    </w:p>
    <w:p>
      <w:pPr>
        <w:pStyle w:val="3"/>
        <w:spacing w:before="5" w:line="266" w:lineRule="auto"/>
        <w:jc w:val="both"/>
      </w:pPr>
      <w:r>
        <w:t>人民法院、人民检察院和公安机关依法需要对市场主体及其法定代表人、主要管理人员的涉案财物采取查封、扣押、冻结等强制措施的，不得超权限、超范围、超数额、超时限，并有效保护利害关系人的合法权益， 减少对市场主体正常生产经营的不利影响。</w:t>
      </w:r>
    </w:p>
    <w:p>
      <w:pPr>
        <w:pStyle w:val="3"/>
        <w:spacing w:before="8" w:line="266" w:lineRule="auto"/>
        <w:ind w:right="114"/>
        <w:jc w:val="both"/>
      </w:pPr>
      <w:r>
        <w:rPr>
          <w:spacing w:val="-5"/>
        </w:rPr>
        <w:t>第四十九条 本省建立健全有机衔接、协调联动、高效便捷的纠纷多元</w:t>
      </w:r>
      <w:r>
        <w:rPr>
          <w:spacing w:val="-6"/>
        </w:rPr>
        <w:t>化解机制，合理配置纠纷化解资源，为市场主体提供适宜的纠纷化解渠道。</w:t>
      </w:r>
    </w:p>
    <w:p>
      <w:pPr>
        <w:pStyle w:val="3"/>
        <w:spacing w:before="3" w:line="266" w:lineRule="auto"/>
        <w:jc w:val="both"/>
      </w:pPr>
      <w:r>
        <w:t>县级以上人民政府司法行政部门应当整合律师、公证、司法鉴定、调解、仲裁等公共法律服务资源，加快推进公共法律服务体系建设，为市场主体提供优质精准的法律服务。</w:t>
      </w:r>
    </w:p>
    <w:p>
      <w:pPr>
        <w:pStyle w:val="3"/>
        <w:spacing w:before="5"/>
        <w:ind w:left="0" w:right="0" w:firstLine="0"/>
        <w:rPr>
          <w:sz w:val="32"/>
        </w:rPr>
      </w:pPr>
    </w:p>
    <w:p>
      <w:pPr>
        <w:pStyle w:val="3"/>
        <w:ind w:left="0" w:right="137" w:firstLine="0"/>
        <w:jc w:val="center"/>
        <w:rPr>
          <w:rFonts w:hint="eastAsia" w:ascii="华文细黑" w:eastAsia="华文细黑"/>
        </w:rPr>
      </w:pPr>
      <w:r>
        <w:rPr>
          <w:rFonts w:hint="eastAsia" w:ascii="华文细黑" w:eastAsia="华文细黑"/>
        </w:rPr>
        <w:t>第五章 监督保障</w:t>
      </w:r>
    </w:p>
    <w:p>
      <w:pPr>
        <w:pStyle w:val="3"/>
        <w:spacing w:before="2"/>
        <w:ind w:left="0" w:right="0" w:firstLine="0"/>
        <w:rPr>
          <w:rFonts w:ascii="华文细黑"/>
          <w:sz w:val="29"/>
        </w:rPr>
      </w:pPr>
    </w:p>
    <w:p>
      <w:pPr>
        <w:pStyle w:val="3"/>
        <w:spacing w:before="1" w:line="266" w:lineRule="auto"/>
      </w:pPr>
      <w:r>
        <w:t>第五十条 县级以上人民代表大会常务委员会通过听取和审议专项工作报告、规范性文件备案审查、专题询问、质询、特定问题调查等方式， 开展营商环境监督。</w:t>
      </w:r>
    </w:p>
    <w:p>
      <w:pPr>
        <w:pStyle w:val="3"/>
        <w:spacing w:before="5" w:line="266" w:lineRule="auto"/>
        <w:ind w:right="214"/>
      </w:pPr>
      <w:r>
        <w:t>第五十一条 省和设区的市人民代表大会常务委员会、人民政府应当根据优化营商环境需要，依照法定权限和程序及时制定或者修改、废止有关地方性法规、地方政府规章。</w:t>
      </w:r>
    </w:p>
    <w:p>
      <w:pPr>
        <w:pStyle w:val="3"/>
        <w:spacing w:before="5" w:line="266" w:lineRule="auto"/>
        <w:jc w:val="both"/>
      </w:pPr>
      <w:r>
        <w:t>除依法需要保密外，制定与市场主体生产经营活动密切相关的地方性法规、地方政府规章和行政规范性文件，应当通过报纸、网络等向社会公开征求意见，并建立健全意见采纳情况反馈机制。向社会公开征求意见的期限一般不少于三十日。</w:t>
      </w:r>
    </w:p>
    <w:p>
      <w:pPr>
        <w:pStyle w:val="3"/>
        <w:spacing w:before="6" w:line="268" w:lineRule="auto"/>
        <w:jc w:val="both"/>
      </w:pPr>
      <w:r>
        <w:t>没有法律、法规或者国务院决定和命令的依据，地方政府规章和行政规范性文件不得减损市场主体合法权益或者增加其义务，不得设置市场准入和退出条件，不得干预市场主体正常生产经营活动。</w:t>
      </w:r>
    </w:p>
    <w:p>
      <w:pPr>
        <w:pStyle w:val="3"/>
        <w:spacing w:line="268" w:lineRule="auto"/>
        <w:ind w:right="214"/>
      </w:pPr>
      <w:r>
        <w:t>第五十二条 县级以上人民政府应当完善经济运行监测长效机制，强化经济运行、公共卫生、金融安全、社会就业等领域风险预警，及时制定有针对性的政策措施，加强宣传解读和督导落实，合理引导市场预期。</w:t>
      </w:r>
    </w:p>
    <w:p>
      <w:pPr>
        <w:pStyle w:val="3"/>
        <w:spacing w:line="268" w:lineRule="auto"/>
        <w:ind w:right="214"/>
      </w:pPr>
      <w:r>
        <w:t>第五十三条 发生突发事件，相关县级以上人民政府应当统筹推进突发事件应对和经济社会发展工作，采取强化财政金融政策支持、加大税费支持力度、降低运营成本、加大援企稳岗力度等措施，支持、推动各类市场</w:t>
      </w:r>
    </w:p>
    <w:p>
      <w:pPr>
        <w:spacing w:after="0" w:line="268" w:lineRule="auto"/>
        <w:sectPr>
          <w:pgSz w:w="11910" w:h="16840"/>
          <w:pgMar w:top="1580" w:right="1160" w:bottom="1160" w:left="1300" w:header="0" w:footer="978" w:gutter="0"/>
          <w:cols w:space="720" w:num="1"/>
        </w:sectPr>
      </w:pPr>
    </w:p>
    <w:p>
      <w:pPr>
        <w:pStyle w:val="3"/>
        <w:spacing w:before="144" w:line="268" w:lineRule="auto"/>
        <w:ind w:firstLine="0"/>
      </w:pPr>
      <w:r>
        <w:t>主体开展生产经营，促进经济社会平稳有序运行；民营企业、中小企业按照国家和省有关规定享受优惠扶持政策。</w:t>
      </w:r>
    </w:p>
    <w:p>
      <w:pPr>
        <w:pStyle w:val="3"/>
        <w:spacing w:line="268" w:lineRule="auto"/>
      </w:pPr>
      <w:r>
        <w:t>第五十四条 县级以上人民政府应当建立健全信用信息公示系统和信用信息共享平台，创新信用监管机制，加强信用信息征集、披露、使用和管理，不断提升信用监管效能。</w:t>
      </w:r>
    </w:p>
    <w:p>
      <w:pPr>
        <w:pStyle w:val="3"/>
        <w:spacing w:line="266" w:lineRule="auto"/>
      </w:pPr>
      <w:r>
        <w:t>第五十五条 县级以上人民政府及其有关部门应当按照构建亲清新型政商关系的要求，建立畅通有效的政企沟通机制和联系服务制度，采取多种方式听取市场主体的意见建议，及时了解并依法帮助市场主体解决生产经营活动中遇到的问题。</w:t>
      </w:r>
    </w:p>
    <w:p>
      <w:pPr>
        <w:pStyle w:val="3"/>
        <w:spacing w:line="266" w:lineRule="auto"/>
      </w:pPr>
      <w:r>
        <w:t>第五十六条 县级以上人民政府及其有关部门应当建立健全投诉举报和查处回应制度，畅通便民服务专线、政务服务平台、信访等渠道，对投诉举报应当及时受理、直接查办或者按责转办、限时办结、跟踪督办，及时将办理结果告知投诉人、举报人，并依法为投诉人、举报人保密。</w:t>
      </w:r>
    </w:p>
    <w:p>
      <w:pPr>
        <w:pStyle w:val="3"/>
        <w:spacing w:before="6" w:line="266" w:lineRule="auto"/>
        <w:ind w:right="214"/>
      </w:pPr>
      <w:r>
        <w:t>第五十七条 鼓励和支持对营商环境进行舆论监督。新闻媒体及其从业人员进行涉及市场主体的报道，应当真实、客观。任何单位和个人不得捏造虚假信息或者歪曲事实进行不实报道，不得利用新闻报道向市场主体索取财物或者谋取其他利益。</w:t>
      </w:r>
    </w:p>
    <w:p>
      <w:pPr>
        <w:pStyle w:val="3"/>
        <w:spacing w:before="5" w:line="268" w:lineRule="auto"/>
      </w:pPr>
      <w:r>
        <w:t>县级以上人民政府及其有关部门应当建立舆情收集和回应机制，及时调查处理损害营商环境的行为，并向社会公开调查处理结果。</w:t>
      </w:r>
    </w:p>
    <w:p>
      <w:pPr>
        <w:pStyle w:val="3"/>
        <w:spacing w:line="266" w:lineRule="auto"/>
        <w:ind w:right="214"/>
      </w:pPr>
      <w:r>
        <w:t>第五十八条 县级以上人民政府应当健全就业工作协调机制，统筹推进本行政区域稳就业工作，完善多渠道就业资金投入保障机制，确保就业创业政策落实落地。</w:t>
      </w:r>
    </w:p>
    <w:p>
      <w:pPr>
        <w:pStyle w:val="3"/>
        <w:spacing w:before="4" w:line="266" w:lineRule="auto"/>
        <w:jc w:val="both"/>
      </w:pPr>
      <w:r>
        <w:t>县级以上人民政府人力资源社会保障等部门应当完善公共就业服务体系，发挥各类就业服务机构作用，整合就业服务资源，建立完善就业岗位信息归集发布制度，为市场主体用工提供便利。</w:t>
      </w:r>
    </w:p>
    <w:p>
      <w:pPr>
        <w:pStyle w:val="3"/>
        <w:spacing w:before="5" w:line="266" w:lineRule="auto"/>
        <w:ind w:right="114"/>
      </w:pPr>
      <w:r>
        <w:rPr>
          <w:spacing w:val="-3"/>
        </w:rPr>
        <w:t xml:space="preserve">第五十九条 县级以上人民政府及其有关部门应当创新人才工作机制， </w:t>
      </w:r>
      <w:r>
        <w:rPr>
          <w:spacing w:val="-7"/>
        </w:rPr>
        <w:t xml:space="preserve">制定人才培养、引进、评价、激励和服务保障等措施，发布人才需求目录， </w:t>
      </w:r>
      <w:r>
        <w:rPr>
          <w:spacing w:val="-3"/>
        </w:rPr>
        <w:t>推动国内外人才智力交流与合作，并在医疗、社会保险、住房、子女入学 等方面提供便利，为吸引、留住、用好人才提供政策支持。</w:t>
      </w:r>
    </w:p>
    <w:p>
      <w:pPr>
        <w:pStyle w:val="3"/>
        <w:spacing w:before="5" w:line="268" w:lineRule="auto"/>
        <w:ind w:right="505"/>
      </w:pPr>
      <w:r>
        <w:t>第六十条 县级以上人民政府及其有关部门应当按照国家和省有关规定，建立知识产权纠纷多元化解机制和知识产权维权援助机制。</w:t>
      </w:r>
    </w:p>
    <w:p>
      <w:pPr>
        <w:pStyle w:val="3"/>
        <w:spacing w:line="266" w:lineRule="auto"/>
        <w:jc w:val="both"/>
      </w:pPr>
      <w:r>
        <w:t>鼓励企业研究开发拥有自主知识产权的技术和产品，规范内部知识产权管理，提升保护和运用知识产权的能力。鼓励企业投保知识产权保险， 减轻中小企业申请和维持知识产权的费用等负担。</w:t>
      </w:r>
    </w:p>
    <w:p>
      <w:pPr>
        <w:spacing w:after="0" w:line="266" w:lineRule="auto"/>
        <w:jc w:val="both"/>
        <w:sectPr>
          <w:pgSz w:w="11910" w:h="16840"/>
          <w:pgMar w:top="1580" w:right="1160" w:bottom="1160" w:left="1300" w:header="0" w:footer="978" w:gutter="0"/>
          <w:cols w:space="720" w:num="1"/>
        </w:sectPr>
      </w:pPr>
    </w:p>
    <w:p>
      <w:pPr>
        <w:pStyle w:val="3"/>
        <w:spacing w:before="144" w:line="266" w:lineRule="auto"/>
      </w:pPr>
      <w:r>
        <w:t>第六十一条 县级以上人民政府及其有关部门应当按照鼓励创新的原则，对新技术、新产业、新业态、新模式等实行包容审慎监管，创新监管理念，分类制定和实行相应的监管规则和标准，留足发展空间，同时确保质量和安全，不得简单化予以禁止或者不予监管。</w:t>
      </w:r>
    </w:p>
    <w:p>
      <w:pPr>
        <w:pStyle w:val="3"/>
        <w:spacing w:before="5"/>
        <w:ind w:left="0" w:right="0" w:firstLine="0"/>
        <w:rPr>
          <w:sz w:val="32"/>
        </w:rPr>
      </w:pPr>
    </w:p>
    <w:p>
      <w:pPr>
        <w:pStyle w:val="3"/>
        <w:ind w:left="0" w:right="137" w:firstLine="0"/>
        <w:jc w:val="center"/>
        <w:rPr>
          <w:rFonts w:hint="eastAsia" w:ascii="华文细黑" w:eastAsia="华文细黑"/>
        </w:rPr>
      </w:pPr>
      <w:r>
        <w:rPr>
          <w:rFonts w:hint="eastAsia" w:ascii="华文细黑" w:eastAsia="华文细黑"/>
        </w:rPr>
        <w:t>第六章 法律责任</w:t>
      </w:r>
    </w:p>
    <w:p>
      <w:pPr>
        <w:pStyle w:val="3"/>
        <w:spacing w:before="3"/>
        <w:ind w:left="0" w:right="0" w:firstLine="0"/>
        <w:rPr>
          <w:rFonts w:ascii="华文细黑"/>
          <w:sz w:val="29"/>
        </w:rPr>
      </w:pPr>
    </w:p>
    <w:p>
      <w:pPr>
        <w:pStyle w:val="3"/>
        <w:spacing w:line="268" w:lineRule="auto"/>
        <w:ind w:right="203"/>
      </w:pPr>
      <w:r>
        <w:t>第六十二条 对违反本条例规定的行为，法律、行政法规已经规定法律责任的，适用其规定。</w:t>
      </w:r>
    </w:p>
    <w:p>
      <w:pPr>
        <w:pStyle w:val="3"/>
        <w:spacing w:line="266" w:lineRule="auto"/>
        <w:ind w:right="214"/>
      </w:pPr>
      <w:r>
        <w:t>第六十三条 各级人民政府和有关部门及其工作人员滥用职权、玩忽职守、</w:t>
      </w:r>
      <w:r>
        <w:rPr>
          <w:rFonts w:hint="eastAsia"/>
          <w:lang w:eastAsia="zh-CN"/>
        </w:rPr>
        <w:t>徇私</w:t>
      </w:r>
      <w:r>
        <w:t>舞弊的，由有关主管机关责令改正，对直接负责的主管人员和其他直接责任人员依法给予处分；构成犯罪的，依法追究刑事责任。</w:t>
      </w:r>
    </w:p>
    <w:p>
      <w:pPr>
        <w:pStyle w:val="3"/>
        <w:spacing w:before="3" w:line="266" w:lineRule="auto"/>
      </w:pPr>
      <w:r>
        <w:t>第六十四条 各级人民政府和有关部门及其工作人员在优化营商环境工作中，因缺乏经验、先行先试出现失误错误，但是符合下列条件的，按照有关规定从轻、减轻或者免予追责：</w:t>
      </w:r>
    </w:p>
    <w:p>
      <w:pPr>
        <w:pStyle w:val="3"/>
        <w:spacing w:before="5"/>
        <w:ind w:left="677" w:right="0" w:firstLine="0"/>
      </w:pPr>
      <w:r>
        <w:rPr>
          <w:spacing w:val="-1"/>
        </w:rPr>
        <w:t>（</w:t>
      </w:r>
      <w:r>
        <w:rPr>
          <w:spacing w:val="-3"/>
        </w:rPr>
        <w:t>一</w:t>
      </w:r>
      <w:r>
        <w:rPr>
          <w:spacing w:val="-1"/>
        </w:rPr>
        <w:t>）</w:t>
      </w:r>
      <w:r>
        <w:rPr>
          <w:spacing w:val="-3"/>
        </w:rPr>
        <w:t>符合国家和省确定的改革方向的；</w:t>
      </w:r>
    </w:p>
    <w:p>
      <w:pPr>
        <w:pStyle w:val="3"/>
        <w:spacing w:before="40"/>
        <w:ind w:left="677" w:right="0" w:firstLine="0"/>
      </w:pPr>
      <w:r>
        <w:rPr>
          <w:spacing w:val="-1"/>
        </w:rPr>
        <w:t>（</w:t>
      </w:r>
      <w:r>
        <w:rPr>
          <w:spacing w:val="-3"/>
        </w:rPr>
        <w:t>二</w:t>
      </w:r>
      <w:r>
        <w:rPr>
          <w:spacing w:val="-1"/>
        </w:rPr>
        <w:t>）</w:t>
      </w:r>
      <w:r>
        <w:rPr>
          <w:spacing w:val="-3"/>
        </w:rPr>
        <w:t>未违反法律、法规禁止性规定的；</w:t>
      </w:r>
    </w:p>
    <w:p>
      <w:pPr>
        <w:pStyle w:val="3"/>
        <w:spacing w:before="42"/>
        <w:ind w:left="677" w:right="0" w:firstLine="0"/>
      </w:pPr>
      <w:r>
        <w:rPr>
          <w:spacing w:val="-1"/>
        </w:rPr>
        <w:t>（</w:t>
      </w:r>
      <w:r>
        <w:rPr>
          <w:spacing w:val="-3"/>
        </w:rPr>
        <w:t>三</w:t>
      </w:r>
      <w:r>
        <w:rPr>
          <w:spacing w:val="-1"/>
        </w:rPr>
        <w:t>）</w:t>
      </w:r>
      <w:r>
        <w:rPr>
          <w:spacing w:val="-3"/>
        </w:rPr>
        <w:t>决策程序符合法律、法规规定的；</w:t>
      </w:r>
    </w:p>
    <w:p>
      <w:pPr>
        <w:pStyle w:val="3"/>
        <w:spacing w:before="42"/>
        <w:ind w:left="677" w:right="0" w:firstLine="0"/>
      </w:pPr>
      <w:r>
        <w:t>（四）勤勉尽责、未牟取私利的；</w:t>
      </w:r>
    </w:p>
    <w:p>
      <w:pPr>
        <w:pStyle w:val="3"/>
        <w:spacing w:before="40" w:line="268" w:lineRule="auto"/>
        <w:ind w:left="677" w:firstLine="0"/>
      </w:pPr>
      <w:r>
        <w:t>（五）主动挽回损失、消除不良影响或者有效阻止危害结果发生的。第六十五条 公用企业、中介服务机构和行业协会商会损害营商环境</w:t>
      </w:r>
    </w:p>
    <w:p>
      <w:pPr>
        <w:pStyle w:val="3"/>
        <w:spacing w:line="266" w:lineRule="auto"/>
        <w:ind w:firstLine="0"/>
      </w:pPr>
      <w:r>
        <w:t>的，除依照有关法律、法规规定承担相应责任外，有关部门应当将其违法情况纳入信用信息公示系统和信用信息共享平台。</w:t>
      </w:r>
    </w:p>
    <w:p>
      <w:pPr>
        <w:pStyle w:val="3"/>
        <w:ind w:left="0" w:right="0" w:firstLine="0"/>
        <w:rPr>
          <w:sz w:val="32"/>
        </w:rPr>
      </w:pPr>
    </w:p>
    <w:p>
      <w:pPr>
        <w:pStyle w:val="3"/>
        <w:ind w:left="0" w:right="135" w:firstLine="0"/>
        <w:jc w:val="center"/>
        <w:rPr>
          <w:rFonts w:hint="eastAsia" w:ascii="华文细黑" w:eastAsia="华文细黑"/>
        </w:rPr>
      </w:pPr>
      <w:r>
        <w:rPr>
          <w:rFonts w:hint="eastAsia" w:ascii="华文细黑" w:eastAsia="华文细黑"/>
        </w:rPr>
        <w:t>第七章 附则</w:t>
      </w:r>
    </w:p>
    <w:p>
      <w:pPr>
        <w:pStyle w:val="3"/>
        <w:spacing w:before="3"/>
        <w:ind w:left="0" w:right="0" w:firstLine="0"/>
        <w:rPr>
          <w:rFonts w:ascii="华文细黑"/>
          <w:sz w:val="29"/>
        </w:rPr>
      </w:pPr>
    </w:p>
    <w:p>
      <w:pPr>
        <w:pStyle w:val="3"/>
        <w:spacing w:line="266" w:lineRule="auto"/>
        <w:ind w:right="507"/>
      </w:pPr>
      <w:r>
        <w:t>第六十六条 省人民政府及其有关部门应当依照本条例制定配套的实施办法或者实施细则。</w:t>
      </w:r>
    </w:p>
    <w:p>
      <w:pPr>
        <w:pStyle w:val="3"/>
        <w:spacing w:before="3"/>
        <w:ind w:left="677" w:right="0" w:firstLine="0"/>
      </w:pPr>
      <w:r>
        <w:t xml:space="preserve">第六十七条 本条例自 </w:t>
      </w:r>
      <w:r>
        <w:rPr>
          <w:rFonts w:ascii="Times New Roman" w:eastAsia="Times New Roman"/>
        </w:rPr>
        <w:t xml:space="preserve">2021 </w:t>
      </w:r>
      <w:r>
        <w:t xml:space="preserve">年 </w:t>
      </w:r>
      <w:r>
        <w:rPr>
          <w:rFonts w:ascii="Times New Roman" w:eastAsia="Times New Roman"/>
        </w:rPr>
        <w:t xml:space="preserve">1 </w:t>
      </w:r>
      <w:r>
        <w:t xml:space="preserve">月 </w:t>
      </w:r>
      <w:r>
        <w:rPr>
          <w:rFonts w:ascii="Times New Roman" w:eastAsia="Times New Roman"/>
        </w:rPr>
        <w:t xml:space="preserve">1 </w:t>
      </w:r>
      <w:r>
        <w:t>日起施行。</w:t>
      </w:r>
    </w:p>
    <w:p>
      <w:pPr>
        <w:pStyle w:val="3"/>
        <w:ind w:left="0" w:right="0" w:firstLine="0"/>
        <w:rPr>
          <w:sz w:val="34"/>
        </w:rPr>
      </w:pPr>
    </w:p>
    <w:p>
      <w:pPr>
        <w:pStyle w:val="3"/>
        <w:ind w:left="0" w:right="0" w:firstLine="0"/>
        <w:rPr>
          <w:sz w:val="34"/>
        </w:rPr>
      </w:pPr>
    </w:p>
    <w:p>
      <w:pPr>
        <w:pStyle w:val="3"/>
        <w:spacing w:before="12"/>
        <w:ind w:left="0" w:right="0" w:firstLine="0"/>
        <w:rPr>
          <w:sz w:val="27"/>
        </w:rPr>
      </w:pPr>
    </w:p>
    <w:p>
      <w:pPr>
        <w:pStyle w:val="2"/>
        <w:spacing w:line="172" w:lineRule="auto"/>
        <w:ind w:left="173" w:right="311"/>
      </w:pPr>
      <w:bookmarkStart w:id="4" w:name="山东省财政厅山东省工业和信息化厅关于转发《政府采购促进中小企业发展管理办法》的通"/>
      <w:bookmarkEnd w:id="4"/>
      <w:bookmarkStart w:id="5" w:name="_bookmark2"/>
      <w:bookmarkEnd w:id="5"/>
      <w:r>
        <w:rPr>
          <w:w w:val="95"/>
        </w:rPr>
        <w:t xml:space="preserve">山东省财政厅山东省工业和信息化厅关于转发《政府采购促进中  </w:t>
      </w:r>
      <w:r>
        <w:t>小企业发展管理办法》的通知</w:t>
      </w:r>
    </w:p>
    <w:p>
      <w:pPr>
        <w:spacing w:after="0" w:line="172" w:lineRule="auto"/>
        <w:sectPr>
          <w:pgSz w:w="11910" w:h="16840"/>
          <w:pgMar w:top="1580" w:right="1160" w:bottom="1160" w:left="1300" w:header="0" w:footer="978" w:gutter="0"/>
          <w:cols w:space="720" w:num="1"/>
        </w:sectPr>
      </w:pPr>
    </w:p>
    <w:p>
      <w:pPr>
        <w:pStyle w:val="3"/>
        <w:spacing w:before="9"/>
        <w:ind w:left="0" w:right="0" w:firstLine="0"/>
        <w:rPr>
          <w:rFonts w:ascii="Arial Unicode MS"/>
          <w:sz w:val="26"/>
        </w:rPr>
      </w:pPr>
    </w:p>
    <w:p>
      <w:pPr>
        <w:pStyle w:val="3"/>
        <w:spacing w:before="27"/>
        <w:ind w:left="0" w:right="137" w:firstLine="0"/>
        <w:jc w:val="center"/>
      </w:pPr>
      <w:r>
        <w:t>鲁财</w:t>
      </w:r>
      <w:r>
        <w:rPr>
          <w:rFonts w:hint="eastAsia" w:ascii="Arial Unicode MS" w:eastAsia="Arial Unicode MS"/>
        </w:rPr>
        <w:t>釆</w:t>
      </w:r>
      <w:r>
        <w:t>〔</w:t>
      </w:r>
      <w:r>
        <w:rPr>
          <w:rFonts w:ascii="Times New Roman" w:eastAsia="Times New Roman"/>
        </w:rPr>
        <w:t>2021</w:t>
      </w:r>
      <w:r>
        <w:t>〕</w:t>
      </w:r>
      <w:r>
        <w:rPr>
          <w:rFonts w:ascii="Times New Roman" w:eastAsia="Times New Roman"/>
        </w:rPr>
        <w:t xml:space="preserve">7 </w:t>
      </w:r>
      <w:r>
        <w:t>号</w:t>
      </w:r>
    </w:p>
    <w:p>
      <w:pPr>
        <w:pStyle w:val="3"/>
        <w:spacing w:before="9"/>
        <w:ind w:left="0" w:right="0" w:firstLine="0"/>
      </w:pPr>
    </w:p>
    <w:p>
      <w:pPr>
        <w:pStyle w:val="3"/>
        <w:spacing w:line="268" w:lineRule="auto"/>
        <w:ind w:firstLine="0"/>
      </w:pPr>
      <w:r>
        <w:t>各市财政局、中小企业主管部门，省直各部门、单位，各政府采购代理机构：</w:t>
      </w:r>
    </w:p>
    <w:p>
      <w:pPr>
        <w:pStyle w:val="3"/>
        <w:spacing w:line="268" w:lineRule="auto"/>
        <w:ind w:right="296"/>
        <w:jc w:val="both"/>
      </w:pPr>
      <w:r>
        <w:t>现将《财政部工业和信息化部关于印发〈政府采购促进中小企业发展管理办法〉的通知》（财库〔</w:t>
      </w:r>
      <w:r>
        <w:rPr>
          <w:rFonts w:ascii="Times New Roman" w:eastAsia="Times New Roman"/>
        </w:rPr>
        <w:t>2020</w:t>
      </w:r>
      <w:r>
        <w:t>〕</w:t>
      </w:r>
      <w:r>
        <w:rPr>
          <w:rFonts w:ascii="Times New Roman" w:eastAsia="Times New Roman"/>
        </w:rPr>
        <w:t xml:space="preserve">46 </w:t>
      </w:r>
      <w:r>
        <w:t>号，以下简称《办法》）转发给你们，并结合我省实际提出以下意见，请一并贯彻执行。</w:t>
      </w:r>
    </w:p>
    <w:p>
      <w:pPr>
        <w:pStyle w:val="3"/>
        <w:spacing w:line="391" w:lineRule="exact"/>
        <w:ind w:left="677" w:right="0" w:firstLine="0"/>
        <w:rPr>
          <w:rFonts w:hint="eastAsia" w:ascii="华文细黑" w:eastAsia="华文细黑"/>
        </w:rPr>
      </w:pPr>
      <w:r>
        <w:rPr>
          <w:rFonts w:hint="eastAsia" w:ascii="华文细黑" w:eastAsia="华文细黑"/>
        </w:rPr>
        <w:t>一、充分认识政府采购促进中小企业发展的重要意义</w:t>
      </w:r>
    </w:p>
    <w:p>
      <w:pPr>
        <w:pStyle w:val="3"/>
        <w:spacing w:line="268" w:lineRule="auto"/>
        <w:ind w:right="114"/>
      </w:pPr>
      <w:r>
        <w:rPr>
          <w:spacing w:val="-5"/>
        </w:rPr>
        <w:t>中小企业是国民经济和社会发展的重要力量，是建设现代化经济体系、</w:t>
      </w:r>
      <w:r>
        <w:rPr>
          <w:spacing w:val="-3"/>
        </w:rPr>
        <w:t xml:space="preserve">推动经济高质量发展的重要基础，是扩大就业、改善民生的重要支撑。运 用政府采购政策促进中小企业发展，是国际上的通行做法。当前我国经济 正处于加快构建以国内大循环为主体、国内国际双循环相互促进的新发展 </w:t>
      </w:r>
      <w:r>
        <w:rPr>
          <w:spacing w:val="-5"/>
        </w:rPr>
        <w:t>格局时期，迫切需要建立健全符合国际惯例的政府采购政策体系。《办法》</w:t>
      </w:r>
      <w:r>
        <w:rPr>
          <w:spacing w:val="-3"/>
        </w:rPr>
        <w:t>的出台及施行，将更好发挥政府采购对中小企业发展的示范和引领作用， 更加有力地促进我国经济社会高质量发展。各级采购人作为政府采购活动 的发起者和需求主导者，要充分认识促进中小企业发展的重要意义，高度 重视政府采购促进中小企业发展政策落实工作，认真学习《办法》的相关 规定和要求，建立健全落实采购政策的内部决策和执行机制，切实担负起 落实政府采购政策的主体责任。</w:t>
      </w:r>
    </w:p>
    <w:p>
      <w:pPr>
        <w:pStyle w:val="3"/>
        <w:spacing w:line="376" w:lineRule="exact"/>
        <w:ind w:left="677" w:right="0" w:firstLine="0"/>
        <w:rPr>
          <w:rFonts w:hint="eastAsia" w:ascii="华文细黑" w:eastAsia="华文细黑"/>
        </w:rPr>
      </w:pPr>
      <w:r>
        <w:rPr>
          <w:rFonts w:hint="eastAsia" w:ascii="华文细黑" w:eastAsia="华文细黑"/>
        </w:rPr>
        <w:t>二、严格执行政府采购促进中小企业发展的政策措施</w:t>
      </w:r>
    </w:p>
    <w:p>
      <w:pPr>
        <w:pStyle w:val="3"/>
        <w:spacing w:before="4" w:line="266" w:lineRule="auto"/>
        <w:jc w:val="both"/>
      </w:pPr>
      <w:r>
        <w:t>《办法》对如何通过加强采购需求管理、预留采购份额、价格评审优惠等支持中小企业发展，提出了明确措施和要求，各级主管预算单位和采购人、采购代理机构要严格遵照执行、不折不扣抓好落实。</w:t>
      </w:r>
    </w:p>
    <w:p>
      <w:pPr>
        <w:pStyle w:val="3"/>
        <w:spacing w:before="5" w:line="268" w:lineRule="auto"/>
        <w:ind w:right="255"/>
      </w:pPr>
      <w:r>
        <w:t>（</w:t>
      </w:r>
      <w:r>
        <w:rPr>
          <w:spacing w:val="-3"/>
        </w:rPr>
        <w:t>一</w:t>
      </w:r>
      <w:r>
        <w:t>）</w:t>
      </w:r>
      <w:r>
        <w:rPr>
          <w:spacing w:val="-3"/>
        </w:rPr>
        <w:t>对适宜由中小企业提供的项目，要专门面向中小企业采购。各采购人要严控“不专门面向中小企业预留采购份额的情形”，对采购限额标准以上，</w:t>
      </w:r>
      <w:r>
        <w:rPr>
          <w:rFonts w:ascii="Times New Roman" w:hAnsi="Times New Roman" w:eastAsia="Times New Roman"/>
          <w:spacing w:val="-5"/>
        </w:rPr>
        <w:t>200</w:t>
      </w:r>
      <w:r>
        <w:rPr>
          <w:rFonts w:ascii="Times New Roman" w:hAnsi="Times New Roman" w:eastAsia="Times New Roman"/>
          <w:spacing w:val="4"/>
        </w:rPr>
        <w:t xml:space="preserve"> </w:t>
      </w:r>
      <w:r>
        <w:rPr>
          <w:spacing w:val="-4"/>
        </w:rPr>
        <w:t>万元以下的货物和服务采购项目、</w:t>
      </w:r>
      <w:r>
        <w:rPr>
          <w:rFonts w:ascii="Times New Roman" w:hAnsi="Times New Roman" w:eastAsia="Times New Roman"/>
        </w:rPr>
        <w:t>400</w:t>
      </w:r>
      <w:r>
        <w:rPr>
          <w:rFonts w:ascii="Times New Roman" w:hAnsi="Times New Roman" w:eastAsia="Times New Roman"/>
          <w:spacing w:val="5"/>
        </w:rPr>
        <w:t xml:space="preserve"> </w:t>
      </w:r>
      <w:r>
        <w:rPr>
          <w:spacing w:val="-3"/>
        </w:rPr>
        <w:t>万元以下的工程采购项目，适宜由中小企业提供的，该项目政府采购预算全部预留专门面向中</w:t>
      </w:r>
      <w:r>
        <w:rPr>
          <w:spacing w:val="-11"/>
        </w:rPr>
        <w:t xml:space="preserve">小企业采购；超过 </w:t>
      </w:r>
      <w:r>
        <w:rPr>
          <w:rFonts w:ascii="Times New Roman" w:hAnsi="Times New Roman" w:eastAsia="Times New Roman"/>
        </w:rPr>
        <w:t>200</w:t>
      </w:r>
      <w:r>
        <w:rPr>
          <w:rFonts w:ascii="Times New Roman" w:hAnsi="Times New Roman" w:eastAsia="Times New Roman"/>
          <w:spacing w:val="2"/>
        </w:rPr>
        <w:t xml:space="preserve"> </w:t>
      </w:r>
      <w:r>
        <w:rPr>
          <w:spacing w:val="-8"/>
        </w:rPr>
        <w:t xml:space="preserve">万元的货物和服务采购项目、超过 </w:t>
      </w:r>
      <w:r>
        <w:rPr>
          <w:rFonts w:ascii="Times New Roman" w:hAnsi="Times New Roman" w:eastAsia="Times New Roman"/>
        </w:rPr>
        <w:t>400</w:t>
      </w:r>
      <w:r>
        <w:rPr>
          <w:rFonts w:ascii="Times New Roman" w:hAnsi="Times New Roman" w:eastAsia="Times New Roman"/>
          <w:spacing w:val="1"/>
        </w:rPr>
        <w:t xml:space="preserve"> </w:t>
      </w:r>
      <w:r>
        <w:rPr>
          <w:spacing w:val="-2"/>
        </w:rPr>
        <w:t>万元的工程</w:t>
      </w:r>
    </w:p>
    <w:p>
      <w:pPr>
        <w:pStyle w:val="3"/>
        <w:spacing w:line="349" w:lineRule="exact"/>
        <w:ind w:right="0" w:firstLine="0"/>
        <w:rPr>
          <w:rFonts w:ascii="Times New Roman" w:eastAsia="Times New Roman"/>
        </w:rPr>
      </w:pPr>
      <w:r>
        <w:rPr>
          <w:spacing w:val="-5"/>
        </w:rPr>
        <w:t xml:space="preserve">采购项目，适宜由中小企业提供的，预留该部分采购项目预算总额的 </w:t>
      </w:r>
      <w:r>
        <w:rPr>
          <w:rFonts w:ascii="Times New Roman" w:eastAsia="Times New Roman"/>
        </w:rPr>
        <w:t>40%</w:t>
      </w:r>
    </w:p>
    <w:p>
      <w:pPr>
        <w:pStyle w:val="3"/>
        <w:spacing w:before="42"/>
        <w:ind w:right="0" w:firstLine="0"/>
      </w:pPr>
      <w:r>
        <w:t xml:space="preserve">以上专门面向中小企业采购，其中预留给小微企业的比例不低于 </w:t>
      </w:r>
      <w:r>
        <w:rPr>
          <w:rFonts w:ascii="Times New Roman" w:eastAsia="Times New Roman"/>
        </w:rPr>
        <w:t>70%</w:t>
      </w:r>
      <w:r>
        <w:t>。</w:t>
      </w:r>
    </w:p>
    <w:p>
      <w:pPr>
        <w:pStyle w:val="3"/>
        <w:spacing w:before="42" w:line="266" w:lineRule="auto"/>
        <w:jc w:val="both"/>
      </w:pPr>
      <w:r>
        <w:t>（二）对非预留份额采购项目，要给予小微企业价格评审优惠。对于经主管预算单位统筹后未预留份额专门面向中小企业的采购项目，以及预留份额项目中的非预留部分采购包，采购人、采购代理机构应当根据采购</w:t>
      </w:r>
    </w:p>
    <w:p>
      <w:pPr>
        <w:spacing w:after="0" w:line="266" w:lineRule="auto"/>
        <w:jc w:val="both"/>
        <w:sectPr>
          <w:pgSz w:w="11910" w:h="16840"/>
          <w:pgMar w:top="1580" w:right="1160" w:bottom="1160" w:left="1300" w:header="0" w:footer="978" w:gutter="0"/>
          <w:cols w:space="720" w:num="1"/>
        </w:sectPr>
      </w:pPr>
    </w:p>
    <w:p>
      <w:pPr>
        <w:pStyle w:val="3"/>
        <w:spacing w:before="144"/>
        <w:ind w:right="0" w:firstLine="0"/>
      </w:pPr>
      <w:r>
        <w:t>标的的相关行业平均利润率、市场竞争状况等，对小微企业报价给予</w:t>
      </w:r>
    </w:p>
    <w:p>
      <w:pPr>
        <w:pStyle w:val="3"/>
        <w:spacing w:before="42" w:line="266" w:lineRule="auto"/>
        <w:ind w:right="253" w:firstLine="0"/>
      </w:pPr>
      <w:r>
        <w:rPr>
          <w:rFonts w:ascii="Times New Roman" w:eastAsia="Times New Roman"/>
          <w:spacing w:val="-5"/>
        </w:rPr>
        <w:t>6%-10%</w:t>
      </w:r>
      <w:r>
        <w:rPr>
          <w:spacing w:val="-5"/>
        </w:rPr>
        <w:t>（</w:t>
      </w:r>
      <w:r>
        <w:rPr>
          <w:spacing w:val="-12"/>
        </w:rPr>
        <w:t xml:space="preserve">工程项目为 </w:t>
      </w:r>
      <w:r>
        <w:rPr>
          <w:rFonts w:ascii="Times New Roman" w:eastAsia="Times New Roman"/>
          <w:spacing w:val="-5"/>
        </w:rPr>
        <w:t>3%-5%</w:t>
      </w:r>
      <w:r>
        <w:rPr>
          <w:spacing w:val="-5"/>
        </w:rPr>
        <w:t>）</w:t>
      </w:r>
      <w:r>
        <w:rPr>
          <w:spacing w:val="-8"/>
        </w:rPr>
        <w:t>的价格扣除，用扣除后的价格参加评审。适</w:t>
      </w:r>
      <w:r>
        <w:rPr>
          <w:spacing w:val="-3"/>
        </w:rPr>
        <w:t>用招标投标法的政府采购工程建设项目、接受大中型企业与小微企业组成联合体或者允许大中型企业向一家或者多家小微企业分包的采购项目，也要按《办法》规定给予相应价格评审优惠。</w:t>
      </w:r>
    </w:p>
    <w:p>
      <w:pPr>
        <w:pStyle w:val="3"/>
        <w:spacing w:before="5" w:line="266" w:lineRule="auto"/>
        <w:jc w:val="both"/>
      </w:pPr>
      <w:r>
        <w:rPr>
          <w:spacing w:val="-1"/>
        </w:rPr>
        <w:t>（</w:t>
      </w:r>
      <w:r>
        <w:rPr>
          <w:spacing w:val="-3"/>
        </w:rPr>
        <w:t>三</w:t>
      </w:r>
      <w:r>
        <w:t>）</w:t>
      </w:r>
      <w:r>
        <w:rPr>
          <w:spacing w:val="-3"/>
        </w:rPr>
        <w:t xml:space="preserve">要规范开展采购活动，切实保障中小企业合法权益。采购人在政府采购活动中应当合理确定采购项目的采购需求，不得以不合理条件对中小企业实行差别待遇或者歧视待遇。预留份额的采购项目或者采购包， </w:t>
      </w:r>
      <w:r>
        <w:rPr>
          <w:spacing w:val="-5"/>
        </w:rPr>
        <w:t xml:space="preserve">通过发布公告方式邀请供应商后，符合资格条件的中小企业数量不足 </w:t>
      </w:r>
      <w:r>
        <w:rPr>
          <w:rFonts w:ascii="Times New Roman" w:eastAsia="Times New Roman"/>
        </w:rPr>
        <w:t xml:space="preserve">3 </w:t>
      </w:r>
      <w:r>
        <w:t>家</w:t>
      </w:r>
      <w:r>
        <w:rPr>
          <w:spacing w:val="-3"/>
        </w:rPr>
        <w:t>的，应当中止采购活动，按《办法》有关规定重新组织采购活动。采购项目涉及中小企业参与的，采购文件应当明确《办法》规定的相关内容，确保中小企业的合法权益。</w:t>
      </w:r>
    </w:p>
    <w:p>
      <w:pPr>
        <w:pStyle w:val="3"/>
        <w:spacing w:line="410" w:lineRule="exact"/>
        <w:ind w:left="677" w:right="0" w:firstLine="0"/>
        <w:rPr>
          <w:rFonts w:hint="eastAsia" w:ascii="华文细黑" w:eastAsia="华文细黑"/>
        </w:rPr>
      </w:pPr>
      <w:r>
        <w:rPr>
          <w:rFonts w:hint="eastAsia" w:ascii="华文细黑" w:eastAsia="华文细黑"/>
        </w:rPr>
        <w:t>三、及时完善落实政策的配套保障</w:t>
      </w:r>
    </w:p>
    <w:p>
      <w:pPr>
        <w:pStyle w:val="3"/>
        <w:spacing w:before="4" w:line="266" w:lineRule="auto"/>
        <w:jc w:val="both"/>
      </w:pPr>
      <w:r>
        <w:t>各级财政部门要坚持务实管用、便捷高效的原则，及时根据《办法》相关要求，完善预算编制系统、政府采购管理交易系统的配套设置，修订政府采购文件范本，调整部门绩效考核指标，引导和督促各级主管预算单位、采购人和采购代理机构积极落实政府采购促进中小企业发展政策。</w:t>
      </w:r>
    </w:p>
    <w:p>
      <w:pPr>
        <w:pStyle w:val="3"/>
        <w:spacing w:before="6" w:line="266" w:lineRule="auto"/>
        <w:jc w:val="both"/>
      </w:pPr>
      <w:r>
        <w:t>（一）做好系统保障支撑。结合预算管理一体化总体推进部署，在预算编制、计划备案、信息公开、合同备案环节，将政策要求内嵌于信息化系统，实现系统自动比对校验、数据实时统计分析，督导各预算单位、采购代理机构积极落实政府采购政策。</w:t>
      </w:r>
    </w:p>
    <w:p>
      <w:pPr>
        <w:pStyle w:val="3"/>
        <w:spacing w:before="8" w:line="268" w:lineRule="auto"/>
        <w:ind w:right="114"/>
      </w:pPr>
      <w:r>
        <w:t>（</w:t>
      </w:r>
      <w:r>
        <w:rPr>
          <w:spacing w:val="-3"/>
        </w:rPr>
        <w:t>二</w:t>
      </w:r>
      <w:r>
        <w:t>）</w:t>
      </w:r>
      <w:r>
        <w:rPr>
          <w:spacing w:val="-3"/>
        </w:rPr>
        <w:t xml:space="preserve">加强信息公开监督。中标、成交供应商享受《办法》规定的中 小企业扶持政策的，采购人、采购代理机构应当随中标、成交结果公开中 标、成交供应商的《中小企业声明函》。适用招标投标法的政府采购工程 </w:t>
      </w:r>
      <w:r>
        <w:rPr>
          <w:spacing w:val="-19"/>
        </w:rPr>
        <w:t xml:space="preserve">建设项目，应当在公示中标候选人时公开中标候选人的《中小企业声明函》， </w:t>
      </w:r>
      <w:r>
        <w:rPr>
          <w:spacing w:val="-5"/>
        </w:rPr>
        <w:t>让社会公众监督政策落实，避免供应商提供虚假材料。</w:t>
      </w:r>
    </w:p>
    <w:p>
      <w:pPr>
        <w:pStyle w:val="3"/>
        <w:spacing w:line="268" w:lineRule="auto"/>
        <w:jc w:val="both"/>
      </w:pPr>
      <w:r>
        <w:t>（三）强化绩效考核评价。各级财政部门应当将主管预算单位和采购人落实中小企业扶持政策情况纳入部门预算管理绩效综合评价范围，加大对采购代理机构落实中小企业扶持政策监督检查的力度，强化考核评价结果应用。同时，对政府采购各方主体违反《办法》相关规定的，依照有关法律法规追究法律责任。</w:t>
      </w:r>
    </w:p>
    <w:p>
      <w:pPr>
        <w:pStyle w:val="3"/>
        <w:spacing w:before="5"/>
        <w:ind w:left="0" w:right="0" w:firstLine="0"/>
        <w:rPr>
          <w:sz w:val="32"/>
        </w:rPr>
      </w:pPr>
    </w:p>
    <w:p>
      <w:pPr>
        <w:pStyle w:val="3"/>
        <w:spacing w:line="266" w:lineRule="auto"/>
      </w:pPr>
      <w:r>
        <w:t>附件：财政部工业和信息化部关于印发《政府采购促进中小企业发展管理办法》的通知</w:t>
      </w:r>
    </w:p>
    <w:p>
      <w:pPr>
        <w:spacing w:after="0" w:line="266" w:lineRule="auto"/>
        <w:sectPr>
          <w:pgSz w:w="11910" w:h="16840"/>
          <w:pgMar w:top="1580" w:right="1160" w:bottom="1160" w:left="1300" w:header="0" w:footer="978" w:gutter="0"/>
          <w:cols w:space="720" w:num="1"/>
        </w:sectPr>
      </w:pPr>
    </w:p>
    <w:p>
      <w:pPr>
        <w:pStyle w:val="3"/>
        <w:ind w:left="0" w:right="0" w:firstLine="0"/>
        <w:rPr>
          <w:sz w:val="20"/>
        </w:rPr>
      </w:pPr>
    </w:p>
    <w:p>
      <w:pPr>
        <w:pStyle w:val="3"/>
        <w:spacing w:before="1"/>
        <w:ind w:left="0" w:right="0" w:firstLine="0"/>
        <w:rPr>
          <w:sz w:val="20"/>
        </w:rPr>
      </w:pPr>
    </w:p>
    <w:p>
      <w:pPr>
        <w:pStyle w:val="3"/>
        <w:spacing w:before="62" w:line="266" w:lineRule="auto"/>
        <w:ind w:left="6389" w:right="253" w:firstLine="1118"/>
        <w:jc w:val="right"/>
      </w:pPr>
      <w:r>
        <w:t>山东省财政厅山东省工业和信息化厅</w:t>
      </w:r>
      <w:r>
        <w:rPr>
          <w:rFonts w:ascii="Times New Roman" w:eastAsia="Times New Roman"/>
        </w:rPr>
        <w:t xml:space="preserve">2021 </w:t>
      </w:r>
      <w:r>
        <w:t xml:space="preserve">年 </w:t>
      </w:r>
      <w:r>
        <w:rPr>
          <w:rFonts w:ascii="Times New Roman" w:eastAsia="Times New Roman"/>
        </w:rPr>
        <w:t xml:space="preserve">4 </w:t>
      </w:r>
      <w:r>
        <w:t xml:space="preserve">月 </w:t>
      </w:r>
      <w:r>
        <w:rPr>
          <w:rFonts w:ascii="Times New Roman" w:eastAsia="Times New Roman"/>
        </w:rPr>
        <w:t xml:space="preserve">26 </w:t>
      </w:r>
      <w:r>
        <w:t>日</w:t>
      </w:r>
    </w:p>
    <w:p>
      <w:pPr>
        <w:pStyle w:val="3"/>
        <w:spacing w:before="11"/>
        <w:ind w:left="0" w:right="0" w:firstLine="0"/>
        <w:rPr>
          <w:sz w:val="31"/>
        </w:rPr>
      </w:pPr>
    </w:p>
    <w:p>
      <w:pPr>
        <w:pStyle w:val="3"/>
        <w:spacing w:line="196" w:lineRule="auto"/>
        <w:ind w:left="173" w:right="308" w:firstLine="0"/>
        <w:jc w:val="center"/>
        <w:rPr>
          <w:rFonts w:hint="eastAsia" w:ascii="Arial Unicode MS" w:eastAsia="Arial Unicode MS"/>
        </w:rPr>
      </w:pPr>
      <w:r>
        <w:rPr>
          <w:rFonts w:hint="eastAsia" w:ascii="Arial Unicode MS" w:eastAsia="Arial Unicode MS"/>
        </w:rPr>
        <w:t>财政部工业和信息化部关于印发《政府采购促进中小企业发展管理办法》的通知</w:t>
      </w:r>
    </w:p>
    <w:p>
      <w:pPr>
        <w:pStyle w:val="3"/>
        <w:spacing w:before="16"/>
        <w:ind w:left="0" w:right="0" w:firstLine="0"/>
        <w:rPr>
          <w:rFonts w:ascii="Arial Unicode MS"/>
          <w:sz w:val="22"/>
        </w:rPr>
      </w:pPr>
    </w:p>
    <w:p>
      <w:pPr>
        <w:pStyle w:val="3"/>
        <w:ind w:left="0" w:right="137" w:firstLine="0"/>
        <w:jc w:val="center"/>
      </w:pPr>
      <w:r>
        <w:t>财库〔</w:t>
      </w:r>
      <w:r>
        <w:rPr>
          <w:rFonts w:ascii="Times New Roman" w:eastAsia="Times New Roman"/>
        </w:rPr>
        <w:t>2020</w:t>
      </w:r>
      <w:r>
        <w:t>〕</w:t>
      </w:r>
      <w:r>
        <w:rPr>
          <w:rFonts w:ascii="Times New Roman" w:eastAsia="Times New Roman"/>
        </w:rPr>
        <w:t xml:space="preserve">46 </w:t>
      </w:r>
      <w:r>
        <w:t>号</w:t>
      </w:r>
    </w:p>
    <w:p>
      <w:pPr>
        <w:pStyle w:val="3"/>
        <w:spacing w:before="4"/>
        <w:ind w:left="0" w:right="0" w:firstLine="0"/>
        <w:rPr>
          <w:sz w:val="34"/>
        </w:rPr>
      </w:pPr>
    </w:p>
    <w:p>
      <w:pPr>
        <w:pStyle w:val="3"/>
        <w:spacing w:before="1" w:line="266" w:lineRule="auto"/>
        <w:ind w:firstLine="0"/>
        <w:jc w:val="both"/>
      </w:pPr>
      <w:r>
        <w:t>各中央预算单位办公厅（室），各省、自治区、直辖市、计划单列市财政厅（局）、工业和信息化主管部门，新疆生产建设兵团财政局、工业和信息化主管部门：</w:t>
      </w:r>
    </w:p>
    <w:p>
      <w:pPr>
        <w:pStyle w:val="3"/>
        <w:spacing w:before="5" w:line="268" w:lineRule="auto"/>
      </w:pPr>
      <w:r>
        <w:t>为贯彻落实《关于促进中小企业健康发展的指导意见》，发挥政府采购政策功能，促进中小企业发展，根据《中华人民共和国政府采购法》、</w:t>
      </w:r>
    </w:p>
    <w:p>
      <w:pPr>
        <w:pStyle w:val="3"/>
        <w:spacing w:line="268" w:lineRule="auto"/>
        <w:ind w:firstLine="0"/>
        <w:jc w:val="both"/>
      </w:pPr>
      <w:r>
        <w:t>《中华人民共和国中小企业促进法》等法律法规，财政部、工业和信息化部制定了《政府采购促进中小企业发展管理办法》。现印发给你们，请遵照执行。</w:t>
      </w:r>
    </w:p>
    <w:p>
      <w:pPr>
        <w:pStyle w:val="3"/>
        <w:spacing w:before="12"/>
        <w:ind w:left="0" w:right="0" w:firstLine="0"/>
        <w:rPr>
          <w:sz w:val="32"/>
        </w:rPr>
      </w:pPr>
    </w:p>
    <w:p>
      <w:pPr>
        <w:pStyle w:val="3"/>
        <w:ind w:left="677" w:right="0" w:firstLine="0"/>
      </w:pPr>
      <w:r>
        <w:t>附件：政府采购促进中小企业发展管理办法</w:t>
      </w:r>
    </w:p>
    <w:p>
      <w:pPr>
        <w:pStyle w:val="3"/>
        <w:spacing w:before="7"/>
        <w:ind w:left="0" w:right="0" w:firstLine="0"/>
        <w:rPr>
          <w:sz w:val="34"/>
        </w:rPr>
      </w:pPr>
    </w:p>
    <w:p>
      <w:pPr>
        <w:pStyle w:val="3"/>
        <w:spacing w:line="266" w:lineRule="auto"/>
        <w:ind w:left="5268" w:right="253" w:firstLine="1120"/>
        <w:jc w:val="right"/>
      </w:pPr>
      <w:r>
        <w:rPr>
          <w:spacing w:val="-3"/>
        </w:rPr>
        <w:t>中华人民共和国财政部中华人民共和国工业和信息化部</w:t>
      </w:r>
    </w:p>
    <w:p>
      <w:pPr>
        <w:pStyle w:val="3"/>
        <w:spacing w:before="3"/>
        <w:ind w:left="0" w:right="253" w:firstLine="0"/>
        <w:jc w:val="right"/>
      </w:pPr>
      <w:r>
        <w:rPr>
          <w:rFonts w:ascii="Times New Roman" w:eastAsia="Times New Roman"/>
        </w:rPr>
        <w:t>2020</w:t>
      </w:r>
      <w:r>
        <w:rPr>
          <w:rFonts w:ascii="Times New Roman" w:eastAsia="Times New Roman"/>
          <w:spacing w:val="-1"/>
        </w:rPr>
        <w:t xml:space="preserve"> </w:t>
      </w:r>
      <w:r>
        <w:rPr>
          <w:spacing w:val="-36"/>
        </w:rPr>
        <w:t xml:space="preserve">年 </w:t>
      </w:r>
      <w:r>
        <w:rPr>
          <w:rFonts w:ascii="Times New Roman" w:eastAsia="Times New Roman"/>
        </w:rPr>
        <w:t xml:space="preserve">12 </w:t>
      </w:r>
      <w:r>
        <w:rPr>
          <w:spacing w:val="-36"/>
        </w:rPr>
        <w:t xml:space="preserve">月 </w:t>
      </w:r>
      <w:r>
        <w:rPr>
          <w:rFonts w:ascii="Times New Roman" w:eastAsia="Times New Roman"/>
        </w:rPr>
        <w:t xml:space="preserve">18 </w:t>
      </w:r>
      <w:r>
        <w:t>日</w:t>
      </w:r>
    </w:p>
    <w:p>
      <w:pPr>
        <w:pStyle w:val="3"/>
        <w:ind w:left="0" w:right="0" w:firstLine="0"/>
        <w:rPr>
          <w:sz w:val="30"/>
        </w:rPr>
      </w:pPr>
    </w:p>
    <w:p>
      <w:pPr>
        <w:pStyle w:val="3"/>
        <w:spacing w:before="1"/>
        <w:ind w:left="0" w:right="137" w:firstLine="0"/>
        <w:jc w:val="center"/>
        <w:rPr>
          <w:rFonts w:hint="eastAsia" w:ascii="Arial Unicode MS" w:eastAsia="Arial Unicode MS"/>
        </w:rPr>
      </w:pPr>
      <w:r>
        <w:rPr>
          <w:rFonts w:hint="eastAsia" w:ascii="Arial Unicode MS" w:eastAsia="Arial Unicode MS"/>
        </w:rPr>
        <w:t>政府采购促进中小企业发展管理办法</w:t>
      </w:r>
    </w:p>
    <w:p>
      <w:pPr>
        <w:pStyle w:val="3"/>
        <w:spacing w:before="4"/>
        <w:ind w:left="0" w:right="0" w:firstLine="0"/>
        <w:rPr>
          <w:rFonts w:ascii="Arial Unicode MS"/>
          <w:sz w:val="21"/>
        </w:rPr>
      </w:pPr>
    </w:p>
    <w:p>
      <w:pPr>
        <w:pStyle w:val="3"/>
        <w:ind w:left="677" w:right="0" w:firstLine="0"/>
      </w:pPr>
      <w:r>
        <w:t>第一条 为了发挥政府采购的政策功能，促进中小企业健康发展，根据</w:t>
      </w:r>
    </w:p>
    <w:p>
      <w:pPr>
        <w:pStyle w:val="3"/>
        <w:spacing w:before="39" w:line="268" w:lineRule="auto"/>
        <w:ind w:firstLine="0"/>
      </w:pPr>
      <w:r>
        <w:t>《中华人民共和国政府采购法》、《中华人民共和国中小企业促进法》等有关法律法规，制定本办法。</w:t>
      </w:r>
    </w:p>
    <w:p>
      <w:pPr>
        <w:pStyle w:val="3"/>
        <w:spacing w:line="266" w:lineRule="auto"/>
        <w:ind w:right="228"/>
      </w:pPr>
      <w:r>
        <w:t>第二条 本办法所称中小企业，是指在中华人民共和国境内依法设立， 依据国务院批准的中小企业划分标准确定的中型企业、小型企业和微型企业，但与大企业的负责人为同一人，或者与大企业存在直接控股、管理关系的除外。</w:t>
      </w:r>
    </w:p>
    <w:p>
      <w:pPr>
        <w:spacing w:after="0" w:line="266" w:lineRule="auto"/>
        <w:sectPr>
          <w:footerReference r:id="rId7" w:type="default"/>
          <w:pgSz w:w="11910" w:h="16840"/>
          <w:pgMar w:top="1580" w:right="1160" w:bottom="1160" w:left="1300" w:header="0" w:footer="978" w:gutter="0"/>
          <w:pgNumType w:start="20"/>
          <w:cols w:space="720" w:num="1"/>
        </w:sectPr>
      </w:pPr>
    </w:p>
    <w:p>
      <w:pPr>
        <w:pStyle w:val="3"/>
        <w:spacing w:before="144" w:line="268" w:lineRule="auto"/>
      </w:pPr>
      <w:r>
        <w:t>符合中小企业划分标准的个体工商户，在政府采购活动中视同中小企业。</w:t>
      </w:r>
    </w:p>
    <w:p>
      <w:pPr>
        <w:pStyle w:val="3"/>
        <w:spacing w:line="268" w:lineRule="auto"/>
        <w:ind w:right="214"/>
      </w:pPr>
      <w:r>
        <w:t>第三条 采购人在政府采购活动中应当通过加强采购需求管理，落实预留采购份额、价格评审优惠、优先采购等措施，提高中小企业在政府采购中的份额，支持中小企业发展。</w:t>
      </w:r>
    </w:p>
    <w:p>
      <w:pPr>
        <w:pStyle w:val="3"/>
        <w:spacing w:line="268" w:lineRule="auto"/>
        <w:ind w:right="204"/>
      </w:pPr>
      <w:r>
        <w:t>第四条 在政府采购活动中，供应商提供的货物、工程或者服务符合下列情形的，享受本办法规定的中小企业扶持政策：</w:t>
      </w:r>
    </w:p>
    <w:p>
      <w:pPr>
        <w:pStyle w:val="3"/>
        <w:spacing w:line="266" w:lineRule="auto"/>
      </w:pPr>
      <w:r>
        <w:t>（一）在货物采购项目中，货物由中小企业制造，即货物由中小企业生产且使用该中小企业商号或者注册商标；</w:t>
      </w:r>
    </w:p>
    <w:p>
      <w:pPr>
        <w:pStyle w:val="3"/>
        <w:spacing w:line="268" w:lineRule="auto"/>
      </w:pPr>
      <w:r>
        <w:t>（二）在工程采购项目中，工程由中小企业承建，即工程施工单位为中小企业；</w:t>
      </w:r>
    </w:p>
    <w:p>
      <w:pPr>
        <w:pStyle w:val="3"/>
        <w:spacing w:line="268" w:lineRule="auto"/>
        <w:ind w:right="114"/>
      </w:pPr>
      <w:r>
        <w:t>（</w:t>
      </w:r>
      <w:r>
        <w:rPr>
          <w:spacing w:val="-3"/>
        </w:rPr>
        <w:t>三</w:t>
      </w:r>
      <w:r>
        <w:t>）</w:t>
      </w:r>
      <w:r>
        <w:rPr>
          <w:spacing w:val="-3"/>
        </w:rPr>
        <w:t xml:space="preserve">在服务采购项目中，服务由中小企业承接，即提供服务的人员 </w:t>
      </w:r>
      <w:r>
        <w:rPr>
          <w:spacing w:val="-6"/>
        </w:rPr>
        <w:t>为中小企业依照《中华人民共和国劳动合同法》订立劳动合同的从业人员。</w:t>
      </w:r>
    </w:p>
    <w:p>
      <w:pPr>
        <w:pStyle w:val="3"/>
        <w:spacing w:line="266" w:lineRule="auto"/>
      </w:pPr>
      <w:r>
        <w:t>在货物采购项目中，供应商提供的货物既有中小企业制造货物，也有大型企业制造货物的，不享受本办法规定的中小企业扶持政策。</w:t>
      </w:r>
    </w:p>
    <w:p>
      <w:pPr>
        <w:pStyle w:val="3"/>
        <w:spacing w:line="266" w:lineRule="auto"/>
        <w:jc w:val="both"/>
      </w:pPr>
      <w:r>
        <w:t>以联合体形式参加政府采购活动，联合体各方均为中小企业的，联合体视同中小企业。其中，联合体各方均为小微企业的，联合体视同小微企业。</w:t>
      </w:r>
    </w:p>
    <w:p>
      <w:pPr>
        <w:pStyle w:val="3"/>
        <w:spacing w:line="266" w:lineRule="auto"/>
        <w:ind w:right="228"/>
      </w:pPr>
      <w:r>
        <w:t>第五条 采购人在政府采购活动中应当合理确定采购项目的采购需求， 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3"/>
        <w:spacing w:line="266" w:lineRule="auto"/>
        <w:ind w:right="228"/>
      </w:pPr>
      <w:r>
        <w:t>第六条 主管预算单位应当组织评估本部门及所属单位政府采购项目， 统筹制定面向中小企业预留采购份额的具体方案，对适宜由中小企业提供的采购项目和采购包，预留采购份额专门面向中小企业采购，并在政府采购预算中单独列示。</w:t>
      </w:r>
    </w:p>
    <w:p>
      <w:pPr>
        <w:pStyle w:val="3"/>
        <w:spacing w:before="6"/>
        <w:ind w:left="677" w:right="0" w:firstLine="0"/>
      </w:pPr>
      <w:r>
        <w:t>符合下列情形之一的，可不专门面向中小企业预留采购份额：</w:t>
      </w:r>
    </w:p>
    <w:p>
      <w:pPr>
        <w:pStyle w:val="3"/>
        <w:spacing w:before="42" w:line="268" w:lineRule="auto"/>
        <w:ind w:right="64"/>
      </w:pPr>
      <w:r>
        <w:t>（一）法律法规和国家有关政策明确规定优先或者应当面向事业单位、社会组织等非企业主体采购的；</w:t>
      </w:r>
    </w:p>
    <w:p>
      <w:pPr>
        <w:pStyle w:val="3"/>
        <w:spacing w:line="268" w:lineRule="auto"/>
      </w:pPr>
      <w:r>
        <w:t>（二）因确需使用不可替代的专利、专有技术，基础设施限制，或者提供特定公共服务等原因，只能从中小企业之外的供应商处采购的；</w:t>
      </w:r>
    </w:p>
    <w:p>
      <w:pPr>
        <w:pStyle w:val="3"/>
        <w:spacing w:line="266" w:lineRule="auto"/>
      </w:pPr>
      <w:r>
        <w:t>（三）按照本办法规定预留采购份额无法确保充分供应、充分竞争， 或者存在可能影响政府采购目标实现的情形；</w:t>
      </w:r>
    </w:p>
    <w:p>
      <w:pPr>
        <w:pStyle w:val="3"/>
        <w:ind w:left="677" w:right="0" w:firstLine="0"/>
      </w:pPr>
      <w:r>
        <w:t>（四）框架协议采购项目；</w:t>
      </w:r>
    </w:p>
    <w:p>
      <w:pPr>
        <w:spacing w:after="0"/>
        <w:sectPr>
          <w:pgSz w:w="11910" w:h="16840"/>
          <w:pgMar w:top="1580" w:right="1160" w:bottom="1160" w:left="1300" w:header="0" w:footer="978" w:gutter="0"/>
          <w:cols w:space="720" w:num="1"/>
        </w:sectPr>
      </w:pPr>
    </w:p>
    <w:p>
      <w:pPr>
        <w:pStyle w:val="3"/>
        <w:spacing w:before="144" w:line="268" w:lineRule="auto"/>
        <w:ind w:left="677" w:right="2046" w:firstLine="0"/>
      </w:pPr>
      <w:r>
        <w:t>（</w:t>
      </w:r>
      <w:r>
        <w:rPr>
          <w:spacing w:val="-3"/>
        </w:rPr>
        <w:t>五</w:t>
      </w:r>
      <w:r>
        <w:t>）</w:t>
      </w:r>
      <w:r>
        <w:rPr>
          <w:spacing w:val="-3"/>
        </w:rPr>
        <w:t>省级以上人民政府财政部门规定的其他情形。 除上述情形外，其他均为适宜由中小企业提供的情形。</w:t>
      </w:r>
    </w:p>
    <w:p>
      <w:pPr>
        <w:pStyle w:val="3"/>
        <w:spacing w:line="268" w:lineRule="auto"/>
        <w:ind w:right="254"/>
      </w:pPr>
      <w:r>
        <w:rPr>
          <w:spacing w:val="-4"/>
        </w:rPr>
        <w:t>第七条 采购限额标准以上，</w:t>
      </w:r>
      <w:r>
        <w:rPr>
          <w:rFonts w:ascii="Times New Roman" w:eastAsia="Times New Roman"/>
          <w:spacing w:val="-14"/>
        </w:rPr>
        <w:t xml:space="preserve">200 </w:t>
      </w:r>
      <w:r>
        <w:rPr>
          <w:spacing w:val="-7"/>
        </w:rPr>
        <w:t>万元以下的货物和服务采购项目、</w:t>
      </w:r>
      <w:r>
        <w:rPr>
          <w:rFonts w:ascii="Times New Roman" w:eastAsia="Times New Roman"/>
        </w:rPr>
        <w:t xml:space="preserve">400 </w:t>
      </w:r>
      <w:r>
        <w:rPr>
          <w:spacing w:val="-3"/>
        </w:rPr>
        <w:t>万元以下的工程采购项目，适宜由中小企业提供的，采购人应当专门面向中小企业采购。</w:t>
      </w:r>
    </w:p>
    <w:p>
      <w:pPr>
        <w:pStyle w:val="3"/>
        <w:spacing w:line="266" w:lineRule="auto"/>
        <w:ind w:right="255"/>
        <w:jc w:val="both"/>
      </w:pPr>
      <w:r>
        <w:rPr>
          <w:spacing w:val="-12"/>
        </w:rPr>
        <w:t xml:space="preserve">第八条 超过 </w:t>
      </w:r>
      <w:r>
        <w:rPr>
          <w:rFonts w:ascii="Times New Roman" w:eastAsia="Times New Roman"/>
        </w:rPr>
        <w:t xml:space="preserve">200 </w:t>
      </w:r>
      <w:r>
        <w:rPr>
          <w:spacing w:val="-10"/>
        </w:rPr>
        <w:t xml:space="preserve">万元的货物和服务采购项目、超过 </w:t>
      </w:r>
      <w:r>
        <w:rPr>
          <w:rFonts w:ascii="Times New Roman" w:eastAsia="Times New Roman"/>
        </w:rPr>
        <w:t xml:space="preserve">400 </w:t>
      </w:r>
      <w:r>
        <w:rPr>
          <w:spacing w:val="-3"/>
        </w:rPr>
        <w:t>万元的工程采</w:t>
      </w:r>
      <w:r>
        <w:rPr>
          <w:spacing w:val="-6"/>
        </w:rPr>
        <w:t xml:space="preserve">购项目中适宜由中小企业提供的，预留该部分采购项目预算总额的 </w:t>
      </w:r>
      <w:r>
        <w:rPr>
          <w:rFonts w:ascii="Times New Roman" w:eastAsia="Times New Roman"/>
        </w:rPr>
        <w:t>30%</w:t>
      </w:r>
      <w:r>
        <w:t>以</w:t>
      </w:r>
      <w:r>
        <w:rPr>
          <w:spacing w:val="-6"/>
        </w:rPr>
        <w:t xml:space="preserve">上专门面向中小企业采购，其中预留给小微企业的比例不低于 </w:t>
      </w:r>
      <w:r>
        <w:rPr>
          <w:rFonts w:ascii="Times New Roman" w:eastAsia="Times New Roman"/>
          <w:spacing w:val="-2"/>
        </w:rPr>
        <w:t>60%</w:t>
      </w:r>
      <w:r>
        <w:rPr>
          <w:spacing w:val="-2"/>
        </w:rPr>
        <w:t>。预留</w:t>
      </w:r>
      <w:r>
        <w:rPr>
          <w:spacing w:val="-3"/>
        </w:rPr>
        <w:t>份额通过下列措施进行：</w:t>
      </w:r>
    </w:p>
    <w:p>
      <w:pPr>
        <w:pStyle w:val="3"/>
        <w:ind w:left="677" w:right="0" w:firstLine="0"/>
      </w:pPr>
      <w:r>
        <w:t>（一）将采购项目整体或者设置采购包专门面向中小企业采购；</w:t>
      </w:r>
    </w:p>
    <w:p>
      <w:pPr>
        <w:pStyle w:val="3"/>
        <w:spacing w:before="40" w:line="266" w:lineRule="auto"/>
      </w:pPr>
      <w:r>
        <w:t>（二）要求供应商以联合体形式参加采购活动，且联合体中中小企业承担的部分达到一定比例；</w:t>
      </w:r>
    </w:p>
    <w:p>
      <w:pPr>
        <w:pStyle w:val="3"/>
        <w:spacing w:before="2" w:line="268" w:lineRule="auto"/>
      </w:pPr>
      <w:r>
        <w:t>（三）要求获得采购合同的供应商将采购项目中的一定比例分包给一家或者多家中小企业。</w:t>
      </w:r>
    </w:p>
    <w:p>
      <w:pPr>
        <w:pStyle w:val="3"/>
        <w:spacing w:line="268" w:lineRule="auto"/>
      </w:pPr>
      <w:r>
        <w:t>组成联合体或者接受分包合同的中小企业与联合体内其他企业、分包企业之间不得存在直接控股、管理关系。</w:t>
      </w:r>
    </w:p>
    <w:p>
      <w:pPr>
        <w:pStyle w:val="3"/>
        <w:spacing w:line="266" w:lineRule="auto"/>
        <w:ind w:right="253"/>
      </w:pPr>
      <w:r>
        <w:rPr>
          <w:spacing w:val="-3"/>
        </w:rPr>
        <w:t>第九条 对于经主管预算单位统筹后未预留份额专门面向中小企业采购的采购项目，以及预留份额项目中的非预留部分采购包，采购人、采购</w:t>
      </w:r>
      <w:r>
        <w:rPr>
          <w:spacing w:val="-6"/>
        </w:rPr>
        <w:t xml:space="preserve">代理机构应当对符合本办法规定的小微企业报价给予 </w:t>
      </w:r>
      <w:r>
        <w:rPr>
          <w:rFonts w:ascii="Times New Roman" w:hAnsi="Times New Roman" w:eastAsia="Times New Roman"/>
        </w:rPr>
        <w:t>6%—10%</w:t>
      </w:r>
      <w:r>
        <w:t>（</w:t>
      </w:r>
      <w:r>
        <w:rPr>
          <w:spacing w:val="-2"/>
        </w:rPr>
        <w:t>工程项目</w:t>
      </w:r>
      <w:r>
        <w:rPr>
          <w:spacing w:val="-36"/>
        </w:rPr>
        <w:t xml:space="preserve">为 </w:t>
      </w:r>
      <w:r>
        <w:rPr>
          <w:rFonts w:ascii="Times New Roman" w:hAnsi="Times New Roman" w:eastAsia="Times New Roman"/>
        </w:rPr>
        <w:t>3%—5%</w:t>
      </w:r>
      <w:r>
        <w:t>）</w:t>
      </w:r>
      <w:r>
        <w:rPr>
          <w:spacing w:val="-3"/>
        </w:rPr>
        <w:t xml:space="preserve">的扣除，用扣除后的价格参加评审。适用招标投标法的政府采购工程建设项目，采用综合评估法但未采用低价优先法计算价格分的， </w:t>
      </w:r>
      <w:r>
        <w:rPr>
          <w:spacing w:val="-6"/>
        </w:rPr>
        <w:t xml:space="preserve">评标时应当在采用原报价进行评分的基础上增加其价格得分的 </w:t>
      </w:r>
      <w:r>
        <w:rPr>
          <w:rFonts w:ascii="Times New Roman" w:hAnsi="Times New Roman" w:eastAsia="Times New Roman"/>
        </w:rPr>
        <w:t>3%—5%</w:t>
      </w:r>
      <w:r>
        <w:t>作</w:t>
      </w:r>
      <w:r>
        <w:rPr>
          <w:spacing w:val="-3"/>
        </w:rPr>
        <w:t>为其价格分。</w:t>
      </w:r>
    </w:p>
    <w:p>
      <w:pPr>
        <w:pStyle w:val="3"/>
        <w:spacing w:before="5" w:line="268" w:lineRule="auto"/>
        <w:ind w:right="318"/>
        <w:jc w:val="both"/>
      </w:pPr>
      <w:r>
        <w:rPr>
          <w:spacing w:val="-3"/>
        </w:rPr>
        <w:t>接受大中型企业与小微企业组成联合体或者允许大中型企业向一家或者多家小微企业分包的采购项目，对于联合协议或者分包意向协议约定小</w:t>
      </w:r>
      <w:r>
        <w:rPr>
          <w:spacing w:val="-7"/>
        </w:rPr>
        <w:t xml:space="preserve">微企业的合同份额占到合同总金额 </w:t>
      </w:r>
      <w:r>
        <w:rPr>
          <w:rFonts w:ascii="Times New Roman" w:hAnsi="Times New Roman" w:eastAsia="Times New Roman"/>
          <w:spacing w:val="-2"/>
        </w:rPr>
        <w:t>30%</w:t>
      </w:r>
      <w:r>
        <w:rPr>
          <w:spacing w:val="-3"/>
        </w:rPr>
        <w:t>以上的，采购人、采购代理机构应</w:t>
      </w:r>
      <w:r>
        <w:rPr>
          <w:spacing w:val="-7"/>
        </w:rPr>
        <w:t xml:space="preserve">当对联合体或者大中型企业的报价给予 </w:t>
      </w:r>
      <w:r>
        <w:rPr>
          <w:rFonts w:ascii="Times New Roman" w:hAnsi="Times New Roman" w:eastAsia="Times New Roman"/>
        </w:rPr>
        <w:t>2%-3%</w:t>
      </w:r>
      <w:r>
        <w:t>（</w:t>
      </w:r>
      <w:r>
        <w:rPr>
          <w:spacing w:val="-14"/>
        </w:rPr>
        <w:t xml:space="preserve">工程项目为 </w:t>
      </w:r>
      <w:r>
        <w:rPr>
          <w:rFonts w:ascii="Times New Roman" w:hAnsi="Times New Roman" w:eastAsia="Times New Roman"/>
        </w:rPr>
        <w:t>1%—2%</w:t>
      </w:r>
      <w:r>
        <w:t>）的</w:t>
      </w:r>
      <w:r>
        <w:rPr>
          <w:spacing w:val="-3"/>
        </w:rPr>
        <w:t>扣除，用扣除后的价格参加评审。适用招标投标法的政府采购工程建设项目，采用综合评估法但未采用低价优先法计算价格分的，评标时应当在采</w:t>
      </w:r>
      <w:r>
        <w:rPr>
          <w:spacing w:val="-7"/>
        </w:rPr>
        <w:t xml:space="preserve">用原报价进行评分的基础上增加其价格得分的 </w:t>
      </w:r>
      <w:r>
        <w:rPr>
          <w:rFonts w:ascii="Times New Roman" w:hAnsi="Times New Roman" w:eastAsia="Times New Roman"/>
        </w:rPr>
        <w:t>1%—2%</w:t>
      </w:r>
      <w:r>
        <w:rPr>
          <w:spacing w:val="-3"/>
        </w:rPr>
        <w:t>作为其价格分。组成联合体或者接受分包的小微企业与联合体内其他企业、分包企业之间存在直接控股、管理关系的，不享受价格扣除优惠政策。</w:t>
      </w:r>
    </w:p>
    <w:p>
      <w:pPr>
        <w:pStyle w:val="3"/>
        <w:spacing w:line="343" w:lineRule="exact"/>
        <w:ind w:left="0" w:firstLine="0"/>
        <w:jc w:val="right"/>
      </w:pPr>
      <w:r>
        <w:rPr>
          <w:spacing w:val="-3"/>
        </w:rPr>
        <w:t>价格扣除比例或者价格分加分比例对小型企业和微型企业同等对待，</w:t>
      </w:r>
    </w:p>
    <w:p>
      <w:pPr>
        <w:pStyle w:val="3"/>
        <w:spacing w:before="42"/>
        <w:ind w:left="0" w:firstLine="0"/>
        <w:jc w:val="right"/>
      </w:pPr>
      <w:r>
        <w:rPr>
          <w:spacing w:val="-3"/>
        </w:rPr>
        <w:t>不作区分。具体采购项目的价格扣除比例或者价格分加分比例，由采购人</w:t>
      </w:r>
    </w:p>
    <w:p>
      <w:pPr>
        <w:spacing w:after="0"/>
        <w:jc w:val="right"/>
        <w:sectPr>
          <w:pgSz w:w="11910" w:h="16840"/>
          <w:pgMar w:top="1580" w:right="1160" w:bottom="1160" w:left="1300" w:header="0" w:footer="978" w:gutter="0"/>
          <w:cols w:space="720" w:num="1"/>
        </w:sectPr>
      </w:pPr>
    </w:p>
    <w:p>
      <w:pPr>
        <w:pStyle w:val="3"/>
        <w:spacing w:before="144" w:line="268" w:lineRule="auto"/>
        <w:ind w:firstLine="0"/>
      </w:pPr>
      <w:r>
        <w:t>根据采购标的相关行业平均利润率、市场竞争状况等，在本办法规定的幅度内确定。</w:t>
      </w:r>
    </w:p>
    <w:p>
      <w:pPr>
        <w:pStyle w:val="3"/>
        <w:spacing w:line="268" w:lineRule="auto"/>
      </w:pPr>
      <w:r>
        <w:rPr>
          <w:spacing w:val="-3"/>
        </w:rPr>
        <w:t>第十条 采购人应当严格按照本办法规定和主管预算单位制定的预留采购份额具体方案开展采购活动。预留份额的采购项目或者采购包，通过</w:t>
      </w:r>
      <w:r>
        <w:rPr>
          <w:spacing w:val="-6"/>
        </w:rPr>
        <w:t xml:space="preserve">发布公告方式邀请供应商后，符合资格条件的中小企业数量不足 </w:t>
      </w:r>
      <w:r>
        <w:rPr>
          <w:rFonts w:ascii="Times New Roman" w:eastAsia="Times New Roman"/>
        </w:rPr>
        <w:t xml:space="preserve">3 </w:t>
      </w:r>
      <w:r>
        <w:rPr>
          <w:spacing w:val="-2"/>
        </w:rPr>
        <w:t xml:space="preserve">家的， </w:t>
      </w:r>
      <w:r>
        <w:rPr>
          <w:spacing w:val="-3"/>
        </w:rPr>
        <w:t>应当中止采购活动，视同未预留份额的采购项目或者采购包，按照本办法第九条有关规定重新组织采购活动。</w:t>
      </w:r>
    </w:p>
    <w:p>
      <w:pPr>
        <w:pStyle w:val="3"/>
        <w:spacing w:line="266" w:lineRule="auto"/>
        <w:ind w:right="253"/>
      </w:pPr>
      <w:r>
        <w:rPr>
          <w:spacing w:val="-5"/>
        </w:rPr>
        <w:t>第十一条 中小企业参加政府采购活动，应当出具本办法规定的《中小</w:t>
      </w:r>
      <w:r>
        <w:rPr>
          <w:spacing w:val="-10"/>
        </w:rPr>
        <w:t>企业声明函》</w:t>
      </w:r>
      <w:r>
        <w:rPr>
          <w:spacing w:val="-3"/>
        </w:rPr>
        <w:t>（</w:t>
      </w:r>
      <w:r>
        <w:rPr>
          <w:spacing w:val="-30"/>
        </w:rPr>
        <w:t xml:space="preserve">附 </w:t>
      </w:r>
      <w:r>
        <w:rPr>
          <w:rFonts w:ascii="Times New Roman" w:eastAsia="Times New Roman"/>
          <w:spacing w:val="-14"/>
        </w:rPr>
        <w:t>1</w:t>
      </w:r>
      <w:r>
        <w:rPr>
          <w:spacing w:val="-14"/>
        </w:rPr>
        <w:t>）</w:t>
      </w:r>
      <w:r>
        <w:rPr>
          <w:spacing w:val="-5"/>
        </w:rPr>
        <w:t>，否则不得享受相关中小企业扶持政策。任何单位和</w:t>
      </w:r>
      <w:r>
        <w:rPr>
          <w:spacing w:val="-3"/>
        </w:rPr>
        <w:t>个人不得要求供应商提供《中小企业声明函》之外的中小企业身份证明文件。</w:t>
      </w:r>
    </w:p>
    <w:p>
      <w:pPr>
        <w:pStyle w:val="3"/>
        <w:spacing w:line="268" w:lineRule="auto"/>
        <w:ind w:right="505"/>
      </w:pPr>
      <w:r>
        <w:rPr>
          <w:spacing w:val="-3"/>
        </w:rPr>
        <w:t>第十二条 采购项目涉及中小企业采购的，采购文件应当明确以下内容：</w:t>
      </w:r>
    </w:p>
    <w:p>
      <w:pPr>
        <w:pStyle w:val="3"/>
        <w:spacing w:line="266" w:lineRule="auto"/>
      </w:pPr>
      <w:r>
        <w:t>（一）预留份额的采购项目或者采购包，明确该项目或相关采购包专门面向中小企业采购，以及相关标的及预算金额；</w:t>
      </w:r>
    </w:p>
    <w:p>
      <w:pPr>
        <w:pStyle w:val="3"/>
        <w:spacing w:line="268" w:lineRule="auto"/>
        <w:ind w:right="114"/>
      </w:pPr>
      <w:r>
        <w:t>（</w:t>
      </w:r>
      <w:r>
        <w:rPr>
          <w:spacing w:val="-3"/>
        </w:rPr>
        <w:t>二</w:t>
      </w:r>
      <w:r>
        <w:t>）</w:t>
      </w:r>
      <w:r>
        <w:rPr>
          <w:spacing w:val="-3"/>
        </w:rPr>
        <w:t xml:space="preserve">要求以联合体形式参加或者合同分包的，明确联合协议或者分 </w:t>
      </w:r>
      <w:r>
        <w:rPr>
          <w:spacing w:val="-5"/>
        </w:rPr>
        <w:t>包意向协议中中小企业合同金额应当达到的比例，并作为供应商资格条件；</w:t>
      </w:r>
    </w:p>
    <w:p>
      <w:pPr>
        <w:pStyle w:val="3"/>
        <w:spacing w:line="268" w:lineRule="auto"/>
      </w:pPr>
      <w:r>
        <w:t>（三）非预留份额的采购项目或者采购包，明确有关价格扣除比例或者价格分加分比例；</w:t>
      </w:r>
    </w:p>
    <w:p>
      <w:pPr>
        <w:pStyle w:val="3"/>
        <w:spacing w:line="266" w:lineRule="auto"/>
        <w:ind w:right="114"/>
      </w:pPr>
      <w:r>
        <w:t>（</w:t>
      </w:r>
      <w:r>
        <w:rPr>
          <w:spacing w:val="-3"/>
        </w:rPr>
        <w:t>四</w:t>
      </w:r>
      <w:r>
        <w:t>）</w:t>
      </w:r>
      <w:r>
        <w:rPr>
          <w:spacing w:val="-3"/>
        </w:rPr>
        <w:t xml:space="preserve">规定依据本办法规定享受扶持政策获得政府采购合同的，小微 </w:t>
      </w:r>
      <w:r>
        <w:rPr>
          <w:spacing w:val="-5"/>
        </w:rPr>
        <w:t>企业不得将合同分包给大中型企业，中型企业不得将合同分包给大型企业；</w:t>
      </w:r>
    </w:p>
    <w:p>
      <w:pPr>
        <w:pStyle w:val="3"/>
        <w:spacing w:line="268" w:lineRule="auto"/>
        <w:ind w:right="64"/>
      </w:pPr>
      <w:r>
        <w:t>（五）采购人认为具备相关条件的，明确对中小企业在资金支付期限、预付款比例等方面的优惠措施；</w:t>
      </w:r>
    </w:p>
    <w:p>
      <w:pPr>
        <w:pStyle w:val="3"/>
        <w:spacing w:line="354" w:lineRule="exact"/>
        <w:ind w:left="677" w:right="0" w:firstLine="0"/>
      </w:pPr>
      <w:r>
        <w:t>（六）明确采购标的对应的中小企业划分标准所属行业；</w:t>
      </w:r>
    </w:p>
    <w:p>
      <w:pPr>
        <w:pStyle w:val="3"/>
        <w:spacing w:before="32"/>
        <w:ind w:left="677" w:right="0" w:firstLine="0"/>
      </w:pPr>
      <w:r>
        <w:t>（七）法律法规和省级以上人民政府财政部门规定的其他事项。</w:t>
      </w:r>
    </w:p>
    <w:p>
      <w:pPr>
        <w:pStyle w:val="3"/>
        <w:spacing w:before="43" w:line="266" w:lineRule="auto"/>
        <w:ind w:right="228"/>
        <w:jc w:val="both"/>
      </w:pPr>
      <w:r>
        <w:rPr>
          <w:spacing w:val="-3"/>
        </w:rPr>
        <w:t xml:space="preserve">第十三条 中标、成交供应商享受本办法规定的中小企业扶持政策的， </w:t>
      </w:r>
      <w:r>
        <w:rPr>
          <w:spacing w:val="-14"/>
        </w:rPr>
        <w:t>采购人、采购代理机构应当随中标、成交结果公开中标、成交供应商的《中</w:t>
      </w:r>
      <w:r>
        <w:rPr>
          <w:spacing w:val="-5"/>
        </w:rPr>
        <w:t>小企业声明函》。</w:t>
      </w:r>
    </w:p>
    <w:p>
      <w:pPr>
        <w:pStyle w:val="3"/>
        <w:spacing w:before="5" w:line="266" w:lineRule="auto"/>
      </w:pPr>
      <w:r>
        <w:t>适用招标投标法的政府采购工程建设项目，应当在公示中标候选人时公开中标候选人的《中小企业声明函》。</w:t>
      </w:r>
    </w:p>
    <w:p>
      <w:pPr>
        <w:pStyle w:val="3"/>
        <w:spacing w:before="3" w:line="266" w:lineRule="auto"/>
        <w:ind w:right="214"/>
      </w:pPr>
      <w:r>
        <w:t>第十四条 对于通过预留采购项目、预留专门采购包、要求以联合体形式参加或者合同分包等措施签订的采购合同，应当明确标注本合同为中小企业预留合同。其中，要求以联合体形式参加采购活动或者合同分包的， 应当将联合协议或者分包意向协议作为采购合同的组成部分。</w:t>
      </w:r>
    </w:p>
    <w:p>
      <w:pPr>
        <w:spacing w:after="0" w:line="266" w:lineRule="auto"/>
        <w:sectPr>
          <w:pgSz w:w="11910" w:h="16840"/>
          <w:pgMar w:top="1580" w:right="1160" w:bottom="1160" w:left="1300" w:header="0" w:footer="978" w:gutter="0"/>
          <w:cols w:space="720" w:num="1"/>
        </w:sectPr>
      </w:pPr>
    </w:p>
    <w:p>
      <w:pPr>
        <w:pStyle w:val="3"/>
        <w:spacing w:before="144" w:line="266" w:lineRule="auto"/>
        <w:ind w:right="210"/>
      </w:pPr>
      <w:r>
        <w:t>第十五条 鼓励各地区、各部门在采购活动中允许中小企业引入信用担保手段，为中小企业在投标（响应）保证、履约保证等方面提供专业化服务。鼓励中小企业依法合规通过政府采购合同融资。</w:t>
      </w:r>
    </w:p>
    <w:p>
      <w:pPr>
        <w:pStyle w:val="3"/>
        <w:spacing w:before="5" w:line="266" w:lineRule="auto"/>
        <w:ind w:right="214"/>
      </w:pPr>
      <w:r>
        <w:t>第十六条 政府采购监督检查、投诉处理及政府采购行政处罚中对中小企业的认定，由货物制造商或者工程、服务供应商注册登记所在地的县级以上人民政府中小企业主管部门负责。</w:t>
      </w:r>
    </w:p>
    <w:p>
      <w:pPr>
        <w:pStyle w:val="3"/>
        <w:spacing w:before="5" w:line="268" w:lineRule="auto"/>
      </w:pPr>
      <w:r>
        <w:t xml:space="preserve">中小企业主管部门应当在收到财政部门或者有关招标投标行政监督部门关于协助开展中小企业认定函后 </w:t>
      </w:r>
      <w:r>
        <w:rPr>
          <w:rFonts w:ascii="Times New Roman" w:eastAsia="Times New Roman"/>
        </w:rPr>
        <w:t xml:space="preserve">10 </w:t>
      </w:r>
      <w:r>
        <w:t>个工作日内做出书面答复。</w:t>
      </w:r>
    </w:p>
    <w:p>
      <w:pPr>
        <w:pStyle w:val="3"/>
        <w:spacing w:line="268" w:lineRule="auto"/>
        <w:ind w:right="214"/>
      </w:pPr>
      <w:r>
        <w:t>第十七条 各地区、各部门应当对涉及中小企业采购的预算项目实施全过程绩效管理，合理设置绩效目标和指标，落实扶持中小企业有关政策要求，定期开展绩效监控和评价，强化绩效评价结果应用。</w:t>
      </w:r>
    </w:p>
    <w:p>
      <w:pPr>
        <w:pStyle w:val="3"/>
        <w:spacing w:line="266" w:lineRule="auto"/>
        <w:ind w:right="253"/>
      </w:pPr>
      <w:r>
        <w:rPr>
          <w:spacing w:val="-8"/>
        </w:rPr>
        <w:t xml:space="preserve">第十八条 主管预算单位应当自 </w:t>
      </w:r>
      <w:r>
        <w:rPr>
          <w:rFonts w:ascii="Times New Roman" w:eastAsia="Times New Roman"/>
        </w:rPr>
        <w:t xml:space="preserve">2022 </w:t>
      </w:r>
      <w:r>
        <w:rPr>
          <w:spacing w:val="-3"/>
        </w:rPr>
        <w:t>年起向同级财政部门报告本部门上一年度面向中小企业预留份额和采购的具体情况，并在中国政府采购网公开预留项目执行情况</w:t>
      </w:r>
      <w:r>
        <w:rPr>
          <w:rFonts w:ascii="Times New Roman" w:eastAsia="Times New Roman"/>
        </w:rPr>
        <w:t>(</w:t>
      </w:r>
      <w:r>
        <w:rPr>
          <w:spacing w:val="-32"/>
        </w:rPr>
        <w:t xml:space="preserve">附 </w:t>
      </w:r>
      <w:r>
        <w:rPr>
          <w:rFonts w:ascii="Times New Roman" w:eastAsia="Times New Roman"/>
        </w:rPr>
        <w:t>2)</w:t>
      </w:r>
      <w:r>
        <w:rPr>
          <w:spacing w:val="-3"/>
        </w:rPr>
        <w:t>。未达到本办法规定的预留份额比例的，应当</w:t>
      </w:r>
      <w:r>
        <w:rPr>
          <w:spacing w:val="-2"/>
        </w:rPr>
        <w:t>作出说明。</w:t>
      </w:r>
    </w:p>
    <w:p>
      <w:pPr>
        <w:pStyle w:val="3"/>
        <w:spacing w:line="266" w:lineRule="auto"/>
        <w:ind w:right="228"/>
      </w:pPr>
      <w:r>
        <w:t>第十九条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3"/>
        <w:spacing w:before="6" w:line="266" w:lineRule="auto"/>
        <w:ind w:right="214"/>
      </w:pPr>
      <w:r>
        <w:t>第二十条 供应商按照本办法规定提供声明函内容不实的，属于提供虚假材料谋取中标、成交，依照《中华人民共和国政府采购法》等国家有关规定追究相应责任。</w:t>
      </w:r>
    </w:p>
    <w:p>
      <w:pPr>
        <w:pStyle w:val="3"/>
        <w:spacing w:before="6" w:line="266" w:lineRule="auto"/>
        <w:jc w:val="both"/>
      </w:pPr>
      <w:r>
        <w:t>适用招标投标法的政府采购工程建设项目，投标人按照本办法规定提供声明函内容不实的，属于弄虚作假骗取中标，依照《中华人民共和国招标投标法》等国家有关规定追究相应责任。</w:t>
      </w:r>
    </w:p>
    <w:p>
      <w:pPr>
        <w:pStyle w:val="3"/>
        <w:spacing w:before="5" w:line="266" w:lineRule="auto"/>
        <w:ind w:right="114"/>
      </w:pPr>
      <w:r>
        <w:rPr>
          <w:spacing w:val="-6"/>
        </w:rPr>
        <w:t>第二十一条 财政部门、中小企业主管部门及其工作人员在履行职责中</w:t>
      </w:r>
      <w:r>
        <w:rPr>
          <w:spacing w:val="-3"/>
        </w:rPr>
        <w:t xml:space="preserve">违反本办法规定及存在其他滥用职权、玩忽职守、徇私舞弊等违法违纪行 </w:t>
      </w:r>
      <w:r>
        <w:rPr>
          <w:spacing w:val="-18"/>
        </w:rPr>
        <w:t>为的，依照《中华人民共和国政府采购法》、《中华人民共和国公务员法》、</w:t>
      </w:r>
    </w:p>
    <w:p>
      <w:pPr>
        <w:pStyle w:val="3"/>
        <w:spacing w:before="5" w:line="266" w:lineRule="auto"/>
        <w:ind w:firstLine="0"/>
      </w:pPr>
      <w:r>
        <w:t>《中华人民共和国监察法》、《中华人民共和国政府采购法实施条例》等国家有关规定追究相应责任；涉嫌犯罪的，依法移送有关国家机关处理。</w:t>
      </w:r>
    </w:p>
    <w:p>
      <w:pPr>
        <w:pStyle w:val="3"/>
        <w:spacing w:before="3" w:line="268" w:lineRule="auto"/>
        <w:ind w:right="204"/>
      </w:pPr>
      <w:r>
        <w:t>第二十二条 对外援助项目、国家相关资格或者资质管理制度另有规定的项目，不适用本办法。</w:t>
      </w:r>
    </w:p>
    <w:p>
      <w:pPr>
        <w:pStyle w:val="3"/>
        <w:spacing w:line="268" w:lineRule="auto"/>
        <w:ind w:right="203"/>
      </w:pPr>
      <w:r>
        <w:t>第二十三条 关于视同中小企业的其他主体的政府采购扶持政策，由财政部会同有关部门另行规定。</w:t>
      </w:r>
    </w:p>
    <w:p>
      <w:pPr>
        <w:spacing w:after="0" w:line="268" w:lineRule="auto"/>
        <w:sectPr>
          <w:pgSz w:w="11910" w:h="16840"/>
          <w:pgMar w:top="1580" w:right="1160" w:bottom="1160" w:left="1300" w:header="0" w:footer="978" w:gutter="0"/>
          <w:cols w:space="720" w:num="1"/>
        </w:sectPr>
      </w:pPr>
    </w:p>
    <w:p>
      <w:pPr>
        <w:pStyle w:val="3"/>
        <w:spacing w:before="144" w:line="268" w:lineRule="auto"/>
        <w:ind w:right="507"/>
      </w:pPr>
      <w:r>
        <w:t>第二十四条 省级财政部门可以会同中小企业主管部门根据本办法的规定制定具体实施办法。</w:t>
      </w:r>
    </w:p>
    <w:p>
      <w:pPr>
        <w:pStyle w:val="3"/>
        <w:spacing w:line="268" w:lineRule="auto"/>
      </w:pPr>
      <w:r>
        <w:rPr>
          <w:spacing w:val="-10"/>
        </w:rPr>
        <w:t xml:space="preserve">第二十五条 本办法自 </w:t>
      </w:r>
      <w:r>
        <w:rPr>
          <w:rFonts w:ascii="Times New Roman" w:eastAsia="Times New Roman"/>
        </w:rPr>
        <w:t xml:space="preserve">2021 </w:t>
      </w:r>
      <w:r>
        <w:rPr>
          <w:spacing w:val="-35"/>
        </w:rPr>
        <w:t xml:space="preserve">年 </w:t>
      </w:r>
      <w:r>
        <w:rPr>
          <w:rFonts w:ascii="Times New Roman" w:eastAsia="Times New Roman"/>
        </w:rPr>
        <w:t xml:space="preserve">1 </w:t>
      </w:r>
      <w:r>
        <w:rPr>
          <w:spacing w:val="-35"/>
        </w:rPr>
        <w:t xml:space="preserve">月 </w:t>
      </w:r>
      <w:r>
        <w:rPr>
          <w:rFonts w:ascii="Times New Roman" w:eastAsia="Times New Roman"/>
        </w:rPr>
        <w:t xml:space="preserve">1 </w:t>
      </w:r>
      <w:r>
        <w:rPr>
          <w:spacing w:val="-3"/>
        </w:rPr>
        <w:t>日起施行。《财政部工业和信息化部关于印发〈政府采购促进中小企业发展暂行办法〉的通知》（</w:t>
      </w:r>
      <w:r>
        <w:t>财库</w:t>
      </w:r>
    </w:p>
    <w:p>
      <w:pPr>
        <w:pStyle w:val="3"/>
        <w:spacing w:line="430" w:lineRule="exact"/>
        <w:ind w:right="0" w:firstLine="0"/>
      </w:pPr>
      <w:r>
        <w:rPr>
          <w:rFonts w:hint="eastAsia" w:ascii="Arial Unicode MS" w:eastAsia="Arial Unicode MS"/>
          <w:spacing w:val="-1"/>
          <w:w w:val="501"/>
        </w:rPr>
        <w:t>﹝</w:t>
      </w:r>
      <w:r>
        <w:rPr>
          <w:rFonts w:ascii="Times New Roman" w:eastAsia="Times New Roman"/>
          <w:spacing w:val="-2"/>
          <w:w w:val="100"/>
        </w:rPr>
        <w:t>201</w:t>
      </w:r>
      <w:r>
        <w:rPr>
          <w:rFonts w:ascii="Times New Roman" w:eastAsia="Times New Roman"/>
          <w:spacing w:val="1"/>
          <w:w w:val="100"/>
        </w:rPr>
        <w:t>1</w:t>
      </w:r>
      <w:r>
        <w:rPr>
          <w:rFonts w:hint="eastAsia" w:ascii="Arial Unicode MS" w:eastAsia="Arial Unicode MS"/>
          <w:spacing w:val="-1"/>
          <w:w w:val="501"/>
        </w:rPr>
        <w:t>﹞</w:t>
      </w:r>
      <w:r>
        <w:rPr>
          <w:rFonts w:ascii="Times New Roman" w:eastAsia="Times New Roman"/>
          <w:spacing w:val="-2"/>
          <w:w w:val="100"/>
        </w:rPr>
        <w:t>18</w:t>
      </w:r>
      <w:r>
        <w:rPr>
          <w:rFonts w:ascii="Times New Roman" w:eastAsia="Times New Roman"/>
          <w:w w:val="100"/>
        </w:rPr>
        <w:t>1</w:t>
      </w:r>
      <w:r>
        <w:rPr>
          <w:rFonts w:ascii="Times New Roman" w:eastAsia="Times New Roman"/>
        </w:rPr>
        <w:t xml:space="preserve"> </w:t>
      </w:r>
      <w:r>
        <w:rPr>
          <w:spacing w:val="-1"/>
          <w:w w:val="100"/>
        </w:rPr>
        <w:t>号</w:t>
      </w:r>
      <w:r>
        <w:rPr>
          <w:spacing w:val="-3"/>
          <w:w w:val="100"/>
        </w:rPr>
        <w:t>）</w:t>
      </w:r>
      <w:r>
        <w:rPr>
          <w:spacing w:val="-2"/>
          <w:w w:val="100"/>
        </w:rPr>
        <w:t>同时废止。</w:t>
      </w:r>
    </w:p>
    <w:p>
      <w:pPr>
        <w:pStyle w:val="3"/>
        <w:spacing w:before="7"/>
        <w:ind w:left="0" w:right="0" w:firstLine="0"/>
      </w:pPr>
    </w:p>
    <w:p>
      <w:pPr>
        <w:pStyle w:val="2"/>
        <w:spacing w:before="1" w:line="172" w:lineRule="auto"/>
        <w:ind w:left="173" w:right="311"/>
      </w:pPr>
      <w:bookmarkStart w:id="6" w:name="山东省人民政府关于印发落实“六稳”“六保”促进高质量发展政策清单（第二批）的通知"/>
      <w:bookmarkEnd w:id="6"/>
      <w:bookmarkStart w:id="7" w:name="_bookmark3"/>
      <w:bookmarkEnd w:id="7"/>
      <w:r>
        <w:rPr>
          <w:w w:val="110"/>
        </w:rPr>
        <w:t>山东省人民政府关于印发落实“六稳”“六保”促进高质量发展</w:t>
      </w:r>
      <w:r>
        <w:rPr>
          <w:w w:val="120"/>
        </w:rPr>
        <w:t>政策清单（第二批）的通知</w:t>
      </w:r>
    </w:p>
    <w:p>
      <w:pPr>
        <w:pStyle w:val="3"/>
        <w:spacing w:before="7"/>
        <w:ind w:left="0" w:right="0" w:firstLine="0"/>
        <w:rPr>
          <w:rFonts w:ascii="Arial Unicode MS"/>
          <w:sz w:val="24"/>
        </w:rPr>
      </w:pPr>
    </w:p>
    <w:p>
      <w:pPr>
        <w:pStyle w:val="3"/>
        <w:ind w:left="0" w:right="137" w:firstLine="0"/>
        <w:jc w:val="center"/>
      </w:pPr>
      <w:r>
        <w:t>鲁政发〔</w:t>
      </w:r>
      <w:r>
        <w:rPr>
          <w:rFonts w:ascii="Times New Roman" w:eastAsia="Times New Roman"/>
        </w:rPr>
        <w:t>2021</w:t>
      </w:r>
      <w:r>
        <w:t>〕</w:t>
      </w:r>
      <w:r>
        <w:rPr>
          <w:rFonts w:ascii="Times New Roman" w:eastAsia="Times New Roman"/>
        </w:rPr>
        <w:t xml:space="preserve">4 </w:t>
      </w:r>
      <w:r>
        <w:t>号</w:t>
      </w:r>
    </w:p>
    <w:p>
      <w:pPr>
        <w:pStyle w:val="3"/>
        <w:ind w:left="0" w:right="0" w:firstLine="0"/>
        <w:rPr>
          <w:sz w:val="37"/>
        </w:rPr>
      </w:pPr>
    </w:p>
    <w:p>
      <w:pPr>
        <w:pStyle w:val="3"/>
        <w:spacing w:line="268" w:lineRule="auto"/>
        <w:ind w:firstLine="0"/>
      </w:pPr>
      <w:r>
        <w:t>各市人民政府，各县（市、区）人民政府，省政府各部门、各直属机构， 各大企业，各高等院校：</w:t>
      </w:r>
    </w:p>
    <w:p>
      <w:pPr>
        <w:pStyle w:val="3"/>
        <w:spacing w:line="268" w:lineRule="auto"/>
        <w:ind w:right="114"/>
      </w:pPr>
      <w:r>
        <w:rPr>
          <w:spacing w:val="-8"/>
        </w:rPr>
        <w:t>为全面落实“六稳”“六保”任务，促进经济社会高质量发展，省委、</w:t>
      </w:r>
      <w:r>
        <w:rPr>
          <w:spacing w:val="-3"/>
        </w:rPr>
        <w:t>省政府研究确定了《落实“六稳”“六保”促进高质量发展政策清单</w:t>
      </w:r>
      <w:r>
        <w:t xml:space="preserve">（第 </w:t>
      </w:r>
      <w:r>
        <w:rPr>
          <w:spacing w:val="-2"/>
        </w:rPr>
        <w:t>二批</w:t>
      </w:r>
      <w:r>
        <w:t>）</w:t>
      </w:r>
      <w:r>
        <w:rPr>
          <w:spacing w:val="-3"/>
        </w:rPr>
        <w:t>》，现印发给你们，请认真组织实施。</w:t>
      </w:r>
    </w:p>
    <w:p>
      <w:pPr>
        <w:pStyle w:val="3"/>
        <w:spacing w:before="12"/>
        <w:ind w:left="0" w:right="0" w:firstLine="0"/>
        <w:rPr>
          <w:sz w:val="32"/>
        </w:rPr>
      </w:pPr>
    </w:p>
    <w:p>
      <w:pPr>
        <w:pStyle w:val="3"/>
        <w:ind w:left="0" w:right="253" w:firstLine="0"/>
        <w:jc w:val="right"/>
      </w:pPr>
      <w:r>
        <w:rPr>
          <w:spacing w:val="-3"/>
        </w:rPr>
        <w:t>山东省人民政府</w:t>
      </w:r>
    </w:p>
    <w:p>
      <w:pPr>
        <w:pStyle w:val="3"/>
        <w:spacing w:before="42"/>
        <w:ind w:left="0" w:right="253" w:firstLine="0"/>
        <w:jc w:val="right"/>
      </w:pPr>
      <w:r>
        <w:rPr>
          <w:rFonts w:ascii="Times New Roman" w:eastAsia="Times New Roman"/>
        </w:rPr>
        <w:t>2021</w:t>
      </w:r>
      <w:r>
        <w:rPr>
          <w:rFonts w:ascii="Times New Roman" w:eastAsia="Times New Roman"/>
          <w:spacing w:val="2"/>
        </w:rPr>
        <w:t xml:space="preserve"> </w:t>
      </w:r>
      <w:r>
        <w:rPr>
          <w:spacing w:val="-36"/>
        </w:rPr>
        <w:t xml:space="preserve">年 </w:t>
      </w:r>
      <w:r>
        <w:rPr>
          <w:rFonts w:ascii="Times New Roman" w:eastAsia="Times New Roman"/>
        </w:rPr>
        <w:t>3</w:t>
      </w:r>
      <w:r>
        <w:rPr>
          <w:rFonts w:ascii="Times New Roman" w:eastAsia="Times New Roman"/>
          <w:spacing w:val="-2"/>
        </w:rPr>
        <w:t xml:space="preserve"> </w:t>
      </w:r>
      <w:r>
        <w:rPr>
          <w:spacing w:val="-36"/>
        </w:rPr>
        <w:t xml:space="preserve">月 </w:t>
      </w:r>
      <w:r>
        <w:rPr>
          <w:rFonts w:ascii="Times New Roman" w:eastAsia="Times New Roman"/>
        </w:rPr>
        <w:t xml:space="preserve">28 </w:t>
      </w:r>
      <w:r>
        <w:t>日</w:t>
      </w:r>
    </w:p>
    <w:p>
      <w:pPr>
        <w:pStyle w:val="3"/>
        <w:spacing w:before="42"/>
        <w:ind w:left="0" w:right="253" w:firstLine="0"/>
        <w:jc w:val="right"/>
      </w:pPr>
      <w:r>
        <w:rPr>
          <w:spacing w:val="-1"/>
        </w:rPr>
        <w:t>（</w:t>
      </w:r>
      <w:r>
        <w:rPr>
          <w:spacing w:val="-3"/>
        </w:rPr>
        <w:t>此件公开发布</w:t>
      </w:r>
      <w:r>
        <w:t>）</w:t>
      </w:r>
    </w:p>
    <w:p>
      <w:pPr>
        <w:pStyle w:val="3"/>
        <w:spacing w:before="1"/>
        <w:ind w:left="0" w:right="0" w:firstLine="0"/>
        <w:rPr>
          <w:sz w:val="30"/>
        </w:rPr>
      </w:pPr>
    </w:p>
    <w:p>
      <w:pPr>
        <w:pStyle w:val="3"/>
        <w:ind w:left="0" w:right="137" w:firstLine="0"/>
        <w:jc w:val="center"/>
        <w:rPr>
          <w:rFonts w:hint="eastAsia" w:ascii="Arial Unicode MS" w:hAnsi="Arial Unicode MS" w:eastAsia="Arial Unicode MS"/>
        </w:rPr>
      </w:pPr>
      <w:r>
        <w:rPr>
          <w:rFonts w:hint="eastAsia" w:ascii="Arial Unicode MS" w:hAnsi="Arial Unicode MS" w:eastAsia="Arial Unicode MS"/>
          <w:w w:val="120"/>
        </w:rPr>
        <w:t>落实</w:t>
      </w:r>
      <w:r>
        <w:rPr>
          <w:rFonts w:hint="eastAsia" w:ascii="Arial Unicode MS" w:hAnsi="Arial Unicode MS" w:eastAsia="Arial Unicode MS"/>
          <w:w w:val="155"/>
        </w:rPr>
        <w:t>“</w:t>
      </w:r>
      <w:r>
        <w:rPr>
          <w:rFonts w:hint="eastAsia" w:ascii="Arial Unicode MS" w:hAnsi="Arial Unicode MS" w:eastAsia="Arial Unicode MS"/>
          <w:w w:val="120"/>
        </w:rPr>
        <w:t>六稳</w:t>
      </w:r>
      <w:r>
        <w:rPr>
          <w:rFonts w:hint="eastAsia" w:ascii="Arial Unicode MS" w:hAnsi="Arial Unicode MS" w:eastAsia="Arial Unicode MS"/>
          <w:w w:val="155"/>
        </w:rPr>
        <w:t>”“</w:t>
      </w:r>
      <w:r>
        <w:rPr>
          <w:rFonts w:hint="eastAsia" w:ascii="Arial Unicode MS" w:hAnsi="Arial Unicode MS" w:eastAsia="Arial Unicode MS"/>
          <w:w w:val="120"/>
        </w:rPr>
        <w:t>六保</w:t>
      </w:r>
      <w:r>
        <w:rPr>
          <w:rFonts w:hint="eastAsia" w:ascii="Arial Unicode MS" w:hAnsi="Arial Unicode MS" w:eastAsia="Arial Unicode MS"/>
          <w:w w:val="155"/>
        </w:rPr>
        <w:t>”</w:t>
      </w:r>
      <w:r>
        <w:rPr>
          <w:rFonts w:hint="eastAsia" w:ascii="Arial Unicode MS" w:hAnsi="Arial Unicode MS" w:eastAsia="Arial Unicode MS"/>
          <w:w w:val="120"/>
        </w:rPr>
        <w:t>促进高质量发展政策清单（第二批）</w:t>
      </w:r>
    </w:p>
    <w:p>
      <w:pPr>
        <w:pStyle w:val="3"/>
        <w:ind w:left="0" w:right="0" w:firstLine="0"/>
        <w:rPr>
          <w:rFonts w:ascii="Arial Unicode MS"/>
          <w:sz w:val="23"/>
        </w:rPr>
      </w:pPr>
    </w:p>
    <w:p>
      <w:pPr>
        <w:pStyle w:val="3"/>
        <w:spacing w:before="1"/>
        <w:ind w:left="677" w:right="0" w:firstLine="0"/>
      </w:pPr>
      <w:r>
        <w:t xml:space="preserve">第二批政策清单共计 </w:t>
      </w:r>
      <w:r>
        <w:rPr>
          <w:rFonts w:ascii="Times New Roman" w:eastAsia="Times New Roman"/>
        </w:rPr>
        <w:t xml:space="preserve">49 </w:t>
      </w:r>
      <w:r>
        <w:t>项。</w:t>
      </w:r>
    </w:p>
    <w:p>
      <w:pPr>
        <w:pStyle w:val="3"/>
        <w:spacing w:before="17"/>
        <w:ind w:left="677" w:right="0" w:firstLine="0"/>
        <w:rPr>
          <w:rFonts w:hint="eastAsia" w:ascii="华文细黑" w:eastAsia="华文细黑"/>
        </w:rPr>
      </w:pPr>
      <w:r>
        <w:rPr>
          <w:rFonts w:hint="eastAsia" w:ascii="华文细黑" w:eastAsia="华文细黑"/>
        </w:rPr>
        <w:t>一、降本减负增效</w:t>
      </w:r>
    </w:p>
    <w:p>
      <w:pPr>
        <w:pStyle w:val="8"/>
        <w:numPr>
          <w:ilvl w:val="0"/>
          <w:numId w:val="1"/>
        </w:numPr>
        <w:tabs>
          <w:tab w:val="left" w:pos="1099"/>
        </w:tabs>
        <w:spacing w:before="4" w:after="0" w:line="266" w:lineRule="auto"/>
        <w:ind w:left="115" w:right="114" w:firstLine="561"/>
        <w:jc w:val="left"/>
        <w:rPr>
          <w:sz w:val="28"/>
        </w:rPr>
      </w:pPr>
      <w:r>
        <w:rPr>
          <w:spacing w:val="-7"/>
          <w:sz w:val="28"/>
        </w:rPr>
        <w:t xml:space="preserve">鼓励企业在鲁分支机构转为法人企业，自 </w:t>
      </w:r>
      <w:r>
        <w:rPr>
          <w:rFonts w:ascii="Times New Roman" w:eastAsia="Times New Roman"/>
          <w:sz w:val="28"/>
        </w:rPr>
        <w:t>2021</w:t>
      </w:r>
      <w:r>
        <w:rPr>
          <w:rFonts w:ascii="Times New Roman" w:eastAsia="Times New Roman"/>
          <w:spacing w:val="1"/>
          <w:sz w:val="28"/>
        </w:rPr>
        <w:t xml:space="preserve"> </w:t>
      </w:r>
      <w:r>
        <w:rPr>
          <w:spacing w:val="-24"/>
          <w:sz w:val="28"/>
        </w:rPr>
        <w:t xml:space="preserve">年起 </w:t>
      </w:r>
      <w:r>
        <w:rPr>
          <w:rFonts w:ascii="Times New Roman" w:eastAsia="Times New Roman"/>
          <w:sz w:val="28"/>
        </w:rPr>
        <w:t>3</w:t>
      </w:r>
      <w:r>
        <w:rPr>
          <w:rFonts w:ascii="Times New Roman" w:eastAsia="Times New Roman"/>
          <w:spacing w:val="-1"/>
          <w:sz w:val="28"/>
        </w:rPr>
        <w:t xml:space="preserve"> </w:t>
      </w:r>
      <w:r>
        <w:rPr>
          <w:spacing w:val="-2"/>
          <w:sz w:val="28"/>
        </w:rPr>
        <w:t>年内，在鲁</w:t>
      </w:r>
      <w:r>
        <w:rPr>
          <w:spacing w:val="-5"/>
          <w:sz w:val="28"/>
        </w:rPr>
        <w:t xml:space="preserve">分支机构转为入库纳统的法人企业后，对其产生的新增财力省级不再分成， </w:t>
      </w:r>
      <w:r>
        <w:rPr>
          <w:spacing w:val="-3"/>
          <w:sz w:val="28"/>
        </w:rPr>
        <w:t>由企业所在地财政按照一定比例给予奖励，或采取参股等方式予以支持。</w:t>
      </w:r>
    </w:p>
    <w:p>
      <w:pPr>
        <w:pStyle w:val="3"/>
        <w:spacing w:before="6" w:line="268" w:lineRule="auto"/>
        <w:ind w:firstLine="0"/>
      </w:pPr>
      <w:r>
        <w:t>（牵头单位：省财政厅；责任单位：省市场监管局、省工业和信息化厅、省商务厅、省税务局）</w:t>
      </w:r>
    </w:p>
    <w:p>
      <w:pPr>
        <w:pStyle w:val="8"/>
        <w:numPr>
          <w:ilvl w:val="0"/>
          <w:numId w:val="1"/>
        </w:numPr>
        <w:tabs>
          <w:tab w:val="left" w:pos="1099"/>
        </w:tabs>
        <w:spacing w:before="0" w:after="0" w:line="268" w:lineRule="auto"/>
        <w:ind w:left="115" w:right="228" w:firstLine="561"/>
        <w:jc w:val="left"/>
        <w:rPr>
          <w:sz w:val="28"/>
        </w:rPr>
      </w:pPr>
      <w:r>
        <w:rPr>
          <w:spacing w:val="-4"/>
          <w:sz w:val="28"/>
        </w:rPr>
        <w:t>将增值税小规模纳税人免征房产税、城镇土地使用税政策的执行期</w:t>
      </w:r>
      <w:r>
        <w:rPr>
          <w:spacing w:val="-13"/>
          <w:sz w:val="28"/>
        </w:rPr>
        <w:t xml:space="preserve">限，在延长至 </w:t>
      </w:r>
      <w:r>
        <w:rPr>
          <w:rFonts w:ascii="Times New Roman" w:eastAsia="Times New Roman"/>
          <w:sz w:val="28"/>
        </w:rPr>
        <w:t xml:space="preserve">2021 </w:t>
      </w:r>
      <w:r>
        <w:rPr>
          <w:spacing w:val="-36"/>
          <w:sz w:val="28"/>
        </w:rPr>
        <w:t xml:space="preserve">年 </w:t>
      </w:r>
      <w:r>
        <w:rPr>
          <w:rFonts w:ascii="Times New Roman" w:eastAsia="Times New Roman"/>
          <w:sz w:val="28"/>
        </w:rPr>
        <w:t>6</w:t>
      </w:r>
      <w:r>
        <w:rPr>
          <w:rFonts w:ascii="Times New Roman" w:eastAsia="Times New Roman"/>
          <w:spacing w:val="-2"/>
          <w:sz w:val="28"/>
        </w:rPr>
        <w:t xml:space="preserve"> </w:t>
      </w:r>
      <w:r>
        <w:rPr>
          <w:spacing w:val="-35"/>
          <w:sz w:val="28"/>
        </w:rPr>
        <w:t xml:space="preserve">月 </w:t>
      </w:r>
      <w:r>
        <w:rPr>
          <w:rFonts w:ascii="Times New Roman" w:eastAsia="Times New Roman"/>
          <w:sz w:val="28"/>
        </w:rPr>
        <w:t xml:space="preserve">30 </w:t>
      </w:r>
      <w:r>
        <w:rPr>
          <w:spacing w:val="-10"/>
          <w:sz w:val="28"/>
        </w:rPr>
        <w:t xml:space="preserve">日的基础上，再延长至 </w:t>
      </w:r>
      <w:r>
        <w:rPr>
          <w:rFonts w:ascii="Times New Roman" w:eastAsia="Times New Roman"/>
          <w:sz w:val="28"/>
        </w:rPr>
        <w:t xml:space="preserve">2021 </w:t>
      </w:r>
      <w:r>
        <w:rPr>
          <w:spacing w:val="-36"/>
          <w:sz w:val="28"/>
        </w:rPr>
        <w:t xml:space="preserve">年 </w:t>
      </w:r>
      <w:r>
        <w:rPr>
          <w:rFonts w:ascii="Times New Roman" w:eastAsia="Times New Roman"/>
          <w:sz w:val="28"/>
        </w:rPr>
        <w:t>12</w:t>
      </w:r>
      <w:r>
        <w:rPr>
          <w:rFonts w:ascii="Times New Roman" w:eastAsia="Times New Roman"/>
          <w:spacing w:val="1"/>
          <w:sz w:val="28"/>
        </w:rPr>
        <w:t xml:space="preserve"> </w:t>
      </w:r>
      <w:r>
        <w:rPr>
          <w:spacing w:val="-36"/>
          <w:sz w:val="28"/>
        </w:rPr>
        <w:t xml:space="preserve">月 </w:t>
      </w:r>
      <w:r>
        <w:rPr>
          <w:rFonts w:ascii="Times New Roman" w:eastAsia="Times New Roman"/>
          <w:sz w:val="28"/>
        </w:rPr>
        <w:t xml:space="preserve">31 </w:t>
      </w:r>
      <w:r>
        <w:rPr>
          <w:spacing w:val="-2"/>
          <w:sz w:val="28"/>
        </w:rPr>
        <w:t>日。</w:t>
      </w:r>
    </w:p>
    <w:p>
      <w:pPr>
        <w:pStyle w:val="3"/>
        <w:spacing w:line="357" w:lineRule="exact"/>
        <w:ind w:right="0" w:firstLine="0"/>
      </w:pPr>
      <w:r>
        <w:t>（牵头单位：省财政厅、省税务局）</w:t>
      </w:r>
    </w:p>
    <w:p>
      <w:pPr>
        <w:spacing w:after="0" w:line="357" w:lineRule="exact"/>
        <w:sectPr>
          <w:pgSz w:w="11910" w:h="16840"/>
          <w:pgMar w:top="1580" w:right="1160" w:bottom="1160" w:left="1300" w:header="0" w:footer="978" w:gutter="0"/>
          <w:cols w:space="720" w:num="1"/>
        </w:sectPr>
      </w:pPr>
    </w:p>
    <w:p>
      <w:pPr>
        <w:pStyle w:val="8"/>
        <w:numPr>
          <w:ilvl w:val="0"/>
          <w:numId w:val="1"/>
        </w:numPr>
        <w:tabs>
          <w:tab w:val="left" w:pos="1099"/>
        </w:tabs>
        <w:spacing w:before="144" w:after="0" w:line="240" w:lineRule="auto"/>
        <w:ind w:left="1098" w:right="0" w:hanging="422"/>
        <w:jc w:val="left"/>
        <w:rPr>
          <w:rFonts w:ascii="Times New Roman" w:eastAsia="Times New Roman"/>
          <w:sz w:val="28"/>
        </w:rPr>
      </w:pPr>
      <w:r>
        <w:rPr>
          <w:spacing w:val="-6"/>
          <w:sz w:val="28"/>
        </w:rPr>
        <w:t xml:space="preserve">按照国家统一部署，将小规模纳税人增值税起征点从月销售额 </w:t>
      </w:r>
      <w:r>
        <w:rPr>
          <w:rFonts w:ascii="Times New Roman" w:eastAsia="Times New Roman"/>
          <w:sz w:val="28"/>
        </w:rPr>
        <w:t>10</w:t>
      </w:r>
    </w:p>
    <w:p>
      <w:pPr>
        <w:pStyle w:val="3"/>
        <w:spacing w:before="42"/>
        <w:ind w:right="0" w:firstLine="0"/>
      </w:pPr>
      <w:r>
        <w:t xml:space="preserve">万元提高到 </w:t>
      </w:r>
      <w:r>
        <w:rPr>
          <w:rFonts w:ascii="Times New Roman" w:eastAsia="Times New Roman"/>
        </w:rPr>
        <w:t xml:space="preserve">15 </w:t>
      </w:r>
      <w:r>
        <w:t>万元。（牵头单位：省税务局、省财政厅）</w:t>
      </w:r>
    </w:p>
    <w:p>
      <w:pPr>
        <w:pStyle w:val="8"/>
        <w:numPr>
          <w:ilvl w:val="0"/>
          <w:numId w:val="1"/>
        </w:numPr>
        <w:tabs>
          <w:tab w:val="left" w:pos="1099"/>
        </w:tabs>
        <w:spacing w:before="39" w:after="0" w:line="240" w:lineRule="auto"/>
        <w:ind w:left="1098" w:right="0" w:hanging="422"/>
        <w:jc w:val="left"/>
        <w:rPr>
          <w:sz w:val="28"/>
        </w:rPr>
      </w:pPr>
      <w:r>
        <w:rPr>
          <w:spacing w:val="-5"/>
          <w:sz w:val="28"/>
        </w:rPr>
        <w:t>按照国家统一部署，对小微企业和个体工商户年应纳税所得额不到</w:t>
      </w:r>
    </w:p>
    <w:p>
      <w:pPr>
        <w:pStyle w:val="3"/>
        <w:spacing w:before="42" w:line="268" w:lineRule="auto"/>
        <w:ind w:right="114" w:firstLine="0"/>
      </w:pPr>
      <w:r>
        <w:rPr>
          <w:rFonts w:ascii="Times New Roman" w:eastAsia="Times New Roman"/>
        </w:rPr>
        <w:t xml:space="preserve">100 </w:t>
      </w:r>
      <w:r>
        <w:rPr>
          <w:spacing w:val="-18"/>
        </w:rPr>
        <w:t>万元的部分，在现行优惠政策基础上，再减半征收所得税。</w:t>
      </w:r>
      <w:r>
        <w:rPr>
          <w:spacing w:val="-3"/>
        </w:rPr>
        <w:t>（</w:t>
      </w:r>
      <w:r>
        <w:rPr>
          <w:spacing w:val="-2"/>
        </w:rPr>
        <w:t xml:space="preserve">牵头单位： </w:t>
      </w:r>
      <w:r>
        <w:rPr>
          <w:spacing w:val="-3"/>
        </w:rPr>
        <w:t>省税务局、省财政厅</w:t>
      </w:r>
      <w:r>
        <w:t>）</w:t>
      </w:r>
    </w:p>
    <w:p>
      <w:pPr>
        <w:pStyle w:val="3"/>
        <w:spacing w:line="268" w:lineRule="auto"/>
        <w:ind w:right="253"/>
      </w:pPr>
      <w:r>
        <w:rPr>
          <w:rFonts w:ascii="Times New Roman" w:eastAsia="Times New Roman"/>
        </w:rPr>
        <w:t>5</w:t>
      </w:r>
      <w:r>
        <w:t>．</w:t>
      </w:r>
      <w:r>
        <w:rPr>
          <w:rFonts w:ascii="Times New Roman" w:eastAsia="Times New Roman"/>
        </w:rPr>
        <w:t xml:space="preserve">2021 </w:t>
      </w:r>
      <w:r>
        <w:rPr>
          <w:spacing w:val="-24"/>
        </w:rPr>
        <w:t xml:space="preserve">年为 </w:t>
      </w:r>
      <w:r>
        <w:rPr>
          <w:rFonts w:ascii="Times New Roman" w:eastAsia="Times New Roman"/>
        </w:rPr>
        <w:t xml:space="preserve">5G </w:t>
      </w:r>
      <w:r>
        <w:rPr>
          <w:spacing w:val="-9"/>
        </w:rPr>
        <w:t xml:space="preserve">基站运营商压降进场租金 </w:t>
      </w:r>
      <w:r>
        <w:rPr>
          <w:rFonts w:ascii="Times New Roman" w:eastAsia="Times New Roman"/>
        </w:rPr>
        <w:t xml:space="preserve">8000 </w:t>
      </w:r>
      <w:r>
        <w:rPr>
          <w:spacing w:val="-3"/>
        </w:rPr>
        <w:t>万元，完成直供电改</w:t>
      </w:r>
      <w:r>
        <w:rPr>
          <w:spacing w:val="-36"/>
        </w:rPr>
        <w:t xml:space="preserve">造 </w:t>
      </w:r>
      <w:r>
        <w:rPr>
          <w:rFonts w:ascii="Times New Roman" w:eastAsia="Times New Roman"/>
        </w:rPr>
        <w:t xml:space="preserve">1.5 </w:t>
      </w:r>
      <w:r>
        <w:rPr>
          <w:spacing w:val="-10"/>
        </w:rPr>
        <w:t xml:space="preserve">万个，减轻电费负担 </w:t>
      </w:r>
      <w:r>
        <w:rPr>
          <w:rFonts w:ascii="Times New Roman" w:eastAsia="Times New Roman"/>
        </w:rPr>
        <w:t xml:space="preserve">1.4 </w:t>
      </w:r>
      <w:r>
        <w:rPr>
          <w:spacing w:val="-6"/>
        </w:rPr>
        <w:t>亿元。</w:t>
      </w:r>
      <w:r>
        <w:t>（</w:t>
      </w:r>
      <w:r>
        <w:rPr>
          <w:spacing w:val="-5"/>
        </w:rPr>
        <w:t>牵头单位：省工业和信息化厅、省</w:t>
      </w:r>
      <w:r>
        <w:rPr>
          <w:spacing w:val="-3"/>
        </w:rPr>
        <w:t>发展改革委；责任单位：省通信管理局、省市场监管局</w:t>
      </w:r>
      <w:r>
        <w:t>）</w:t>
      </w:r>
    </w:p>
    <w:p>
      <w:pPr>
        <w:pStyle w:val="8"/>
        <w:numPr>
          <w:ilvl w:val="0"/>
          <w:numId w:val="2"/>
        </w:numPr>
        <w:tabs>
          <w:tab w:val="left" w:pos="1099"/>
        </w:tabs>
        <w:spacing w:before="0" w:after="0" w:line="268" w:lineRule="auto"/>
        <w:ind w:left="115" w:right="366" w:firstLine="561"/>
        <w:jc w:val="both"/>
        <w:rPr>
          <w:sz w:val="28"/>
        </w:rPr>
      </w:pPr>
      <w:r>
        <w:rPr>
          <w:spacing w:val="-10"/>
          <w:sz w:val="28"/>
        </w:rPr>
        <w:t xml:space="preserve">按照国家统一部署，自 </w:t>
      </w:r>
      <w:r>
        <w:rPr>
          <w:rFonts w:ascii="Times New Roman" w:eastAsia="Times New Roman"/>
          <w:sz w:val="28"/>
        </w:rPr>
        <w:t>2021</w:t>
      </w:r>
      <w:r>
        <w:rPr>
          <w:rFonts w:ascii="Times New Roman" w:eastAsia="Times New Roman"/>
          <w:spacing w:val="1"/>
          <w:sz w:val="28"/>
        </w:rPr>
        <w:t xml:space="preserve"> </w:t>
      </w:r>
      <w:r>
        <w:rPr>
          <w:spacing w:val="-35"/>
          <w:sz w:val="28"/>
        </w:rPr>
        <w:t xml:space="preserve">年 </w:t>
      </w:r>
      <w:r>
        <w:rPr>
          <w:rFonts w:ascii="Times New Roman" w:eastAsia="Times New Roman"/>
          <w:sz w:val="28"/>
        </w:rPr>
        <w:t xml:space="preserve">1 </w:t>
      </w:r>
      <w:r>
        <w:rPr>
          <w:spacing w:val="-35"/>
          <w:sz w:val="28"/>
        </w:rPr>
        <w:t xml:space="preserve">月 </w:t>
      </w:r>
      <w:r>
        <w:rPr>
          <w:rFonts w:ascii="Times New Roman" w:eastAsia="Times New Roman"/>
          <w:sz w:val="28"/>
        </w:rPr>
        <w:t>1</w:t>
      </w:r>
      <w:r>
        <w:rPr>
          <w:rFonts w:ascii="Times New Roman" w:eastAsia="Times New Roman"/>
          <w:spacing w:val="1"/>
          <w:sz w:val="28"/>
        </w:rPr>
        <w:t xml:space="preserve"> </w:t>
      </w:r>
      <w:r>
        <w:rPr>
          <w:spacing w:val="-3"/>
          <w:sz w:val="28"/>
        </w:rPr>
        <w:t>日起，对全省港口辖区范围内的所有进出口货物不再征收港口建设费。（牵头单位：省财政厅、山东</w:t>
      </w:r>
      <w:r>
        <w:rPr>
          <w:spacing w:val="-2"/>
          <w:sz w:val="28"/>
        </w:rPr>
        <w:t>海事局</w:t>
      </w:r>
      <w:r>
        <w:rPr>
          <w:sz w:val="28"/>
        </w:rPr>
        <w:t>）</w:t>
      </w:r>
    </w:p>
    <w:p>
      <w:pPr>
        <w:pStyle w:val="8"/>
        <w:numPr>
          <w:ilvl w:val="0"/>
          <w:numId w:val="2"/>
        </w:numPr>
        <w:tabs>
          <w:tab w:val="left" w:pos="1099"/>
        </w:tabs>
        <w:spacing w:before="0" w:after="0" w:line="268" w:lineRule="auto"/>
        <w:ind w:left="115" w:right="366" w:firstLine="561"/>
        <w:jc w:val="both"/>
        <w:rPr>
          <w:sz w:val="28"/>
        </w:rPr>
      </w:pPr>
      <w:r>
        <w:rPr>
          <w:spacing w:val="-35"/>
          <w:sz w:val="28"/>
        </w:rPr>
        <w:t xml:space="preserve">自 </w:t>
      </w:r>
      <w:r>
        <w:rPr>
          <w:rFonts w:ascii="Times New Roman" w:eastAsia="Times New Roman"/>
          <w:sz w:val="28"/>
        </w:rPr>
        <w:t>2021</w:t>
      </w:r>
      <w:r>
        <w:rPr>
          <w:rFonts w:ascii="Times New Roman" w:eastAsia="Times New Roman"/>
          <w:spacing w:val="1"/>
          <w:sz w:val="28"/>
        </w:rPr>
        <w:t xml:space="preserve"> </w:t>
      </w:r>
      <w:r>
        <w:rPr>
          <w:spacing w:val="-35"/>
          <w:sz w:val="28"/>
        </w:rPr>
        <w:t xml:space="preserve">年 </w:t>
      </w:r>
      <w:r>
        <w:rPr>
          <w:rFonts w:ascii="Times New Roman" w:eastAsia="Times New Roman"/>
          <w:sz w:val="28"/>
        </w:rPr>
        <w:t xml:space="preserve">1 </w:t>
      </w:r>
      <w:r>
        <w:rPr>
          <w:spacing w:val="-35"/>
          <w:sz w:val="28"/>
        </w:rPr>
        <w:t xml:space="preserve">月 </w:t>
      </w:r>
      <w:r>
        <w:rPr>
          <w:rFonts w:ascii="Times New Roman" w:eastAsia="Times New Roman"/>
          <w:sz w:val="28"/>
        </w:rPr>
        <w:t>1</w:t>
      </w:r>
      <w:r>
        <w:rPr>
          <w:rFonts w:ascii="Times New Roman" w:eastAsia="Times New Roman"/>
          <w:spacing w:val="1"/>
          <w:sz w:val="28"/>
        </w:rPr>
        <w:t xml:space="preserve"> </w:t>
      </w:r>
      <w:r>
        <w:rPr>
          <w:spacing w:val="-3"/>
          <w:sz w:val="28"/>
        </w:rPr>
        <w:t>日起，对全省行政区域内缴纳增值税、消费税的企事业单位和个体经营者，免征地方水利建设基金。</w:t>
      </w:r>
      <w:r>
        <w:rPr>
          <w:sz w:val="28"/>
        </w:rPr>
        <w:t>（</w:t>
      </w:r>
      <w:r>
        <w:rPr>
          <w:spacing w:val="-3"/>
          <w:sz w:val="28"/>
        </w:rPr>
        <w:t>牵头单位：省财政厅、省税务局</w:t>
      </w:r>
      <w:r>
        <w:rPr>
          <w:sz w:val="28"/>
        </w:rPr>
        <w:t>）</w:t>
      </w:r>
    </w:p>
    <w:p>
      <w:pPr>
        <w:pStyle w:val="8"/>
        <w:numPr>
          <w:ilvl w:val="0"/>
          <w:numId w:val="2"/>
        </w:numPr>
        <w:tabs>
          <w:tab w:val="left" w:pos="1099"/>
        </w:tabs>
        <w:spacing w:before="0" w:after="0" w:line="353" w:lineRule="exact"/>
        <w:ind w:left="1098" w:right="0" w:hanging="422"/>
        <w:jc w:val="both"/>
        <w:rPr>
          <w:sz w:val="28"/>
        </w:rPr>
      </w:pPr>
      <w:r>
        <w:rPr>
          <w:spacing w:val="-6"/>
          <w:sz w:val="28"/>
        </w:rPr>
        <w:t xml:space="preserve">按照国家统一部署，将民航发展基金航空公司征收标准降低 </w:t>
      </w:r>
      <w:r>
        <w:rPr>
          <w:rFonts w:ascii="Times New Roman" w:eastAsia="Times New Roman"/>
          <w:sz w:val="28"/>
        </w:rPr>
        <w:t>20%</w:t>
      </w:r>
      <w:r>
        <w:rPr>
          <w:sz w:val="28"/>
        </w:rPr>
        <w:t>。</w:t>
      </w:r>
    </w:p>
    <w:p>
      <w:pPr>
        <w:pStyle w:val="3"/>
        <w:spacing w:before="27"/>
        <w:ind w:right="0" w:firstLine="0"/>
      </w:pPr>
      <w:r>
        <w:t>（牵头单位：省财政厅）</w:t>
      </w:r>
    </w:p>
    <w:p>
      <w:pPr>
        <w:pStyle w:val="8"/>
        <w:numPr>
          <w:ilvl w:val="0"/>
          <w:numId w:val="2"/>
        </w:numPr>
        <w:tabs>
          <w:tab w:val="left" w:pos="1099"/>
        </w:tabs>
        <w:spacing w:before="42" w:after="0" w:line="266" w:lineRule="auto"/>
        <w:ind w:left="115" w:right="366" w:firstLine="561"/>
        <w:jc w:val="both"/>
        <w:rPr>
          <w:sz w:val="28"/>
        </w:rPr>
      </w:pPr>
      <w:r>
        <w:rPr>
          <w:spacing w:val="-7"/>
          <w:sz w:val="28"/>
        </w:rPr>
        <w:t xml:space="preserve">降低国有企业混改项目进场交易成本，自 </w:t>
      </w:r>
      <w:r>
        <w:rPr>
          <w:rFonts w:ascii="Times New Roman" w:eastAsia="Times New Roman"/>
          <w:sz w:val="28"/>
        </w:rPr>
        <w:t>2021</w:t>
      </w:r>
      <w:r>
        <w:rPr>
          <w:rFonts w:ascii="Times New Roman" w:eastAsia="Times New Roman"/>
          <w:spacing w:val="3"/>
          <w:sz w:val="28"/>
        </w:rPr>
        <w:t xml:space="preserve"> </w:t>
      </w:r>
      <w:r>
        <w:rPr>
          <w:spacing w:val="-3"/>
          <w:sz w:val="28"/>
        </w:rPr>
        <w:t>年第二季度起，对公开进场引进战略投资者的混改项目，山东产权交易中心不再收取投资者任何费用，不再强制实行交易会员代理制。（牵头单位：省国资委</w:t>
      </w:r>
      <w:r>
        <w:rPr>
          <w:sz w:val="28"/>
        </w:rPr>
        <w:t>）</w:t>
      </w:r>
    </w:p>
    <w:p>
      <w:pPr>
        <w:pStyle w:val="8"/>
        <w:numPr>
          <w:ilvl w:val="0"/>
          <w:numId w:val="2"/>
        </w:numPr>
        <w:tabs>
          <w:tab w:val="left" w:pos="1238"/>
        </w:tabs>
        <w:spacing w:before="6" w:after="0" w:line="266" w:lineRule="auto"/>
        <w:ind w:left="115" w:right="255" w:firstLine="561"/>
        <w:jc w:val="left"/>
        <w:rPr>
          <w:sz w:val="28"/>
        </w:rPr>
      </w:pPr>
      <w:r>
        <w:rPr>
          <w:spacing w:val="-11"/>
          <w:sz w:val="28"/>
        </w:rPr>
        <w:t xml:space="preserve">年内取消省内全部 </w:t>
      </w:r>
      <w:r>
        <w:rPr>
          <w:rFonts w:ascii="Times New Roman" w:eastAsia="Times New Roman"/>
          <w:sz w:val="28"/>
        </w:rPr>
        <w:t>11</w:t>
      </w:r>
      <w:r>
        <w:rPr>
          <w:rFonts w:ascii="Times New Roman" w:eastAsia="Times New Roman"/>
          <w:spacing w:val="5"/>
          <w:sz w:val="28"/>
        </w:rPr>
        <w:t xml:space="preserve"> </w:t>
      </w:r>
      <w:r>
        <w:rPr>
          <w:spacing w:val="-5"/>
          <w:sz w:val="28"/>
        </w:rPr>
        <w:t>处政府还贷普通路桥收费站；继续对通行山</w:t>
      </w:r>
      <w:r>
        <w:rPr>
          <w:spacing w:val="7"/>
          <w:sz w:val="28"/>
        </w:rPr>
        <w:t>东省内高速公路</w:t>
      </w:r>
      <w:r>
        <w:rPr>
          <w:rFonts w:ascii="Times New Roman" w:eastAsia="Times New Roman"/>
          <w:sz w:val="28"/>
        </w:rPr>
        <w:t>ETC</w:t>
      </w:r>
      <w:r>
        <w:rPr>
          <w:rFonts w:ascii="Times New Roman" w:eastAsia="Times New Roman"/>
          <w:spacing w:val="1"/>
          <w:sz w:val="28"/>
        </w:rPr>
        <w:t xml:space="preserve"> </w:t>
      </w:r>
      <w:r>
        <w:rPr>
          <w:spacing w:val="-16"/>
          <w:sz w:val="28"/>
        </w:rPr>
        <w:t xml:space="preserve">客车给予 </w:t>
      </w:r>
      <w:r>
        <w:rPr>
          <w:rFonts w:ascii="Times New Roman" w:eastAsia="Times New Roman"/>
          <w:sz w:val="28"/>
        </w:rPr>
        <w:t>5%</w:t>
      </w:r>
      <w:r>
        <w:rPr>
          <w:spacing w:val="-3"/>
          <w:sz w:val="28"/>
        </w:rPr>
        <w:t>通行费折扣优惠，长期执行；继续对行</w:t>
      </w:r>
      <w:r>
        <w:rPr>
          <w:spacing w:val="-10"/>
          <w:sz w:val="28"/>
        </w:rPr>
        <w:t xml:space="preserve">驶我省高速公路安装 </w:t>
      </w:r>
      <w:r>
        <w:rPr>
          <w:rFonts w:ascii="Times New Roman" w:eastAsia="Times New Roman"/>
          <w:sz w:val="28"/>
        </w:rPr>
        <w:t>ETC</w:t>
      </w:r>
      <w:r>
        <w:rPr>
          <w:rFonts w:ascii="Times New Roman" w:eastAsia="Times New Roman"/>
          <w:spacing w:val="3"/>
          <w:sz w:val="28"/>
        </w:rPr>
        <w:t xml:space="preserve"> </w:t>
      </w:r>
      <w:r>
        <w:rPr>
          <w:spacing w:val="-3"/>
          <w:sz w:val="28"/>
        </w:rPr>
        <w:t>设备货车实行八五折通行费优惠，政策执行期延</w:t>
      </w:r>
      <w:r>
        <w:rPr>
          <w:spacing w:val="-26"/>
          <w:sz w:val="28"/>
        </w:rPr>
        <w:t xml:space="preserve">长至 </w:t>
      </w:r>
      <w:r>
        <w:rPr>
          <w:rFonts w:ascii="Times New Roman" w:eastAsia="Times New Roman"/>
          <w:sz w:val="28"/>
        </w:rPr>
        <w:t>2021</w:t>
      </w:r>
      <w:r>
        <w:rPr>
          <w:rFonts w:ascii="Times New Roman" w:eastAsia="Times New Roman"/>
          <w:spacing w:val="1"/>
          <w:sz w:val="28"/>
        </w:rPr>
        <w:t xml:space="preserve"> </w:t>
      </w:r>
      <w:r>
        <w:rPr>
          <w:spacing w:val="-35"/>
          <w:sz w:val="28"/>
        </w:rPr>
        <w:t xml:space="preserve">年 </w:t>
      </w:r>
      <w:r>
        <w:rPr>
          <w:rFonts w:ascii="Times New Roman" w:eastAsia="Times New Roman"/>
          <w:sz w:val="28"/>
        </w:rPr>
        <w:t>12</w:t>
      </w:r>
      <w:r>
        <w:rPr>
          <w:rFonts w:ascii="Times New Roman" w:eastAsia="Times New Roman"/>
          <w:spacing w:val="1"/>
          <w:sz w:val="28"/>
        </w:rPr>
        <w:t xml:space="preserve"> </w:t>
      </w:r>
      <w:r>
        <w:rPr>
          <w:spacing w:val="-35"/>
          <w:sz w:val="28"/>
        </w:rPr>
        <w:t xml:space="preserve">月 </w:t>
      </w:r>
      <w:r>
        <w:rPr>
          <w:rFonts w:ascii="Times New Roman" w:eastAsia="Times New Roman"/>
          <w:sz w:val="28"/>
        </w:rPr>
        <w:t>31</w:t>
      </w:r>
      <w:r>
        <w:rPr>
          <w:rFonts w:ascii="Times New Roman" w:eastAsia="Times New Roman"/>
          <w:spacing w:val="1"/>
          <w:sz w:val="28"/>
        </w:rPr>
        <w:t xml:space="preserve"> </w:t>
      </w:r>
      <w:r>
        <w:rPr>
          <w:spacing w:val="-8"/>
          <w:sz w:val="28"/>
        </w:rPr>
        <w:t>日。</w:t>
      </w:r>
      <w:r>
        <w:rPr>
          <w:sz w:val="28"/>
        </w:rPr>
        <w:t>（</w:t>
      </w:r>
      <w:r>
        <w:rPr>
          <w:spacing w:val="-6"/>
          <w:sz w:val="28"/>
        </w:rPr>
        <w:t>牵头单位：省交通运输厅；责任单位：省财政</w:t>
      </w:r>
      <w:r>
        <w:rPr>
          <w:spacing w:val="-3"/>
          <w:sz w:val="28"/>
        </w:rPr>
        <w:t>厅、省发展改革委</w:t>
      </w:r>
      <w:r>
        <w:rPr>
          <w:sz w:val="28"/>
        </w:rPr>
        <w:t>）</w:t>
      </w:r>
    </w:p>
    <w:p>
      <w:pPr>
        <w:pStyle w:val="3"/>
        <w:spacing w:before="8" w:line="266" w:lineRule="auto"/>
        <w:ind w:right="253"/>
      </w:pPr>
      <w:r>
        <w:rPr>
          <w:rFonts w:ascii="Times New Roman" w:eastAsia="Times New Roman"/>
          <w:spacing w:val="-7"/>
        </w:rPr>
        <w:t>11</w:t>
      </w:r>
      <w:r>
        <w:rPr>
          <w:spacing w:val="-7"/>
        </w:rPr>
        <w:t>．</w:t>
      </w:r>
      <w:r>
        <w:rPr>
          <w:rFonts w:ascii="Times New Roman" w:eastAsia="Times New Roman"/>
          <w:spacing w:val="-7"/>
        </w:rPr>
        <w:t xml:space="preserve">2021 </w:t>
      </w:r>
      <w:r>
        <w:rPr>
          <w:spacing w:val="-34"/>
        </w:rPr>
        <w:t xml:space="preserve">年 </w:t>
      </w:r>
      <w:r>
        <w:rPr>
          <w:rFonts w:ascii="Times New Roman" w:eastAsia="Times New Roman"/>
        </w:rPr>
        <w:t xml:space="preserve">1 </w:t>
      </w:r>
      <w:r>
        <w:rPr>
          <w:spacing w:val="-23"/>
        </w:rPr>
        <w:t xml:space="preserve">月至 </w:t>
      </w:r>
      <w:r>
        <w:rPr>
          <w:rFonts w:ascii="Times New Roman" w:eastAsia="Times New Roman"/>
        </w:rPr>
        <w:t xml:space="preserve">12 </w:t>
      </w:r>
      <w:r>
        <w:rPr>
          <w:spacing w:val="-9"/>
        </w:rPr>
        <w:t>月，中小微企业新吸纳劳动者就业</w:t>
      </w:r>
      <w:r>
        <w:t>（</w:t>
      </w:r>
      <w:r>
        <w:rPr>
          <w:spacing w:val="-2"/>
        </w:rPr>
        <w:t>新吸纳时间</w:t>
      </w:r>
      <w:r>
        <w:rPr>
          <w:spacing w:val="-3"/>
        </w:rPr>
        <w:t>以本年度首次在本企业缴纳社会保险时间为准</w:t>
      </w:r>
      <w:r>
        <w:t>）</w:t>
      </w:r>
      <w:r>
        <w:rPr>
          <w:spacing w:val="-3"/>
        </w:rPr>
        <w:t xml:space="preserve">并组织开展以工代训的， </w:t>
      </w:r>
      <w:r>
        <w:rPr>
          <w:spacing w:val="-8"/>
        </w:rPr>
        <w:t xml:space="preserve">省级按吸纳人数给予企业每月 </w:t>
      </w:r>
      <w:r>
        <w:rPr>
          <w:rFonts w:ascii="Times New Roman" w:eastAsia="Times New Roman"/>
        </w:rPr>
        <w:t xml:space="preserve">500 </w:t>
      </w:r>
      <w:r>
        <w:t>元</w:t>
      </w:r>
      <w:r>
        <w:rPr>
          <w:rFonts w:ascii="Times New Roman" w:eastAsia="Times New Roman"/>
        </w:rPr>
        <w:t>/</w:t>
      </w:r>
      <w:r>
        <w:rPr>
          <w:spacing w:val="-32"/>
        </w:rPr>
        <w:t xml:space="preserve">人、最长 </w:t>
      </w:r>
      <w:r>
        <w:rPr>
          <w:rFonts w:ascii="Times New Roman" w:eastAsia="Times New Roman"/>
        </w:rPr>
        <w:t xml:space="preserve">6 </w:t>
      </w:r>
      <w:r>
        <w:rPr>
          <w:spacing w:val="-3"/>
        </w:rPr>
        <w:t>个月的职业培训补贴</w:t>
      </w:r>
      <w:r>
        <w:rPr>
          <w:spacing w:val="-164"/>
        </w:rPr>
        <w:t>。</w:t>
      </w:r>
      <w:r>
        <w:t>（牵</w:t>
      </w:r>
      <w:r>
        <w:rPr>
          <w:spacing w:val="-3"/>
        </w:rPr>
        <w:t>头单位：省人力资源社会保障厅、省财政厅</w:t>
      </w:r>
      <w:r>
        <w:t>）</w:t>
      </w:r>
    </w:p>
    <w:p>
      <w:pPr>
        <w:pStyle w:val="8"/>
        <w:numPr>
          <w:ilvl w:val="0"/>
          <w:numId w:val="3"/>
        </w:numPr>
        <w:tabs>
          <w:tab w:val="left" w:pos="1238"/>
        </w:tabs>
        <w:spacing w:before="8" w:after="0" w:line="266" w:lineRule="auto"/>
        <w:ind w:left="115" w:right="253" w:firstLine="561"/>
        <w:jc w:val="left"/>
        <w:rPr>
          <w:sz w:val="28"/>
        </w:rPr>
      </w:pPr>
      <w:r>
        <w:rPr>
          <w:spacing w:val="-3"/>
          <w:sz w:val="28"/>
        </w:rPr>
        <w:t>深化企业简易注销改革试点，允许除上市公司以外的各类企业、</w:t>
      </w:r>
      <w:r>
        <w:rPr>
          <w:spacing w:val="-10"/>
          <w:sz w:val="28"/>
        </w:rPr>
        <w:t xml:space="preserve">农民专业合作社按规定申请简易注销，公告时间由 </w:t>
      </w:r>
      <w:r>
        <w:rPr>
          <w:rFonts w:ascii="Times New Roman" w:eastAsia="Times New Roman"/>
          <w:sz w:val="28"/>
        </w:rPr>
        <w:t>45</w:t>
      </w:r>
      <w:r>
        <w:rPr>
          <w:rFonts w:ascii="Times New Roman" w:eastAsia="Times New Roman"/>
          <w:spacing w:val="2"/>
          <w:sz w:val="28"/>
        </w:rPr>
        <w:t xml:space="preserve"> </w:t>
      </w:r>
      <w:r>
        <w:rPr>
          <w:spacing w:val="-16"/>
          <w:sz w:val="28"/>
        </w:rPr>
        <w:t xml:space="preserve">天压缩为 </w:t>
      </w:r>
      <w:r>
        <w:rPr>
          <w:rFonts w:ascii="Times New Roman" w:eastAsia="Times New Roman"/>
          <w:sz w:val="28"/>
        </w:rPr>
        <w:t>20</w:t>
      </w:r>
      <w:r>
        <w:rPr>
          <w:rFonts w:ascii="Times New Roman" w:eastAsia="Times New Roman"/>
          <w:spacing w:val="1"/>
          <w:sz w:val="28"/>
        </w:rPr>
        <w:t xml:space="preserve"> </w:t>
      </w:r>
      <w:r>
        <w:rPr>
          <w:spacing w:val="-57"/>
          <w:sz w:val="28"/>
        </w:rPr>
        <w:t>天。</w:t>
      </w:r>
      <w:r>
        <w:rPr>
          <w:sz w:val="28"/>
        </w:rPr>
        <w:t>（牵</w:t>
      </w:r>
      <w:r>
        <w:rPr>
          <w:spacing w:val="-3"/>
          <w:sz w:val="28"/>
        </w:rPr>
        <w:t>头单位：省市场监管局</w:t>
      </w:r>
      <w:r>
        <w:rPr>
          <w:sz w:val="28"/>
        </w:rPr>
        <w:t>）</w:t>
      </w:r>
    </w:p>
    <w:p>
      <w:pPr>
        <w:pStyle w:val="3"/>
        <w:spacing w:line="399" w:lineRule="exact"/>
        <w:ind w:left="677" w:right="0" w:firstLine="0"/>
        <w:rPr>
          <w:rFonts w:hint="eastAsia" w:ascii="华文细黑" w:eastAsia="华文细黑"/>
        </w:rPr>
      </w:pPr>
      <w:r>
        <w:rPr>
          <w:rFonts w:hint="eastAsia" w:ascii="华文细黑" w:eastAsia="华文细黑"/>
        </w:rPr>
        <w:t>二、支持扩大内需</w:t>
      </w:r>
    </w:p>
    <w:p>
      <w:pPr>
        <w:pStyle w:val="8"/>
        <w:numPr>
          <w:ilvl w:val="0"/>
          <w:numId w:val="3"/>
        </w:numPr>
        <w:tabs>
          <w:tab w:val="left" w:pos="561"/>
        </w:tabs>
        <w:spacing w:before="4" w:after="0" w:line="240" w:lineRule="auto"/>
        <w:ind w:left="1238" w:right="255" w:hanging="1238"/>
        <w:jc w:val="right"/>
        <w:rPr>
          <w:sz w:val="28"/>
        </w:rPr>
      </w:pPr>
      <w:r>
        <w:rPr>
          <w:spacing w:val="-8"/>
          <w:sz w:val="28"/>
        </w:rPr>
        <w:t xml:space="preserve">加快数字基础设施建设，省级财政安排 </w:t>
      </w:r>
      <w:r>
        <w:rPr>
          <w:rFonts w:ascii="Times New Roman" w:eastAsia="Times New Roman"/>
          <w:sz w:val="28"/>
        </w:rPr>
        <w:t>3000</w:t>
      </w:r>
      <w:r>
        <w:rPr>
          <w:rFonts w:ascii="Times New Roman" w:eastAsia="Times New Roman"/>
          <w:spacing w:val="3"/>
          <w:sz w:val="28"/>
        </w:rPr>
        <w:t xml:space="preserve"> </w:t>
      </w:r>
      <w:r>
        <w:rPr>
          <w:spacing w:val="-4"/>
          <w:sz w:val="28"/>
        </w:rPr>
        <w:t>万元，支持数据中心</w:t>
      </w:r>
    </w:p>
    <w:p>
      <w:pPr>
        <w:pStyle w:val="3"/>
        <w:spacing w:before="42"/>
        <w:ind w:left="0" w:right="253" w:firstLine="0"/>
        <w:jc w:val="right"/>
      </w:pPr>
      <w:r>
        <w:rPr>
          <w:spacing w:val="-11"/>
        </w:rPr>
        <w:t xml:space="preserve">集约发展，推动建设 </w:t>
      </w:r>
      <w:r>
        <w:rPr>
          <w:rFonts w:ascii="Times New Roman" w:eastAsia="Times New Roman"/>
        </w:rPr>
        <w:t>30</w:t>
      </w:r>
      <w:r>
        <w:rPr>
          <w:rFonts w:ascii="Times New Roman" w:eastAsia="Times New Roman"/>
          <w:spacing w:val="3"/>
        </w:rPr>
        <w:t xml:space="preserve"> </w:t>
      </w:r>
      <w:r>
        <w:rPr>
          <w:spacing w:val="-4"/>
        </w:rPr>
        <w:t>个左右省级绿色数据中心。</w:t>
      </w:r>
      <w:r>
        <w:rPr>
          <w:spacing w:val="-3"/>
        </w:rPr>
        <w:t>（</w:t>
      </w:r>
      <w:r>
        <w:rPr>
          <w:spacing w:val="-4"/>
        </w:rPr>
        <w:t>牵头单位：省大数据</w:t>
      </w:r>
    </w:p>
    <w:p>
      <w:pPr>
        <w:spacing w:after="0"/>
        <w:jc w:val="right"/>
        <w:sectPr>
          <w:pgSz w:w="11910" w:h="16840"/>
          <w:pgMar w:top="1580" w:right="1160" w:bottom="1160" w:left="1300" w:header="0" w:footer="978" w:gutter="0"/>
          <w:cols w:space="720" w:num="1"/>
        </w:sectPr>
      </w:pPr>
    </w:p>
    <w:p>
      <w:pPr>
        <w:pStyle w:val="3"/>
        <w:spacing w:before="144"/>
        <w:ind w:right="0" w:firstLine="0"/>
      </w:pPr>
      <w:r>
        <w:t>局、省财政厅）</w:t>
      </w:r>
    </w:p>
    <w:p>
      <w:pPr>
        <w:pStyle w:val="8"/>
        <w:numPr>
          <w:ilvl w:val="0"/>
          <w:numId w:val="3"/>
        </w:numPr>
        <w:tabs>
          <w:tab w:val="left" w:pos="1238"/>
        </w:tabs>
        <w:spacing w:before="42" w:after="0" w:line="266" w:lineRule="auto"/>
        <w:ind w:left="115" w:right="114" w:firstLine="561"/>
        <w:jc w:val="both"/>
        <w:rPr>
          <w:sz w:val="28"/>
        </w:rPr>
      </w:pPr>
      <w:r>
        <w:rPr>
          <w:spacing w:val="-3"/>
          <w:w w:val="100"/>
          <w:sz w:val="28"/>
        </w:rPr>
        <w:t>省级财政投入</w:t>
      </w:r>
      <w:r>
        <w:rPr>
          <w:spacing w:val="-71"/>
          <w:sz w:val="28"/>
        </w:rPr>
        <w:t xml:space="preserve"> </w:t>
      </w:r>
      <w:r>
        <w:rPr>
          <w:rFonts w:ascii="Times New Roman" w:eastAsia="Times New Roman"/>
          <w:spacing w:val="-2"/>
          <w:w w:val="100"/>
          <w:sz w:val="28"/>
        </w:rPr>
        <w:t>500</w:t>
      </w:r>
      <w:r>
        <w:rPr>
          <w:rFonts w:ascii="Times New Roman" w:eastAsia="Times New Roman"/>
          <w:w w:val="100"/>
          <w:sz w:val="28"/>
        </w:rPr>
        <w:t>0</w:t>
      </w:r>
      <w:r>
        <w:rPr>
          <w:rFonts w:ascii="Times New Roman" w:eastAsia="Times New Roman"/>
          <w:sz w:val="28"/>
        </w:rPr>
        <w:t xml:space="preserve"> </w:t>
      </w:r>
      <w:r>
        <w:rPr>
          <w:spacing w:val="-12"/>
          <w:w w:val="100"/>
          <w:sz w:val="28"/>
        </w:rPr>
        <w:t>万元支持新型智慧城市建设，</w:t>
      </w:r>
      <w:r>
        <w:rPr>
          <w:rFonts w:ascii="Times New Roman" w:eastAsia="Times New Roman"/>
          <w:spacing w:val="-2"/>
          <w:w w:val="100"/>
          <w:sz w:val="28"/>
        </w:rPr>
        <w:t>202</w:t>
      </w:r>
      <w:r>
        <w:rPr>
          <w:rFonts w:ascii="Times New Roman" w:eastAsia="Times New Roman"/>
          <w:w w:val="100"/>
          <w:sz w:val="28"/>
        </w:rPr>
        <w:t>1</w:t>
      </w:r>
      <w:r>
        <w:rPr>
          <w:rFonts w:ascii="Times New Roman" w:eastAsia="Times New Roman"/>
          <w:spacing w:val="3"/>
          <w:sz w:val="28"/>
        </w:rPr>
        <w:t xml:space="preserve"> </w:t>
      </w:r>
      <w:r>
        <w:rPr>
          <w:spacing w:val="-30"/>
          <w:w w:val="100"/>
          <w:sz w:val="28"/>
        </w:rPr>
        <w:t>年底前，</w:t>
      </w:r>
      <w:r>
        <w:rPr>
          <w:rFonts w:ascii="Times New Roman" w:eastAsia="Times New Roman"/>
          <w:spacing w:val="-2"/>
          <w:w w:val="100"/>
          <w:sz w:val="28"/>
        </w:rPr>
        <w:t>90</w:t>
      </w:r>
      <w:r>
        <w:rPr>
          <w:rFonts w:ascii="Times New Roman" w:eastAsia="Times New Roman"/>
          <w:w w:val="100"/>
          <w:sz w:val="28"/>
        </w:rPr>
        <w:t>%</w:t>
      </w:r>
      <w:r>
        <w:rPr>
          <w:spacing w:val="-19"/>
          <w:sz w:val="28"/>
        </w:rPr>
        <w:t xml:space="preserve">的市和 </w:t>
      </w:r>
      <w:r>
        <w:rPr>
          <w:rFonts w:ascii="Times New Roman" w:eastAsia="Times New Roman"/>
          <w:spacing w:val="-2"/>
          <w:sz w:val="28"/>
        </w:rPr>
        <w:t>70%</w:t>
      </w:r>
      <w:r>
        <w:rPr>
          <w:spacing w:val="-2"/>
          <w:sz w:val="28"/>
        </w:rPr>
        <w:t>的县</w:t>
      </w:r>
      <w:r>
        <w:rPr>
          <w:sz w:val="28"/>
        </w:rPr>
        <w:t>（</w:t>
      </w:r>
      <w:r>
        <w:rPr>
          <w:spacing w:val="-2"/>
          <w:sz w:val="28"/>
        </w:rPr>
        <w:t>市、区</w:t>
      </w:r>
      <w:r>
        <w:rPr>
          <w:sz w:val="28"/>
        </w:rPr>
        <w:t>）</w:t>
      </w:r>
      <w:r>
        <w:rPr>
          <w:spacing w:val="-9"/>
          <w:sz w:val="28"/>
        </w:rPr>
        <w:t xml:space="preserve">达到省级三星级以上，形成 </w:t>
      </w:r>
      <w:r>
        <w:rPr>
          <w:rFonts w:ascii="Times New Roman" w:eastAsia="Times New Roman"/>
          <w:sz w:val="28"/>
        </w:rPr>
        <w:t>500</w:t>
      </w:r>
      <w:r>
        <w:rPr>
          <w:rFonts w:ascii="Times New Roman" w:eastAsia="Times New Roman"/>
          <w:spacing w:val="2"/>
          <w:sz w:val="28"/>
        </w:rPr>
        <w:t xml:space="preserve"> </w:t>
      </w:r>
      <w:r>
        <w:rPr>
          <w:spacing w:val="-3"/>
          <w:sz w:val="28"/>
        </w:rPr>
        <w:t>个以上服务民</w:t>
      </w:r>
      <w:r>
        <w:rPr>
          <w:spacing w:val="-11"/>
          <w:sz w:val="28"/>
        </w:rPr>
        <w:t xml:space="preserve">生的应用场景；打造 </w:t>
      </w:r>
      <w:r>
        <w:rPr>
          <w:rFonts w:ascii="Times New Roman" w:eastAsia="Times New Roman"/>
          <w:sz w:val="28"/>
        </w:rPr>
        <w:t>300</w:t>
      </w:r>
      <w:r>
        <w:rPr>
          <w:rFonts w:ascii="Times New Roman" w:eastAsia="Times New Roman"/>
          <w:spacing w:val="2"/>
          <w:sz w:val="28"/>
        </w:rPr>
        <w:t xml:space="preserve"> </w:t>
      </w:r>
      <w:r>
        <w:rPr>
          <w:spacing w:val="-4"/>
          <w:sz w:val="28"/>
        </w:rPr>
        <w:t>个左右智慧社区</w:t>
      </w:r>
      <w:r>
        <w:rPr>
          <w:spacing w:val="-3"/>
          <w:sz w:val="28"/>
        </w:rPr>
        <w:t>（</w:t>
      </w:r>
      <w:r>
        <w:rPr>
          <w:sz w:val="28"/>
        </w:rPr>
        <w:t>村居</w:t>
      </w:r>
      <w:r>
        <w:rPr>
          <w:spacing w:val="-9"/>
          <w:sz w:val="28"/>
        </w:rPr>
        <w:t>）</w:t>
      </w:r>
      <w:r>
        <w:rPr>
          <w:spacing w:val="-15"/>
          <w:sz w:val="28"/>
        </w:rPr>
        <w:t xml:space="preserve">，基本实现 </w:t>
      </w:r>
      <w:r>
        <w:rPr>
          <w:rFonts w:ascii="Times New Roman" w:eastAsia="Times New Roman"/>
          <w:sz w:val="28"/>
        </w:rPr>
        <w:t>20</w:t>
      </w:r>
      <w:r>
        <w:rPr>
          <w:rFonts w:ascii="Times New Roman" w:eastAsia="Times New Roman"/>
          <w:spacing w:val="2"/>
          <w:sz w:val="28"/>
        </w:rPr>
        <w:t xml:space="preserve"> </w:t>
      </w:r>
      <w:r>
        <w:rPr>
          <w:spacing w:val="-2"/>
          <w:sz w:val="28"/>
        </w:rPr>
        <w:t>人以上的</w:t>
      </w:r>
      <w:r>
        <w:rPr>
          <w:spacing w:val="-18"/>
          <w:sz w:val="28"/>
        </w:rPr>
        <w:t xml:space="preserve">自然村 </w:t>
      </w:r>
      <w:r>
        <w:rPr>
          <w:rFonts w:ascii="Times New Roman" w:eastAsia="Times New Roman"/>
          <w:sz w:val="28"/>
        </w:rPr>
        <w:t>4G</w:t>
      </w:r>
      <w:r>
        <w:rPr>
          <w:rFonts w:ascii="Times New Roman" w:eastAsia="Times New Roman"/>
          <w:spacing w:val="3"/>
          <w:sz w:val="28"/>
        </w:rPr>
        <w:t xml:space="preserve"> </w:t>
      </w:r>
      <w:r>
        <w:rPr>
          <w:spacing w:val="-21"/>
          <w:sz w:val="28"/>
        </w:rPr>
        <w:t>网络覆盖。</w:t>
      </w:r>
      <w:r>
        <w:rPr>
          <w:sz w:val="28"/>
        </w:rPr>
        <w:t>（</w:t>
      </w:r>
      <w:r>
        <w:rPr>
          <w:spacing w:val="-14"/>
          <w:sz w:val="28"/>
        </w:rPr>
        <w:t>牵头单位：省大数据局、省通信管理局、省财政厅</w:t>
      </w:r>
      <w:r>
        <w:rPr>
          <w:sz w:val="28"/>
        </w:rPr>
        <w:t>）</w:t>
      </w:r>
    </w:p>
    <w:p>
      <w:pPr>
        <w:pStyle w:val="8"/>
        <w:numPr>
          <w:ilvl w:val="0"/>
          <w:numId w:val="3"/>
        </w:numPr>
        <w:tabs>
          <w:tab w:val="left" w:pos="1238"/>
        </w:tabs>
        <w:spacing w:before="5" w:after="0" w:line="268" w:lineRule="auto"/>
        <w:ind w:left="115" w:right="366" w:firstLine="561"/>
        <w:jc w:val="both"/>
        <w:rPr>
          <w:sz w:val="28"/>
        </w:rPr>
      </w:pPr>
      <w:r>
        <w:rPr>
          <w:spacing w:val="-3"/>
          <w:sz w:val="28"/>
        </w:rPr>
        <w:t>开展多式联运“一单制”试点工程，对纳入试点工程的企业，经</w:t>
      </w:r>
      <w:r>
        <w:rPr>
          <w:spacing w:val="-7"/>
          <w:sz w:val="28"/>
        </w:rPr>
        <w:t xml:space="preserve">评审合格后，省财政给予每个企业 </w:t>
      </w:r>
      <w:r>
        <w:rPr>
          <w:rFonts w:ascii="Times New Roman" w:hAnsi="Times New Roman" w:eastAsia="Times New Roman"/>
          <w:sz w:val="28"/>
        </w:rPr>
        <w:t>300</w:t>
      </w:r>
      <w:r>
        <w:rPr>
          <w:rFonts w:ascii="Times New Roman" w:hAnsi="Times New Roman" w:eastAsia="Times New Roman"/>
          <w:spacing w:val="4"/>
          <w:sz w:val="28"/>
        </w:rPr>
        <w:t xml:space="preserve"> </w:t>
      </w:r>
      <w:r>
        <w:rPr>
          <w:spacing w:val="-3"/>
          <w:sz w:val="28"/>
        </w:rPr>
        <w:t>万元一次性奖补。</w:t>
      </w:r>
      <w:r>
        <w:rPr>
          <w:sz w:val="28"/>
        </w:rPr>
        <w:t>（</w:t>
      </w:r>
      <w:r>
        <w:rPr>
          <w:spacing w:val="-3"/>
          <w:sz w:val="28"/>
        </w:rPr>
        <w:t>牵头单位：省交通运输厅、省财政厅</w:t>
      </w:r>
      <w:r>
        <w:rPr>
          <w:sz w:val="28"/>
        </w:rPr>
        <w:t>）</w:t>
      </w:r>
    </w:p>
    <w:p>
      <w:pPr>
        <w:pStyle w:val="8"/>
        <w:numPr>
          <w:ilvl w:val="0"/>
          <w:numId w:val="3"/>
        </w:numPr>
        <w:tabs>
          <w:tab w:val="left" w:pos="1238"/>
        </w:tabs>
        <w:spacing w:before="0" w:after="0" w:line="268" w:lineRule="auto"/>
        <w:ind w:left="115" w:right="228" w:firstLine="561"/>
        <w:jc w:val="left"/>
        <w:rPr>
          <w:sz w:val="28"/>
        </w:rPr>
      </w:pPr>
      <w:r>
        <w:rPr>
          <w:spacing w:val="-3"/>
          <w:sz w:val="28"/>
        </w:rPr>
        <w:t>完善政府采购网上商城“鲁产精品”馆，将商城内鲁产产品直购</w:t>
      </w:r>
      <w:r>
        <w:rPr>
          <w:spacing w:val="-14"/>
          <w:sz w:val="28"/>
        </w:rPr>
        <w:t xml:space="preserve">限额标准由 </w:t>
      </w:r>
      <w:r>
        <w:rPr>
          <w:rFonts w:ascii="Times New Roman" w:hAnsi="Times New Roman" w:eastAsia="Times New Roman"/>
          <w:sz w:val="28"/>
        </w:rPr>
        <w:t>30</w:t>
      </w:r>
      <w:r>
        <w:rPr>
          <w:rFonts w:ascii="Times New Roman" w:hAnsi="Times New Roman" w:eastAsia="Times New Roman"/>
          <w:spacing w:val="2"/>
          <w:sz w:val="28"/>
        </w:rPr>
        <w:t xml:space="preserve"> </w:t>
      </w:r>
      <w:r>
        <w:rPr>
          <w:spacing w:val="-14"/>
          <w:sz w:val="28"/>
        </w:rPr>
        <w:t xml:space="preserve">万元提升至 </w:t>
      </w:r>
      <w:r>
        <w:rPr>
          <w:rFonts w:ascii="Times New Roman" w:hAnsi="Times New Roman" w:eastAsia="Times New Roman"/>
          <w:sz w:val="28"/>
        </w:rPr>
        <w:t>400</w:t>
      </w:r>
      <w:r>
        <w:rPr>
          <w:rFonts w:ascii="Times New Roman" w:hAnsi="Times New Roman" w:eastAsia="Times New Roman"/>
          <w:spacing w:val="1"/>
          <w:sz w:val="28"/>
        </w:rPr>
        <w:t xml:space="preserve"> </w:t>
      </w:r>
      <w:r>
        <w:rPr>
          <w:spacing w:val="-2"/>
          <w:sz w:val="28"/>
        </w:rPr>
        <w:t>万元。</w:t>
      </w:r>
      <w:r>
        <w:rPr>
          <w:sz w:val="28"/>
        </w:rPr>
        <w:t>（</w:t>
      </w:r>
      <w:r>
        <w:rPr>
          <w:spacing w:val="-3"/>
          <w:sz w:val="28"/>
        </w:rPr>
        <w:t>牵头单位：省财政厅；责任单位： 省工业和信息化厅、省商务厅</w:t>
      </w:r>
      <w:r>
        <w:rPr>
          <w:sz w:val="28"/>
        </w:rPr>
        <w:t>）</w:t>
      </w:r>
    </w:p>
    <w:p>
      <w:pPr>
        <w:pStyle w:val="8"/>
        <w:numPr>
          <w:ilvl w:val="0"/>
          <w:numId w:val="3"/>
        </w:numPr>
        <w:tabs>
          <w:tab w:val="left" w:pos="1238"/>
        </w:tabs>
        <w:spacing w:before="0" w:after="0" w:line="268" w:lineRule="auto"/>
        <w:ind w:left="115" w:right="114" w:firstLine="561"/>
        <w:jc w:val="left"/>
        <w:rPr>
          <w:sz w:val="28"/>
        </w:rPr>
      </w:pPr>
      <w:r>
        <w:rPr>
          <w:spacing w:val="-12"/>
          <w:sz w:val="28"/>
        </w:rPr>
        <w:t xml:space="preserve">省财政统筹安排 </w:t>
      </w:r>
      <w:r>
        <w:rPr>
          <w:rFonts w:ascii="Times New Roman" w:hAnsi="Times New Roman" w:eastAsia="Times New Roman"/>
          <w:sz w:val="28"/>
        </w:rPr>
        <w:t>1</w:t>
      </w:r>
      <w:r>
        <w:rPr>
          <w:rFonts w:ascii="Times New Roman" w:hAnsi="Times New Roman" w:eastAsia="Times New Roman"/>
          <w:spacing w:val="1"/>
          <w:sz w:val="28"/>
        </w:rPr>
        <w:t xml:space="preserve"> </w:t>
      </w:r>
      <w:r>
        <w:rPr>
          <w:spacing w:val="-14"/>
          <w:sz w:val="28"/>
        </w:rPr>
        <w:t>亿元资金，推动“好客山东”品牌入选央视“品</w:t>
      </w:r>
      <w:r>
        <w:rPr>
          <w:spacing w:val="-4"/>
          <w:sz w:val="28"/>
        </w:rPr>
        <w:t xml:space="preserve">牌强国工程”，支持举办旅游发展大会、中国歌剧节，组织开展“山东人 </w:t>
      </w:r>
      <w:r>
        <w:rPr>
          <w:spacing w:val="-6"/>
          <w:sz w:val="28"/>
        </w:rPr>
        <w:t>游山东”“好客山东贺年会”等活动，支持改善旅游设施，促进旅游消费。</w:t>
      </w:r>
    </w:p>
    <w:p>
      <w:pPr>
        <w:pStyle w:val="3"/>
        <w:spacing w:line="353" w:lineRule="exact"/>
        <w:ind w:right="0" w:firstLine="0"/>
      </w:pPr>
      <w:r>
        <w:t>（牵头单位：省文化和旅游厅、省财政厅）</w:t>
      </w:r>
    </w:p>
    <w:p>
      <w:pPr>
        <w:pStyle w:val="8"/>
        <w:numPr>
          <w:ilvl w:val="0"/>
          <w:numId w:val="3"/>
        </w:numPr>
        <w:tabs>
          <w:tab w:val="left" w:pos="1238"/>
        </w:tabs>
        <w:spacing w:before="31" w:after="0" w:line="268" w:lineRule="auto"/>
        <w:ind w:left="115" w:right="253" w:firstLine="561"/>
        <w:jc w:val="left"/>
        <w:rPr>
          <w:sz w:val="28"/>
        </w:rPr>
      </w:pPr>
      <w:r>
        <w:rPr>
          <w:spacing w:val="-3"/>
          <w:sz w:val="28"/>
        </w:rPr>
        <w:t>启动第一批省级文旅康养融合发展区建设，集中培育“文旅康养</w:t>
      </w:r>
      <w:r>
        <w:rPr>
          <w:spacing w:val="-15"/>
          <w:sz w:val="28"/>
        </w:rPr>
        <w:t xml:space="preserve">十强县”。在全省开展 </w:t>
      </w:r>
      <w:r>
        <w:rPr>
          <w:rFonts w:ascii="Times New Roman" w:hAnsi="Times New Roman" w:eastAsia="Times New Roman"/>
          <w:sz w:val="28"/>
        </w:rPr>
        <w:t>100</w:t>
      </w:r>
      <w:r>
        <w:rPr>
          <w:rFonts w:ascii="Times New Roman" w:hAnsi="Times New Roman" w:eastAsia="Times New Roman"/>
          <w:spacing w:val="2"/>
          <w:sz w:val="28"/>
        </w:rPr>
        <w:t xml:space="preserve"> </w:t>
      </w:r>
      <w:r>
        <w:rPr>
          <w:spacing w:val="-7"/>
          <w:sz w:val="28"/>
        </w:rPr>
        <w:t>家革命场馆特色展陈、</w:t>
      </w:r>
      <w:r>
        <w:rPr>
          <w:rFonts w:ascii="Times New Roman" w:hAnsi="Times New Roman" w:eastAsia="Times New Roman"/>
          <w:sz w:val="28"/>
        </w:rPr>
        <w:t>100</w:t>
      </w:r>
      <w:r>
        <w:rPr>
          <w:rFonts w:ascii="Times New Roman" w:hAnsi="Times New Roman" w:eastAsia="Times New Roman"/>
          <w:spacing w:val="2"/>
          <w:sz w:val="28"/>
        </w:rPr>
        <w:t xml:space="preserve"> </w:t>
      </w:r>
      <w:r>
        <w:rPr>
          <w:spacing w:val="-3"/>
          <w:sz w:val="28"/>
        </w:rPr>
        <w:t>个红色文化特色村培</w:t>
      </w:r>
      <w:r>
        <w:rPr>
          <w:spacing w:val="-2"/>
          <w:sz w:val="28"/>
        </w:rPr>
        <w:t>育建设、</w:t>
      </w:r>
      <w:r>
        <w:rPr>
          <w:rFonts w:ascii="Times New Roman" w:hAnsi="Times New Roman" w:eastAsia="Times New Roman"/>
          <w:sz w:val="28"/>
        </w:rPr>
        <w:t xml:space="preserve">100 </w:t>
      </w:r>
      <w:r>
        <w:rPr>
          <w:spacing w:val="-3"/>
          <w:sz w:val="28"/>
        </w:rPr>
        <w:t>款红色文创展示推广、</w:t>
      </w:r>
      <w:r>
        <w:rPr>
          <w:rFonts w:ascii="Times New Roman" w:hAnsi="Times New Roman" w:eastAsia="Times New Roman"/>
          <w:sz w:val="28"/>
        </w:rPr>
        <w:t xml:space="preserve">100 </w:t>
      </w:r>
      <w:r>
        <w:rPr>
          <w:spacing w:val="-3"/>
          <w:sz w:val="28"/>
        </w:rPr>
        <w:t>家研学基地红色游、</w:t>
      </w:r>
      <w:r>
        <w:rPr>
          <w:rFonts w:ascii="Times New Roman" w:hAnsi="Times New Roman" w:eastAsia="Times New Roman"/>
          <w:sz w:val="28"/>
        </w:rPr>
        <w:t>100</w:t>
      </w:r>
      <w:r>
        <w:rPr>
          <w:rFonts w:ascii="Times New Roman" w:hAnsi="Times New Roman" w:eastAsia="Times New Roman"/>
          <w:spacing w:val="1"/>
          <w:sz w:val="28"/>
        </w:rPr>
        <w:t xml:space="preserve"> </w:t>
      </w:r>
      <w:r>
        <w:rPr>
          <w:spacing w:val="-2"/>
          <w:sz w:val="28"/>
        </w:rPr>
        <w:t>条红色旅</w:t>
      </w:r>
      <w:r>
        <w:rPr>
          <w:spacing w:val="-7"/>
          <w:sz w:val="28"/>
        </w:rPr>
        <w:t>游线路推广、</w:t>
      </w:r>
      <w:r>
        <w:rPr>
          <w:rFonts w:ascii="Times New Roman" w:hAnsi="Times New Roman" w:eastAsia="Times New Roman"/>
          <w:sz w:val="28"/>
        </w:rPr>
        <w:t>100</w:t>
      </w:r>
      <w:r>
        <w:rPr>
          <w:rFonts w:ascii="Times New Roman" w:hAnsi="Times New Roman" w:eastAsia="Times New Roman"/>
          <w:spacing w:val="6"/>
          <w:sz w:val="28"/>
        </w:rPr>
        <w:t xml:space="preserve"> </w:t>
      </w:r>
      <w:r>
        <w:rPr>
          <w:spacing w:val="-8"/>
          <w:sz w:val="28"/>
        </w:rPr>
        <w:t>场精品剧目演出等系列活动，拉动文化旅游消费。</w:t>
      </w:r>
      <w:r>
        <w:rPr>
          <w:sz w:val="28"/>
        </w:rPr>
        <w:t>（牵头</w:t>
      </w:r>
      <w:r>
        <w:rPr>
          <w:spacing w:val="-3"/>
          <w:sz w:val="28"/>
        </w:rPr>
        <w:t>单位：省文化和旅游厅、省卫生健康委</w:t>
      </w:r>
      <w:r>
        <w:rPr>
          <w:sz w:val="28"/>
        </w:rPr>
        <w:t>）</w:t>
      </w:r>
    </w:p>
    <w:p>
      <w:pPr>
        <w:pStyle w:val="3"/>
        <w:spacing w:line="268" w:lineRule="auto"/>
        <w:ind w:right="255"/>
      </w:pPr>
      <w:r>
        <w:rPr>
          <w:rFonts w:ascii="Times New Roman" w:hAnsi="Times New Roman" w:eastAsia="Times New Roman"/>
          <w:spacing w:val="-4"/>
        </w:rPr>
        <w:t>19</w:t>
      </w:r>
      <w:r>
        <w:rPr>
          <w:spacing w:val="-4"/>
        </w:rPr>
        <w:t>．</w:t>
      </w:r>
      <w:r>
        <w:rPr>
          <w:rFonts w:ascii="Times New Roman" w:hAnsi="Times New Roman" w:eastAsia="Times New Roman"/>
          <w:spacing w:val="-4"/>
        </w:rPr>
        <w:t xml:space="preserve">2021 </w:t>
      </w:r>
      <w:r>
        <w:rPr>
          <w:spacing w:val="-8"/>
        </w:rPr>
        <w:t xml:space="preserve">年“五一”节前，上线运行“好客山东 </w:t>
      </w:r>
      <w:r>
        <w:rPr>
          <w:spacing w:val="-15"/>
        </w:rPr>
        <w:t>·</w:t>
      </w:r>
      <w:r>
        <w:rPr>
          <w:spacing w:val="-5"/>
        </w:rPr>
        <w:t>云游齐鲁”智慧文</w:t>
      </w:r>
      <w:r>
        <w:rPr>
          <w:spacing w:val="-3"/>
        </w:rPr>
        <w:t>旅平台，扩大数字文旅消费。（牵头单位：省文化和旅游厅</w:t>
      </w:r>
      <w:r>
        <w:t>）</w:t>
      </w:r>
    </w:p>
    <w:p>
      <w:pPr>
        <w:pStyle w:val="8"/>
        <w:numPr>
          <w:ilvl w:val="0"/>
          <w:numId w:val="4"/>
        </w:numPr>
        <w:tabs>
          <w:tab w:val="left" w:pos="1238"/>
        </w:tabs>
        <w:spacing w:before="0" w:after="0" w:line="266" w:lineRule="auto"/>
        <w:ind w:left="115" w:right="253" w:firstLine="561"/>
        <w:jc w:val="left"/>
        <w:rPr>
          <w:sz w:val="28"/>
        </w:rPr>
      </w:pPr>
      <w:r>
        <w:rPr>
          <w:spacing w:val="-12"/>
          <w:sz w:val="28"/>
        </w:rPr>
        <w:t xml:space="preserve">省财政统筹安排 </w:t>
      </w:r>
      <w:r>
        <w:rPr>
          <w:rFonts w:ascii="Times New Roman" w:eastAsia="Times New Roman"/>
          <w:sz w:val="28"/>
        </w:rPr>
        <w:t>6000</w:t>
      </w:r>
      <w:r>
        <w:rPr>
          <w:rFonts w:ascii="Times New Roman" w:eastAsia="Times New Roman"/>
          <w:spacing w:val="3"/>
          <w:sz w:val="28"/>
        </w:rPr>
        <w:t xml:space="preserve"> </w:t>
      </w:r>
      <w:r>
        <w:rPr>
          <w:spacing w:val="-5"/>
          <w:sz w:val="28"/>
        </w:rPr>
        <w:t>万元资金，在落实大型体育场馆免费、低收</w:t>
      </w:r>
      <w:r>
        <w:rPr>
          <w:spacing w:val="-3"/>
          <w:sz w:val="28"/>
        </w:rPr>
        <w:t>费开放支持政策的基础上，对符合条件的中小型体育场馆免费、低收费开放给予适当补助，支持建设全民健身工程设施，发放体育消费券，支持开展体育惠民消费季活动。</w:t>
      </w:r>
      <w:r>
        <w:rPr>
          <w:sz w:val="28"/>
        </w:rPr>
        <w:t>（</w:t>
      </w:r>
      <w:r>
        <w:rPr>
          <w:spacing w:val="-3"/>
          <w:sz w:val="28"/>
        </w:rPr>
        <w:t>牵头单位：省体育局、省财政厅</w:t>
      </w:r>
      <w:r>
        <w:rPr>
          <w:sz w:val="28"/>
        </w:rPr>
        <w:t>）</w:t>
      </w:r>
    </w:p>
    <w:p>
      <w:pPr>
        <w:pStyle w:val="8"/>
        <w:numPr>
          <w:ilvl w:val="0"/>
          <w:numId w:val="4"/>
        </w:numPr>
        <w:tabs>
          <w:tab w:val="left" w:pos="1238"/>
        </w:tabs>
        <w:spacing w:before="0" w:after="0" w:line="268" w:lineRule="auto"/>
        <w:ind w:left="115" w:right="255" w:firstLine="561"/>
        <w:jc w:val="both"/>
        <w:rPr>
          <w:sz w:val="28"/>
        </w:rPr>
      </w:pPr>
      <w:r>
        <w:rPr>
          <w:spacing w:val="-8"/>
          <w:sz w:val="28"/>
        </w:rPr>
        <w:t xml:space="preserve">依托“山东家电消费节”，于 </w:t>
      </w:r>
      <w:r>
        <w:rPr>
          <w:rFonts w:ascii="Times New Roman" w:hAnsi="Times New Roman" w:eastAsia="Times New Roman"/>
          <w:sz w:val="28"/>
        </w:rPr>
        <w:t xml:space="preserve">6 </w:t>
      </w:r>
      <w:r>
        <w:rPr>
          <w:sz w:val="28"/>
        </w:rPr>
        <w:t>月、</w:t>
      </w:r>
      <w:r>
        <w:rPr>
          <w:rFonts w:ascii="Times New Roman" w:hAnsi="Times New Roman" w:eastAsia="Times New Roman"/>
          <w:sz w:val="28"/>
        </w:rPr>
        <w:t>11</w:t>
      </w:r>
      <w:r>
        <w:rPr>
          <w:rFonts w:ascii="Times New Roman" w:hAnsi="Times New Roman" w:eastAsia="Times New Roman"/>
          <w:spacing w:val="1"/>
          <w:sz w:val="28"/>
        </w:rPr>
        <w:t xml:space="preserve"> </w:t>
      </w:r>
      <w:r>
        <w:rPr>
          <w:spacing w:val="-3"/>
          <w:sz w:val="28"/>
        </w:rPr>
        <w:t>月开展两次家电“以旧换新”集中促销活动，对家电生产、销售企业推出的节能、绿色、智能等特</w:t>
      </w:r>
      <w:r>
        <w:rPr>
          <w:spacing w:val="-8"/>
          <w:sz w:val="28"/>
        </w:rPr>
        <w:t xml:space="preserve">定机型，支持企业按每台不低于 </w:t>
      </w:r>
      <w:r>
        <w:rPr>
          <w:rFonts w:ascii="Times New Roman" w:hAnsi="Times New Roman" w:eastAsia="Times New Roman"/>
          <w:sz w:val="28"/>
        </w:rPr>
        <w:t>200</w:t>
      </w:r>
      <w:r>
        <w:rPr>
          <w:rFonts w:ascii="Times New Roman" w:hAnsi="Times New Roman" w:eastAsia="Times New Roman"/>
          <w:spacing w:val="2"/>
          <w:sz w:val="28"/>
        </w:rPr>
        <w:t xml:space="preserve"> </w:t>
      </w:r>
      <w:r>
        <w:rPr>
          <w:spacing w:val="-3"/>
          <w:sz w:val="28"/>
        </w:rPr>
        <w:t>元给予补贴，相应回收的废旧家电交由合规企业处理。</w:t>
      </w:r>
      <w:r>
        <w:rPr>
          <w:rFonts w:ascii="Times New Roman" w:hAnsi="Times New Roman" w:eastAsia="Times New Roman"/>
          <w:sz w:val="28"/>
        </w:rPr>
        <w:t>2021</w:t>
      </w:r>
      <w:r>
        <w:rPr>
          <w:rFonts w:ascii="Times New Roman" w:hAnsi="Times New Roman" w:eastAsia="Times New Roman"/>
          <w:spacing w:val="2"/>
          <w:sz w:val="28"/>
        </w:rPr>
        <w:t xml:space="preserve"> </w:t>
      </w:r>
      <w:r>
        <w:rPr>
          <w:spacing w:val="-3"/>
          <w:sz w:val="28"/>
        </w:rPr>
        <w:t>年对符合条件的废旧家电回收处理项目，省财政安</w:t>
      </w:r>
      <w:r>
        <w:rPr>
          <w:spacing w:val="-36"/>
          <w:sz w:val="28"/>
        </w:rPr>
        <w:t xml:space="preserve">排 </w:t>
      </w:r>
      <w:r>
        <w:rPr>
          <w:rFonts w:ascii="Times New Roman" w:hAnsi="Times New Roman" w:eastAsia="Times New Roman"/>
          <w:sz w:val="28"/>
        </w:rPr>
        <w:t>1000</w:t>
      </w:r>
      <w:r>
        <w:rPr>
          <w:rFonts w:ascii="Times New Roman" w:hAnsi="Times New Roman" w:eastAsia="Times New Roman"/>
          <w:spacing w:val="7"/>
          <w:sz w:val="28"/>
        </w:rPr>
        <w:t xml:space="preserve"> </w:t>
      </w:r>
      <w:r>
        <w:rPr>
          <w:spacing w:val="-5"/>
          <w:sz w:val="28"/>
        </w:rPr>
        <w:t>万元给予扶持，提升废旧家电拆解处理能力。</w:t>
      </w:r>
      <w:r>
        <w:rPr>
          <w:sz w:val="28"/>
        </w:rPr>
        <w:t>（</w:t>
      </w:r>
      <w:r>
        <w:rPr>
          <w:spacing w:val="-4"/>
          <w:sz w:val="28"/>
        </w:rPr>
        <w:t>牵头单位：省发展</w:t>
      </w:r>
      <w:r>
        <w:rPr>
          <w:spacing w:val="-3"/>
          <w:sz w:val="28"/>
        </w:rPr>
        <w:t>改革委、省商务厅、省财政厅</w:t>
      </w:r>
      <w:r>
        <w:rPr>
          <w:sz w:val="28"/>
        </w:rPr>
        <w:t>）</w:t>
      </w:r>
    </w:p>
    <w:p>
      <w:pPr>
        <w:pStyle w:val="8"/>
        <w:numPr>
          <w:ilvl w:val="0"/>
          <w:numId w:val="4"/>
        </w:numPr>
        <w:tabs>
          <w:tab w:val="left" w:pos="1238"/>
        </w:tabs>
        <w:spacing w:before="0" w:after="0" w:line="268" w:lineRule="auto"/>
        <w:ind w:left="115" w:right="255" w:firstLine="561"/>
        <w:jc w:val="both"/>
        <w:rPr>
          <w:sz w:val="28"/>
        </w:rPr>
      </w:pPr>
      <w:r>
        <w:rPr>
          <w:spacing w:val="-2"/>
          <w:sz w:val="28"/>
        </w:rPr>
        <w:t>启动“</w:t>
      </w:r>
      <w:r>
        <w:rPr>
          <w:rFonts w:ascii="Times New Roman" w:hAnsi="Times New Roman" w:eastAsia="Times New Roman"/>
          <w:sz w:val="28"/>
        </w:rPr>
        <w:t>15</w:t>
      </w:r>
      <w:r>
        <w:rPr>
          <w:rFonts w:ascii="Times New Roman" w:hAnsi="Times New Roman" w:eastAsia="Times New Roman"/>
          <w:spacing w:val="4"/>
          <w:sz w:val="28"/>
        </w:rPr>
        <w:t xml:space="preserve"> </w:t>
      </w:r>
      <w:r>
        <w:rPr>
          <w:spacing w:val="-3"/>
          <w:sz w:val="28"/>
        </w:rPr>
        <w:t>分钟社区便民生活圈”改造提升工程，支持各市在居民</w:t>
      </w:r>
      <w:r>
        <w:rPr>
          <w:spacing w:val="-24"/>
          <w:sz w:val="28"/>
        </w:rPr>
        <w:t xml:space="preserve">步行 </w:t>
      </w:r>
      <w:r>
        <w:rPr>
          <w:rFonts w:ascii="Times New Roman" w:hAnsi="Times New Roman" w:eastAsia="Times New Roman"/>
          <w:sz w:val="28"/>
        </w:rPr>
        <w:t>15</w:t>
      </w:r>
      <w:r>
        <w:rPr>
          <w:rFonts w:ascii="Times New Roman" w:hAnsi="Times New Roman" w:eastAsia="Times New Roman"/>
          <w:spacing w:val="6"/>
          <w:sz w:val="28"/>
        </w:rPr>
        <w:t xml:space="preserve"> </w:t>
      </w:r>
      <w:r>
        <w:rPr>
          <w:spacing w:val="-7"/>
          <w:sz w:val="28"/>
        </w:rPr>
        <w:t>分钟可达范围内，丰富便利店、菜市场、早餐店、维修店、家政服</w:t>
      </w:r>
    </w:p>
    <w:p>
      <w:pPr>
        <w:spacing w:after="0" w:line="268" w:lineRule="auto"/>
        <w:jc w:val="both"/>
        <w:rPr>
          <w:sz w:val="28"/>
        </w:rPr>
        <w:sectPr>
          <w:pgSz w:w="11910" w:h="16840"/>
          <w:pgMar w:top="1580" w:right="1160" w:bottom="1160" w:left="1300" w:header="0" w:footer="978" w:gutter="0"/>
          <w:cols w:space="720" w:num="1"/>
        </w:sectPr>
      </w:pPr>
    </w:p>
    <w:p>
      <w:pPr>
        <w:pStyle w:val="3"/>
        <w:spacing w:before="144" w:line="268" w:lineRule="auto"/>
        <w:ind w:right="253" w:firstLine="0"/>
      </w:pPr>
      <w:r>
        <w:rPr>
          <w:spacing w:val="-3"/>
        </w:rPr>
        <w:t>务点以及教育、文化、娱乐、健身、医疗、康养等便民业态，一站式满足</w:t>
      </w:r>
      <w:r>
        <w:rPr>
          <w:spacing w:val="-4"/>
        </w:rPr>
        <w:t>居民生活和服务消费需求。</w:t>
      </w:r>
      <w:r>
        <w:rPr>
          <w:rFonts w:ascii="Times New Roman" w:hAnsi="Times New Roman" w:eastAsia="Times New Roman"/>
        </w:rPr>
        <w:t xml:space="preserve">2021 </w:t>
      </w:r>
      <w:r>
        <w:rPr>
          <w:spacing w:val="-5"/>
        </w:rPr>
        <w:t>年对“</w:t>
      </w:r>
      <w:r>
        <w:rPr>
          <w:rFonts w:ascii="Times New Roman" w:hAnsi="Times New Roman" w:eastAsia="Times New Roman"/>
        </w:rPr>
        <w:t xml:space="preserve">15 </w:t>
      </w:r>
      <w:r>
        <w:rPr>
          <w:spacing w:val="-4"/>
        </w:rPr>
        <w:t>分钟社区便民生活圈”专项规划</w:t>
      </w:r>
      <w:r>
        <w:rPr>
          <w:spacing w:val="-6"/>
        </w:rPr>
        <w:t xml:space="preserve">明确、改造提升效果明显、社区覆盖面扩大、拉动消费作用突出的前 </w:t>
      </w:r>
      <w:r>
        <w:rPr>
          <w:rFonts w:ascii="Times New Roman" w:hAnsi="Times New Roman" w:eastAsia="Times New Roman"/>
        </w:rPr>
        <w:t xml:space="preserve">3 </w:t>
      </w:r>
      <w:r>
        <w:t>个</w:t>
      </w:r>
      <w:r>
        <w:rPr>
          <w:spacing w:val="-10"/>
        </w:rPr>
        <w:t xml:space="preserve">市，省财政分别给予 </w:t>
      </w:r>
      <w:r>
        <w:rPr>
          <w:rFonts w:ascii="Times New Roman" w:hAnsi="Times New Roman" w:eastAsia="Times New Roman"/>
        </w:rPr>
        <w:t xml:space="preserve">500 </w:t>
      </w:r>
      <w:r>
        <w:rPr>
          <w:spacing w:val="-3"/>
        </w:rPr>
        <w:t>万元、</w:t>
      </w:r>
      <w:r>
        <w:rPr>
          <w:rFonts w:ascii="Times New Roman" w:hAnsi="Times New Roman" w:eastAsia="Times New Roman"/>
        </w:rPr>
        <w:t xml:space="preserve">300 </w:t>
      </w:r>
      <w:r>
        <w:rPr>
          <w:spacing w:val="-3"/>
        </w:rPr>
        <w:t>万元、</w:t>
      </w:r>
      <w:r>
        <w:rPr>
          <w:rFonts w:ascii="Times New Roman" w:hAnsi="Times New Roman" w:eastAsia="Times New Roman"/>
        </w:rPr>
        <w:t xml:space="preserve">200 </w:t>
      </w:r>
      <w:r>
        <w:rPr>
          <w:spacing w:val="-4"/>
        </w:rPr>
        <w:t>万元支持。</w:t>
      </w:r>
      <w:r>
        <w:rPr>
          <w:spacing w:val="-3"/>
        </w:rPr>
        <w:t>（</w:t>
      </w:r>
      <w:r>
        <w:rPr>
          <w:spacing w:val="-4"/>
        </w:rPr>
        <w:t>牵头单位：省</w:t>
      </w:r>
      <w:r>
        <w:rPr>
          <w:spacing w:val="-3"/>
        </w:rPr>
        <w:t>商务厅、省财政厅</w:t>
      </w:r>
      <w:r>
        <w:t>）</w:t>
      </w:r>
    </w:p>
    <w:p>
      <w:pPr>
        <w:pStyle w:val="8"/>
        <w:numPr>
          <w:ilvl w:val="0"/>
          <w:numId w:val="4"/>
        </w:numPr>
        <w:tabs>
          <w:tab w:val="left" w:pos="1238"/>
        </w:tabs>
        <w:spacing w:before="0" w:after="0" w:line="266" w:lineRule="auto"/>
        <w:ind w:left="115" w:right="255" w:firstLine="561"/>
        <w:jc w:val="left"/>
        <w:rPr>
          <w:sz w:val="28"/>
        </w:rPr>
      </w:pPr>
      <w:r>
        <w:rPr>
          <w:spacing w:val="-9"/>
          <w:sz w:val="28"/>
        </w:rPr>
        <w:t xml:space="preserve">全省新建居民小区停车位 </w:t>
      </w:r>
      <w:r>
        <w:rPr>
          <w:rFonts w:ascii="Times New Roman" w:eastAsia="Times New Roman"/>
          <w:sz w:val="28"/>
        </w:rPr>
        <w:t>100%</w:t>
      </w:r>
      <w:r>
        <w:rPr>
          <w:spacing w:val="-3"/>
          <w:sz w:val="28"/>
        </w:rPr>
        <w:t>建设电动汽车充电基础设施或预留建设安装条件，与主体建筑同步设计、施工、验收；在老旧小区改造中，对具备条件的小区增加停车位，建设充电桩。</w:t>
      </w:r>
      <w:r>
        <w:rPr>
          <w:sz w:val="28"/>
        </w:rPr>
        <w:t>（</w:t>
      </w:r>
      <w:r>
        <w:rPr>
          <w:spacing w:val="-3"/>
          <w:sz w:val="28"/>
        </w:rPr>
        <w:t>牵头单位：省住房城乡建设厅；责任单位：省自然资源厅、省能源局</w:t>
      </w:r>
      <w:r>
        <w:rPr>
          <w:sz w:val="28"/>
        </w:rPr>
        <w:t>）</w:t>
      </w:r>
    </w:p>
    <w:p>
      <w:pPr>
        <w:pStyle w:val="3"/>
        <w:spacing w:line="404" w:lineRule="exact"/>
        <w:ind w:left="677" w:right="0" w:firstLine="0"/>
        <w:rPr>
          <w:rFonts w:hint="eastAsia" w:ascii="华文细黑" w:eastAsia="华文细黑"/>
        </w:rPr>
      </w:pPr>
      <w:r>
        <w:rPr>
          <w:rFonts w:hint="eastAsia" w:ascii="华文细黑" w:eastAsia="华文细黑"/>
        </w:rPr>
        <w:t>三、稳定外贸外资</w:t>
      </w:r>
    </w:p>
    <w:p>
      <w:pPr>
        <w:pStyle w:val="8"/>
        <w:numPr>
          <w:ilvl w:val="0"/>
          <w:numId w:val="4"/>
        </w:numPr>
        <w:tabs>
          <w:tab w:val="left" w:pos="561"/>
        </w:tabs>
        <w:spacing w:before="0" w:after="0" w:line="240" w:lineRule="auto"/>
        <w:ind w:left="1238" w:right="253" w:hanging="1238"/>
        <w:jc w:val="right"/>
        <w:rPr>
          <w:sz w:val="28"/>
        </w:rPr>
      </w:pPr>
      <w:r>
        <w:rPr>
          <w:spacing w:val="-35"/>
          <w:sz w:val="28"/>
        </w:rPr>
        <w:t xml:space="preserve">对 </w:t>
      </w:r>
      <w:r>
        <w:rPr>
          <w:rFonts w:ascii="Times New Roman" w:eastAsia="Times New Roman"/>
          <w:sz w:val="28"/>
        </w:rPr>
        <w:t>2021</w:t>
      </w:r>
      <w:r>
        <w:rPr>
          <w:rFonts w:ascii="Times New Roman" w:eastAsia="Times New Roman"/>
          <w:spacing w:val="5"/>
          <w:sz w:val="28"/>
        </w:rPr>
        <w:t xml:space="preserve"> </w:t>
      </w:r>
      <w:r>
        <w:rPr>
          <w:spacing w:val="-3"/>
          <w:sz w:val="28"/>
        </w:rPr>
        <w:t>年新开加密或继续执飞的国际海运及航空货运航线给予单</w:t>
      </w:r>
    </w:p>
    <w:p>
      <w:pPr>
        <w:pStyle w:val="3"/>
        <w:spacing w:before="34"/>
        <w:ind w:left="0" w:right="253" w:firstLine="0"/>
        <w:jc w:val="right"/>
      </w:pPr>
      <w:r>
        <w:rPr>
          <w:spacing w:val="-14"/>
        </w:rPr>
        <w:t xml:space="preserve">个航班最高 </w:t>
      </w:r>
      <w:r>
        <w:rPr>
          <w:rFonts w:ascii="Times New Roman" w:eastAsia="Times New Roman"/>
        </w:rPr>
        <w:t>5-150</w:t>
      </w:r>
      <w:r>
        <w:rPr>
          <w:rFonts w:ascii="Times New Roman" w:eastAsia="Times New Roman"/>
          <w:spacing w:val="1"/>
        </w:rPr>
        <w:t xml:space="preserve"> </w:t>
      </w:r>
      <w:r>
        <w:rPr>
          <w:spacing w:val="-14"/>
        </w:rPr>
        <w:t xml:space="preserve">万元补贴，对临时国际航空货运航线给予最高 </w:t>
      </w:r>
      <w:r>
        <w:rPr>
          <w:rFonts w:ascii="Times New Roman" w:eastAsia="Times New Roman"/>
        </w:rPr>
        <w:t>100-300</w:t>
      </w:r>
      <w:r>
        <w:rPr>
          <w:rFonts w:ascii="Times New Roman" w:eastAsia="Times New Roman"/>
          <w:spacing w:val="4"/>
        </w:rPr>
        <w:t xml:space="preserve"> </w:t>
      </w:r>
      <w:r>
        <w:t>元</w:t>
      </w:r>
    </w:p>
    <w:p>
      <w:pPr>
        <w:pStyle w:val="3"/>
        <w:spacing w:before="42"/>
        <w:ind w:left="0" w:right="289" w:firstLine="0"/>
        <w:jc w:val="right"/>
      </w:pPr>
      <w:r>
        <w:rPr>
          <w:rFonts w:ascii="Times New Roman" w:eastAsia="Times New Roman"/>
          <w:spacing w:val="-1"/>
        </w:rPr>
        <w:t>/</w:t>
      </w:r>
      <w:r>
        <w:rPr>
          <w:spacing w:val="-3"/>
        </w:rPr>
        <w:t>吨航时补贴，对航空公司在我省设立运营基地或子公司给予一次性补贴。</w:t>
      </w:r>
    </w:p>
    <w:p>
      <w:pPr>
        <w:pStyle w:val="3"/>
        <w:spacing w:before="42"/>
        <w:ind w:right="0" w:firstLine="0"/>
      </w:pPr>
      <w:r>
        <w:t>（牵头单位：省交通运输厅、省商务厅、省财政厅）</w:t>
      </w:r>
    </w:p>
    <w:p>
      <w:pPr>
        <w:pStyle w:val="8"/>
        <w:numPr>
          <w:ilvl w:val="0"/>
          <w:numId w:val="4"/>
        </w:numPr>
        <w:tabs>
          <w:tab w:val="left" w:pos="1238"/>
        </w:tabs>
        <w:spacing w:before="39" w:after="0" w:line="240" w:lineRule="auto"/>
        <w:ind w:left="1238" w:right="0" w:hanging="561"/>
        <w:jc w:val="left"/>
        <w:rPr>
          <w:sz w:val="28"/>
        </w:rPr>
      </w:pPr>
      <w:r>
        <w:rPr>
          <w:spacing w:val="-4"/>
          <w:sz w:val="28"/>
        </w:rPr>
        <w:t>开展省级跨境电商主体培育工程，</w:t>
      </w:r>
      <w:r>
        <w:rPr>
          <w:rFonts w:ascii="Times New Roman" w:eastAsia="Times New Roman"/>
          <w:spacing w:val="-12"/>
          <w:sz w:val="28"/>
        </w:rPr>
        <w:t>2021</w:t>
      </w:r>
      <w:r>
        <w:rPr>
          <w:rFonts w:ascii="Times New Roman" w:eastAsia="Times New Roman"/>
          <w:spacing w:val="7"/>
          <w:sz w:val="28"/>
        </w:rPr>
        <w:t xml:space="preserve"> </w:t>
      </w:r>
      <w:r>
        <w:rPr>
          <w:spacing w:val="-19"/>
          <w:sz w:val="28"/>
        </w:rPr>
        <w:t xml:space="preserve">年认定 </w:t>
      </w:r>
      <w:r>
        <w:rPr>
          <w:rFonts w:ascii="Times New Roman" w:eastAsia="Times New Roman"/>
          <w:sz w:val="28"/>
        </w:rPr>
        <w:t>5</w:t>
      </w:r>
      <w:r>
        <w:rPr>
          <w:rFonts w:ascii="Times New Roman" w:eastAsia="Times New Roman"/>
          <w:spacing w:val="2"/>
          <w:sz w:val="28"/>
        </w:rPr>
        <w:t xml:space="preserve"> </w:t>
      </w:r>
      <w:r>
        <w:rPr>
          <w:spacing w:val="-3"/>
          <w:sz w:val="28"/>
        </w:rPr>
        <w:t>个跨境电商平台、</w:t>
      </w:r>
    </w:p>
    <w:p>
      <w:pPr>
        <w:pStyle w:val="3"/>
        <w:spacing w:before="42" w:line="268" w:lineRule="auto"/>
        <w:ind w:right="295" w:firstLine="0"/>
      </w:pPr>
      <w:r>
        <w:rPr>
          <w:rFonts w:ascii="Times New Roman" w:eastAsia="Times New Roman"/>
        </w:rPr>
        <w:t xml:space="preserve">10 </w:t>
      </w:r>
      <w:r>
        <w:t>个跨境电商产业园、</w:t>
      </w:r>
      <w:r>
        <w:rPr>
          <w:rFonts w:ascii="Times New Roman" w:eastAsia="Times New Roman"/>
        </w:rPr>
        <w:t xml:space="preserve">20 </w:t>
      </w:r>
      <w:r>
        <w:t xml:space="preserve">个公共海外仓，每个主体省财政最高支持 </w:t>
      </w:r>
      <w:r>
        <w:rPr>
          <w:rFonts w:ascii="Times New Roman" w:eastAsia="Times New Roman"/>
        </w:rPr>
        <w:t xml:space="preserve">50 </w:t>
      </w:r>
      <w:r>
        <w:t>万元。（牵头单位：省商务厅、省财政厅）</w:t>
      </w:r>
    </w:p>
    <w:p>
      <w:pPr>
        <w:pStyle w:val="8"/>
        <w:numPr>
          <w:ilvl w:val="0"/>
          <w:numId w:val="4"/>
        </w:numPr>
        <w:tabs>
          <w:tab w:val="left" w:pos="1238"/>
        </w:tabs>
        <w:spacing w:before="0" w:after="0" w:line="268" w:lineRule="auto"/>
        <w:ind w:left="115" w:right="253" w:firstLine="561"/>
        <w:jc w:val="left"/>
        <w:rPr>
          <w:sz w:val="28"/>
        </w:rPr>
      </w:pPr>
      <w:r>
        <w:rPr>
          <w:spacing w:val="-4"/>
          <w:sz w:val="28"/>
        </w:rPr>
        <w:t>在县域开展外贸高质量发展区建设活动，</w:t>
      </w:r>
      <w:r>
        <w:rPr>
          <w:rFonts w:ascii="Times New Roman" w:eastAsia="Times New Roman"/>
          <w:spacing w:val="-12"/>
          <w:sz w:val="28"/>
        </w:rPr>
        <w:t>2021</w:t>
      </w:r>
      <w:r>
        <w:rPr>
          <w:rFonts w:ascii="Times New Roman" w:eastAsia="Times New Roman"/>
          <w:spacing w:val="5"/>
          <w:sz w:val="28"/>
        </w:rPr>
        <w:t xml:space="preserve"> </w:t>
      </w:r>
      <w:r>
        <w:rPr>
          <w:spacing w:val="-19"/>
          <w:sz w:val="28"/>
        </w:rPr>
        <w:t xml:space="preserve">年认定 </w:t>
      </w:r>
      <w:r>
        <w:rPr>
          <w:rFonts w:ascii="Times New Roman" w:eastAsia="Times New Roman"/>
          <w:sz w:val="28"/>
        </w:rPr>
        <w:t>10</w:t>
      </w:r>
      <w:r>
        <w:rPr>
          <w:rFonts w:ascii="Times New Roman" w:eastAsia="Times New Roman"/>
          <w:spacing w:val="2"/>
          <w:sz w:val="28"/>
        </w:rPr>
        <w:t xml:space="preserve"> </w:t>
      </w:r>
      <w:r>
        <w:rPr>
          <w:spacing w:val="-2"/>
          <w:sz w:val="28"/>
        </w:rPr>
        <w:t>个高质</w:t>
      </w:r>
      <w:r>
        <w:rPr>
          <w:spacing w:val="-10"/>
          <w:sz w:val="28"/>
        </w:rPr>
        <w:t xml:space="preserve">量发展区，每个支持 </w:t>
      </w:r>
      <w:r>
        <w:rPr>
          <w:rFonts w:ascii="Times New Roman" w:eastAsia="Times New Roman"/>
          <w:sz w:val="28"/>
        </w:rPr>
        <w:t>100</w:t>
      </w:r>
      <w:r>
        <w:rPr>
          <w:rFonts w:ascii="Times New Roman" w:eastAsia="Times New Roman"/>
          <w:spacing w:val="1"/>
          <w:sz w:val="28"/>
        </w:rPr>
        <w:t xml:space="preserve"> </w:t>
      </w:r>
      <w:r>
        <w:rPr>
          <w:spacing w:val="-2"/>
          <w:sz w:val="28"/>
        </w:rPr>
        <w:t>万元。</w:t>
      </w:r>
      <w:r>
        <w:rPr>
          <w:sz w:val="28"/>
        </w:rPr>
        <w:t>（</w:t>
      </w:r>
      <w:r>
        <w:rPr>
          <w:spacing w:val="-3"/>
          <w:sz w:val="28"/>
        </w:rPr>
        <w:t>牵头单位：省商务厅、省财政厅</w:t>
      </w:r>
      <w:r>
        <w:rPr>
          <w:sz w:val="28"/>
        </w:rPr>
        <w:t>）</w:t>
      </w:r>
    </w:p>
    <w:p>
      <w:pPr>
        <w:pStyle w:val="8"/>
        <w:numPr>
          <w:ilvl w:val="0"/>
          <w:numId w:val="4"/>
        </w:numPr>
        <w:tabs>
          <w:tab w:val="left" w:pos="1238"/>
        </w:tabs>
        <w:spacing w:before="0" w:after="0" w:line="357" w:lineRule="exact"/>
        <w:ind w:left="1238" w:right="0" w:hanging="561"/>
        <w:jc w:val="left"/>
        <w:rPr>
          <w:rFonts w:ascii="Times New Roman" w:eastAsia="Times New Roman"/>
          <w:sz w:val="28"/>
        </w:rPr>
      </w:pPr>
      <w:r>
        <w:rPr>
          <w:spacing w:val="-24"/>
          <w:sz w:val="28"/>
        </w:rPr>
        <w:t xml:space="preserve">认定 </w:t>
      </w:r>
      <w:r>
        <w:rPr>
          <w:rFonts w:ascii="Times New Roman" w:eastAsia="Times New Roman"/>
          <w:sz w:val="28"/>
        </w:rPr>
        <w:t>10</w:t>
      </w:r>
      <w:r>
        <w:rPr>
          <w:rFonts w:ascii="Times New Roman" w:eastAsia="Times New Roman"/>
          <w:spacing w:val="-1"/>
          <w:sz w:val="28"/>
        </w:rPr>
        <w:t xml:space="preserve"> </w:t>
      </w:r>
      <w:r>
        <w:rPr>
          <w:spacing w:val="-6"/>
          <w:sz w:val="28"/>
        </w:rPr>
        <w:t xml:space="preserve">个省级进口贸易促进创新区，每个创新区省财政支持 </w:t>
      </w:r>
      <w:r>
        <w:rPr>
          <w:rFonts w:ascii="Times New Roman" w:eastAsia="Times New Roman"/>
          <w:sz w:val="28"/>
        </w:rPr>
        <w:t>100</w:t>
      </w:r>
    </w:p>
    <w:p>
      <w:pPr>
        <w:pStyle w:val="3"/>
        <w:spacing w:before="36"/>
        <w:ind w:right="0" w:firstLine="0"/>
      </w:pPr>
      <w:r>
        <w:t>万元。（牵头单位：省商务厅、省财政厅）</w:t>
      </w:r>
    </w:p>
    <w:p>
      <w:pPr>
        <w:pStyle w:val="8"/>
        <w:numPr>
          <w:ilvl w:val="0"/>
          <w:numId w:val="4"/>
        </w:numPr>
        <w:tabs>
          <w:tab w:val="left" w:pos="1238"/>
        </w:tabs>
        <w:spacing w:before="42" w:after="0" w:line="268" w:lineRule="auto"/>
        <w:ind w:left="115" w:right="272" w:firstLine="561"/>
        <w:jc w:val="left"/>
        <w:rPr>
          <w:sz w:val="28"/>
        </w:rPr>
      </w:pPr>
      <w:r>
        <w:rPr>
          <w:spacing w:val="-3"/>
          <w:sz w:val="28"/>
        </w:rPr>
        <w:t>扩大高新技术设备及关键部件和母婴用品、食品农产品等民生用品进口。对符合“十强”产业的高新技术设备及关键部件进口，以不超过</w:t>
      </w:r>
      <w:r>
        <w:rPr>
          <w:spacing w:val="-16"/>
          <w:sz w:val="28"/>
        </w:rPr>
        <w:t xml:space="preserve">申报年度 </w:t>
      </w:r>
      <w:r>
        <w:rPr>
          <w:rFonts w:ascii="Times New Roman" w:hAnsi="Times New Roman" w:eastAsia="Times New Roman"/>
          <w:sz w:val="28"/>
        </w:rPr>
        <w:t>6</w:t>
      </w:r>
      <w:r>
        <w:rPr>
          <w:rFonts w:ascii="Times New Roman" w:hAnsi="Times New Roman" w:eastAsia="Times New Roman"/>
          <w:spacing w:val="1"/>
          <w:sz w:val="28"/>
        </w:rPr>
        <w:t xml:space="preserve"> </w:t>
      </w:r>
      <w:r>
        <w:rPr>
          <w:spacing w:val="-35"/>
          <w:sz w:val="28"/>
        </w:rPr>
        <w:t xml:space="preserve">月 </w:t>
      </w:r>
      <w:r>
        <w:rPr>
          <w:rFonts w:ascii="Times New Roman" w:hAnsi="Times New Roman" w:eastAsia="Times New Roman"/>
          <w:sz w:val="28"/>
        </w:rPr>
        <w:t>30</w:t>
      </w:r>
      <w:r>
        <w:rPr>
          <w:rFonts w:ascii="Times New Roman" w:hAnsi="Times New Roman" w:eastAsia="Times New Roman"/>
          <w:spacing w:val="-1"/>
          <w:sz w:val="28"/>
        </w:rPr>
        <w:t xml:space="preserve"> </w:t>
      </w:r>
      <w:r>
        <w:rPr>
          <w:spacing w:val="-10"/>
          <w:sz w:val="28"/>
        </w:rPr>
        <w:t xml:space="preserve">日前最近一期人民币 </w:t>
      </w:r>
      <w:r>
        <w:rPr>
          <w:rFonts w:ascii="Times New Roman" w:hAnsi="Times New Roman" w:eastAsia="Times New Roman"/>
          <w:sz w:val="28"/>
        </w:rPr>
        <w:t>1</w:t>
      </w:r>
      <w:r>
        <w:rPr>
          <w:rFonts w:ascii="Times New Roman" w:hAnsi="Times New Roman" w:eastAsia="Times New Roman"/>
          <w:spacing w:val="-1"/>
          <w:sz w:val="28"/>
        </w:rPr>
        <w:t xml:space="preserve"> </w:t>
      </w:r>
      <w:r>
        <w:rPr>
          <w:spacing w:val="-3"/>
          <w:sz w:val="28"/>
        </w:rPr>
        <w:t>年期贷款市场报价利率</w:t>
      </w:r>
      <w:r>
        <w:rPr>
          <w:sz w:val="28"/>
        </w:rPr>
        <w:t>（</w:t>
      </w:r>
      <w:r>
        <w:rPr>
          <w:rFonts w:ascii="Times New Roman" w:hAnsi="Times New Roman" w:eastAsia="Times New Roman"/>
          <w:sz w:val="28"/>
        </w:rPr>
        <w:t>LPR</w:t>
      </w:r>
      <w:r>
        <w:rPr>
          <w:sz w:val="28"/>
        </w:rPr>
        <w:t>）作</w:t>
      </w:r>
      <w:r>
        <w:rPr>
          <w:spacing w:val="-3"/>
          <w:sz w:val="28"/>
        </w:rPr>
        <w:t xml:space="preserve">为贴息率，具体由各市自主确定并落实贴息资金，省财政予以适当补助， </w:t>
      </w:r>
      <w:r>
        <w:rPr>
          <w:spacing w:val="-13"/>
          <w:sz w:val="28"/>
        </w:rPr>
        <w:t xml:space="preserve">贴息率可上浮 </w:t>
      </w:r>
      <w:r>
        <w:rPr>
          <w:rFonts w:ascii="Times New Roman" w:hAnsi="Times New Roman" w:eastAsia="Times New Roman"/>
          <w:sz w:val="28"/>
        </w:rPr>
        <w:t>5%</w:t>
      </w:r>
      <w:r>
        <w:rPr>
          <w:sz w:val="28"/>
        </w:rPr>
        <w:t>。</w:t>
      </w:r>
      <w:r>
        <w:rPr>
          <w:spacing w:val="-3"/>
          <w:sz w:val="28"/>
        </w:rPr>
        <w:t>（牵头单位：省商务厅、省财政厅</w:t>
      </w:r>
      <w:r>
        <w:rPr>
          <w:sz w:val="28"/>
        </w:rPr>
        <w:t>）</w:t>
      </w:r>
    </w:p>
    <w:p>
      <w:pPr>
        <w:pStyle w:val="8"/>
        <w:numPr>
          <w:ilvl w:val="0"/>
          <w:numId w:val="4"/>
        </w:numPr>
        <w:tabs>
          <w:tab w:val="left" w:pos="1238"/>
        </w:tabs>
        <w:spacing w:before="0" w:after="0" w:line="268" w:lineRule="auto"/>
        <w:ind w:left="115" w:right="255" w:firstLine="561"/>
        <w:jc w:val="left"/>
        <w:rPr>
          <w:sz w:val="28"/>
        </w:rPr>
      </w:pPr>
      <w:r>
        <w:rPr>
          <w:spacing w:val="-10"/>
          <w:sz w:val="28"/>
        </w:rPr>
        <w:t xml:space="preserve">支持建筑企业走出去，自 </w:t>
      </w:r>
      <w:r>
        <w:rPr>
          <w:rFonts w:ascii="Times New Roman" w:eastAsia="Times New Roman"/>
          <w:sz w:val="28"/>
        </w:rPr>
        <w:t>2021</w:t>
      </w:r>
      <w:r>
        <w:rPr>
          <w:rFonts w:ascii="Times New Roman" w:eastAsia="Times New Roman"/>
          <w:spacing w:val="2"/>
          <w:sz w:val="28"/>
        </w:rPr>
        <w:t xml:space="preserve"> </w:t>
      </w:r>
      <w:r>
        <w:rPr>
          <w:spacing w:val="-23"/>
          <w:sz w:val="28"/>
        </w:rPr>
        <w:t xml:space="preserve">年起 </w:t>
      </w:r>
      <w:r>
        <w:rPr>
          <w:rFonts w:ascii="Times New Roman" w:eastAsia="Times New Roman"/>
          <w:sz w:val="28"/>
        </w:rPr>
        <w:t xml:space="preserve">3 </w:t>
      </w:r>
      <w:r>
        <w:rPr>
          <w:spacing w:val="-4"/>
          <w:sz w:val="28"/>
        </w:rPr>
        <w:t>年内，对山东建筑企业开展</w:t>
      </w:r>
      <w:r>
        <w:rPr>
          <w:spacing w:val="-3"/>
          <w:sz w:val="28"/>
        </w:rPr>
        <w:t>国家鼓励的境外投资和对外工程承包，投保中国出口信用保险公司海外投资保险、出口特险</w:t>
      </w:r>
      <w:r>
        <w:rPr>
          <w:sz w:val="28"/>
        </w:rPr>
        <w:t>（</w:t>
      </w:r>
      <w:r>
        <w:rPr>
          <w:spacing w:val="-3"/>
          <w:sz w:val="28"/>
        </w:rPr>
        <w:t>含特定合同保险和买方违约保险</w:t>
      </w:r>
      <w:r>
        <w:rPr>
          <w:sz w:val="28"/>
        </w:rPr>
        <w:t>）</w:t>
      </w:r>
      <w:r>
        <w:rPr>
          <w:spacing w:val="-3"/>
          <w:sz w:val="28"/>
        </w:rPr>
        <w:t>和出口卖方信贷保</w:t>
      </w:r>
      <w:r>
        <w:rPr>
          <w:spacing w:val="-6"/>
          <w:sz w:val="28"/>
        </w:rPr>
        <w:t xml:space="preserve">险的保费等，省财政按照不超过单个项目保费支出的 </w:t>
      </w:r>
      <w:r>
        <w:rPr>
          <w:rFonts w:ascii="Times New Roman" w:eastAsia="Times New Roman"/>
          <w:sz w:val="28"/>
        </w:rPr>
        <w:t>70%</w:t>
      </w:r>
      <w:r>
        <w:rPr>
          <w:spacing w:val="-3"/>
          <w:sz w:val="28"/>
        </w:rPr>
        <w:t>、每个保费缴纳</w:t>
      </w:r>
      <w:r>
        <w:rPr>
          <w:spacing w:val="-16"/>
          <w:sz w:val="28"/>
        </w:rPr>
        <w:t xml:space="preserve">年不超过 </w:t>
      </w:r>
      <w:r>
        <w:rPr>
          <w:rFonts w:ascii="Times New Roman" w:eastAsia="Times New Roman"/>
          <w:sz w:val="28"/>
        </w:rPr>
        <w:t>150</w:t>
      </w:r>
      <w:r>
        <w:rPr>
          <w:rFonts w:ascii="Times New Roman" w:eastAsia="Times New Roman"/>
          <w:spacing w:val="2"/>
          <w:sz w:val="28"/>
        </w:rPr>
        <w:t xml:space="preserve"> </w:t>
      </w:r>
      <w:r>
        <w:rPr>
          <w:spacing w:val="-11"/>
          <w:sz w:val="28"/>
        </w:rPr>
        <w:t xml:space="preserve">万元、累计不超过 </w:t>
      </w:r>
      <w:r>
        <w:rPr>
          <w:rFonts w:ascii="Times New Roman" w:eastAsia="Times New Roman"/>
          <w:sz w:val="28"/>
        </w:rPr>
        <w:t>300</w:t>
      </w:r>
      <w:r>
        <w:rPr>
          <w:rFonts w:ascii="Times New Roman" w:eastAsia="Times New Roman"/>
          <w:spacing w:val="1"/>
          <w:sz w:val="28"/>
        </w:rPr>
        <w:t xml:space="preserve"> </w:t>
      </w:r>
      <w:r>
        <w:rPr>
          <w:spacing w:val="-3"/>
          <w:sz w:val="28"/>
        </w:rPr>
        <w:t>万元的标准给予保费补贴支持。</w:t>
      </w:r>
      <w:r>
        <w:rPr>
          <w:sz w:val="28"/>
        </w:rPr>
        <w:t>（牵</w:t>
      </w:r>
      <w:r>
        <w:rPr>
          <w:spacing w:val="-3"/>
          <w:sz w:val="28"/>
        </w:rPr>
        <w:t>头单位：省住房城乡建设厅、省商务厅、省财政厅</w:t>
      </w:r>
      <w:r>
        <w:rPr>
          <w:sz w:val="28"/>
        </w:rPr>
        <w:t>）</w:t>
      </w:r>
    </w:p>
    <w:p>
      <w:pPr>
        <w:pStyle w:val="8"/>
        <w:numPr>
          <w:ilvl w:val="0"/>
          <w:numId w:val="4"/>
        </w:numPr>
        <w:tabs>
          <w:tab w:val="left" w:pos="1238"/>
        </w:tabs>
        <w:spacing w:before="0" w:after="0" w:line="268" w:lineRule="auto"/>
        <w:ind w:left="115" w:right="366" w:firstLine="561"/>
        <w:jc w:val="left"/>
        <w:rPr>
          <w:sz w:val="28"/>
        </w:rPr>
      </w:pPr>
      <w:r>
        <w:rPr>
          <w:spacing w:val="-8"/>
          <w:sz w:val="28"/>
        </w:rPr>
        <w:t xml:space="preserve">对省级财政年度贡献首次突破 </w:t>
      </w:r>
      <w:r>
        <w:rPr>
          <w:rFonts w:ascii="Times New Roman" w:hAnsi="Times New Roman" w:eastAsia="Times New Roman"/>
          <w:sz w:val="28"/>
        </w:rPr>
        <w:t>1</w:t>
      </w:r>
      <w:r>
        <w:rPr>
          <w:rFonts w:ascii="Times New Roman" w:hAnsi="Times New Roman" w:eastAsia="Times New Roman"/>
          <w:spacing w:val="3"/>
          <w:sz w:val="28"/>
        </w:rPr>
        <w:t xml:space="preserve"> </w:t>
      </w:r>
      <w:r>
        <w:rPr>
          <w:spacing w:val="-3"/>
          <w:sz w:val="28"/>
        </w:rPr>
        <w:t>亿元的产业链重大外资企业，按“一事一议”方式给予重点支持。</w:t>
      </w:r>
      <w:r>
        <w:rPr>
          <w:sz w:val="28"/>
        </w:rPr>
        <w:t>（</w:t>
      </w:r>
      <w:r>
        <w:rPr>
          <w:spacing w:val="-3"/>
          <w:sz w:val="28"/>
        </w:rPr>
        <w:t>牵头单位：省商务厅；责任单位：省</w:t>
      </w:r>
    </w:p>
    <w:p>
      <w:pPr>
        <w:spacing w:after="0" w:line="268" w:lineRule="auto"/>
        <w:jc w:val="left"/>
        <w:rPr>
          <w:sz w:val="28"/>
        </w:rPr>
        <w:sectPr>
          <w:pgSz w:w="11910" w:h="16840"/>
          <w:pgMar w:top="1580" w:right="1160" w:bottom="1160" w:left="1300" w:header="0" w:footer="978" w:gutter="0"/>
          <w:cols w:space="720" w:num="1"/>
        </w:sectPr>
      </w:pPr>
    </w:p>
    <w:p>
      <w:pPr>
        <w:pStyle w:val="3"/>
        <w:spacing w:before="144"/>
        <w:ind w:right="0" w:firstLine="0"/>
      </w:pPr>
      <w:r>
        <w:t>财政厅、省发展改革委、省自然资源厅）</w:t>
      </w:r>
    </w:p>
    <w:p>
      <w:pPr>
        <w:pStyle w:val="3"/>
        <w:spacing w:before="17"/>
        <w:ind w:left="677" w:right="0" w:firstLine="0"/>
        <w:rPr>
          <w:rFonts w:hint="eastAsia" w:ascii="华文细黑" w:eastAsia="华文细黑"/>
        </w:rPr>
      </w:pPr>
      <w:r>
        <w:rPr>
          <w:rFonts w:hint="eastAsia" w:ascii="华文细黑" w:eastAsia="华文细黑"/>
        </w:rPr>
        <w:t>四、加快动能转换</w:t>
      </w:r>
    </w:p>
    <w:p>
      <w:pPr>
        <w:pStyle w:val="8"/>
        <w:numPr>
          <w:ilvl w:val="0"/>
          <w:numId w:val="4"/>
        </w:numPr>
        <w:tabs>
          <w:tab w:val="left" w:pos="1028"/>
        </w:tabs>
        <w:spacing w:before="4" w:after="0" w:line="268" w:lineRule="auto"/>
        <w:ind w:left="115" w:right="294" w:firstLine="561"/>
        <w:jc w:val="both"/>
        <w:rPr>
          <w:sz w:val="28"/>
        </w:rPr>
      </w:pPr>
      <w:r>
        <w:rPr>
          <w:spacing w:val="-3"/>
          <w:sz w:val="28"/>
        </w:rPr>
        <w:t>加大对创投企业支持力度，省级新旧动能转换引导基金对天使基金</w:t>
      </w:r>
      <w:r>
        <w:rPr>
          <w:spacing w:val="-11"/>
          <w:sz w:val="28"/>
        </w:rPr>
        <w:t xml:space="preserve">的出资比例由最高 </w:t>
      </w:r>
      <w:r>
        <w:rPr>
          <w:rFonts w:ascii="Times New Roman" w:eastAsia="Times New Roman"/>
          <w:sz w:val="28"/>
        </w:rPr>
        <w:t>30%</w:t>
      </w:r>
      <w:r>
        <w:rPr>
          <w:spacing w:val="-19"/>
          <w:sz w:val="28"/>
        </w:rPr>
        <w:t xml:space="preserve">提高到 </w:t>
      </w:r>
      <w:r>
        <w:rPr>
          <w:rFonts w:ascii="Times New Roman" w:eastAsia="Times New Roman"/>
          <w:sz w:val="28"/>
        </w:rPr>
        <w:t>40%</w:t>
      </w:r>
      <w:r>
        <w:rPr>
          <w:spacing w:val="-3"/>
          <w:sz w:val="28"/>
        </w:rPr>
        <w:t>，省、市、县级政府共同出资占比由最</w:t>
      </w:r>
      <w:r>
        <w:rPr>
          <w:spacing w:val="-36"/>
          <w:sz w:val="28"/>
        </w:rPr>
        <w:t xml:space="preserve">高 </w:t>
      </w:r>
      <w:r>
        <w:rPr>
          <w:rFonts w:ascii="Times New Roman" w:eastAsia="Times New Roman"/>
          <w:sz w:val="28"/>
        </w:rPr>
        <w:t>50%</w:t>
      </w:r>
      <w:r>
        <w:rPr>
          <w:spacing w:val="-19"/>
          <w:sz w:val="28"/>
        </w:rPr>
        <w:t xml:space="preserve">放宽至 </w:t>
      </w:r>
      <w:r>
        <w:rPr>
          <w:rFonts w:ascii="Times New Roman" w:eastAsia="Times New Roman"/>
          <w:sz w:val="28"/>
        </w:rPr>
        <w:t>60%</w:t>
      </w:r>
      <w:r>
        <w:rPr>
          <w:spacing w:val="-3"/>
          <w:sz w:val="28"/>
        </w:rPr>
        <w:t>；新旧动能转换基金投资于省内种子期、初创期的科技型、创新型项目，引导基金让渡全部收益。（牵头单位：省财政厅；责任单位：省发展改革委、省科技厅、省人力资源社会保障厅</w:t>
      </w:r>
      <w:r>
        <w:rPr>
          <w:sz w:val="28"/>
        </w:rPr>
        <w:t>）</w:t>
      </w:r>
    </w:p>
    <w:p>
      <w:pPr>
        <w:pStyle w:val="8"/>
        <w:numPr>
          <w:ilvl w:val="0"/>
          <w:numId w:val="4"/>
        </w:numPr>
        <w:tabs>
          <w:tab w:val="left" w:pos="1238"/>
        </w:tabs>
        <w:spacing w:before="0" w:after="0" w:line="266" w:lineRule="auto"/>
        <w:ind w:left="115" w:right="253" w:firstLine="561"/>
        <w:jc w:val="left"/>
        <w:rPr>
          <w:sz w:val="28"/>
        </w:rPr>
      </w:pPr>
      <w:r>
        <w:rPr>
          <w:spacing w:val="-35"/>
          <w:sz w:val="28"/>
        </w:rPr>
        <w:t xml:space="preserve">从 </w:t>
      </w:r>
      <w:r>
        <w:rPr>
          <w:rFonts w:ascii="Times New Roman" w:eastAsia="Times New Roman"/>
          <w:sz w:val="28"/>
        </w:rPr>
        <w:t>2021</w:t>
      </w:r>
      <w:r>
        <w:rPr>
          <w:rFonts w:ascii="Times New Roman" w:eastAsia="Times New Roman"/>
          <w:spacing w:val="3"/>
          <w:sz w:val="28"/>
        </w:rPr>
        <w:t xml:space="preserve"> </w:t>
      </w:r>
      <w:r>
        <w:rPr>
          <w:spacing w:val="-5"/>
          <w:sz w:val="28"/>
        </w:rPr>
        <w:t>年起，省自然科学基金设立集成电路专项基金，面向全球</w:t>
      </w:r>
      <w:r>
        <w:rPr>
          <w:spacing w:val="-3"/>
          <w:sz w:val="28"/>
        </w:rPr>
        <w:t>支持优秀科技人才联合我省团队开展基础理论和应用基础研究；在重大科技创新工程中分别设立集成电路、新材料、新能源专项，支持关键核心技</w:t>
      </w:r>
      <w:r>
        <w:rPr>
          <w:spacing w:val="-6"/>
          <w:sz w:val="28"/>
        </w:rPr>
        <w:t xml:space="preserve">术攻关；对于符合国家产业政策的集成电路领域的科技型企业，给予 </w:t>
      </w:r>
      <w:r>
        <w:rPr>
          <w:rFonts w:ascii="Times New Roman" w:eastAsia="Times New Roman"/>
          <w:sz w:val="28"/>
        </w:rPr>
        <w:t xml:space="preserve">10% </w:t>
      </w:r>
      <w:r>
        <w:rPr>
          <w:spacing w:val="-3"/>
          <w:sz w:val="28"/>
        </w:rPr>
        <w:t>的研发投入后补助。</w:t>
      </w:r>
      <w:r>
        <w:rPr>
          <w:sz w:val="28"/>
        </w:rPr>
        <w:t>（</w:t>
      </w:r>
      <w:r>
        <w:rPr>
          <w:spacing w:val="-3"/>
          <w:sz w:val="28"/>
        </w:rPr>
        <w:t>牵头单位：省科技厅；责任单位：省工业和信息化厅、省财政厅</w:t>
      </w:r>
      <w:r>
        <w:rPr>
          <w:sz w:val="28"/>
        </w:rPr>
        <w:t>）</w:t>
      </w:r>
    </w:p>
    <w:p>
      <w:pPr>
        <w:pStyle w:val="8"/>
        <w:numPr>
          <w:ilvl w:val="0"/>
          <w:numId w:val="4"/>
        </w:numPr>
        <w:tabs>
          <w:tab w:val="left" w:pos="1238"/>
        </w:tabs>
        <w:spacing w:before="4" w:after="0" w:line="266" w:lineRule="auto"/>
        <w:ind w:left="115" w:right="366" w:firstLine="561"/>
        <w:jc w:val="both"/>
        <w:rPr>
          <w:sz w:val="28"/>
        </w:rPr>
      </w:pPr>
      <w:r>
        <w:rPr>
          <w:spacing w:val="-3"/>
          <w:sz w:val="28"/>
        </w:rPr>
        <w:t>大力支持省属企业科技创新，对获得国家级和省级自然科学奖、技术发明奖、科技进步奖的，在省属企业经营业绩考核中给予奖励加分。</w:t>
      </w:r>
      <w:r>
        <w:rPr>
          <w:spacing w:val="-6"/>
          <w:sz w:val="28"/>
        </w:rPr>
        <w:t xml:space="preserve">支持企业对获得国家级奖项的科研团队最高按照国家奖励资金的 </w:t>
      </w:r>
      <w:r>
        <w:rPr>
          <w:rFonts w:ascii="Times New Roman" w:eastAsia="Times New Roman"/>
          <w:sz w:val="28"/>
        </w:rPr>
        <w:t>1.5</w:t>
      </w:r>
      <w:r>
        <w:rPr>
          <w:rFonts w:ascii="Times New Roman" w:eastAsia="Times New Roman"/>
          <w:spacing w:val="3"/>
          <w:sz w:val="28"/>
        </w:rPr>
        <w:t xml:space="preserve"> </w:t>
      </w:r>
      <w:r>
        <w:rPr>
          <w:sz w:val="28"/>
        </w:rPr>
        <w:t>倍予</w:t>
      </w:r>
    </w:p>
    <w:p>
      <w:pPr>
        <w:pStyle w:val="3"/>
        <w:spacing w:before="5" w:line="266" w:lineRule="auto"/>
        <w:ind w:firstLine="0"/>
        <w:jc w:val="both"/>
      </w:pPr>
      <w:r>
        <w:rPr>
          <w:spacing w:val="-6"/>
        </w:rPr>
        <w:t xml:space="preserve">以奖励，对获得省级奖项的科研团队最高按照省级奖励资金的 </w:t>
      </w:r>
      <w:r>
        <w:rPr>
          <w:rFonts w:ascii="Times New Roman" w:eastAsia="Times New Roman"/>
        </w:rPr>
        <w:t xml:space="preserve">1 </w:t>
      </w:r>
      <w:r>
        <w:rPr>
          <w:spacing w:val="-2"/>
        </w:rPr>
        <w:t>倍予以奖</w:t>
      </w:r>
      <w:r>
        <w:rPr>
          <w:spacing w:val="-3"/>
        </w:rPr>
        <w:t>励，奖金列入工资总额，不纳入单位工资总额基数。</w:t>
      </w:r>
      <w:r>
        <w:t>（</w:t>
      </w:r>
      <w:r>
        <w:rPr>
          <w:spacing w:val="-3"/>
        </w:rPr>
        <w:t>牵头单位：省国资委、省人力资源和社会保障厅</w:t>
      </w:r>
      <w:r>
        <w:t>）</w:t>
      </w:r>
    </w:p>
    <w:p>
      <w:pPr>
        <w:pStyle w:val="8"/>
        <w:numPr>
          <w:ilvl w:val="0"/>
          <w:numId w:val="4"/>
        </w:numPr>
        <w:tabs>
          <w:tab w:val="left" w:pos="1238"/>
        </w:tabs>
        <w:spacing w:before="5" w:after="0" w:line="266" w:lineRule="auto"/>
        <w:ind w:left="115" w:right="366" w:firstLine="561"/>
        <w:jc w:val="right"/>
        <w:rPr>
          <w:sz w:val="28"/>
        </w:rPr>
      </w:pPr>
      <w:r>
        <w:rPr>
          <w:spacing w:val="-3"/>
          <w:sz w:val="28"/>
        </w:rPr>
        <w:t>支持省属企业实施重大科技攻关，对承担国家和省重大科技攻关项目的省属企业，其关键核心技术攻关团队的工资总额单列，不受本单位工资总额基数限制。</w:t>
      </w:r>
      <w:r>
        <w:rPr>
          <w:spacing w:val="-1"/>
          <w:sz w:val="28"/>
        </w:rPr>
        <w:t>（</w:t>
      </w:r>
      <w:r>
        <w:rPr>
          <w:spacing w:val="-3"/>
          <w:sz w:val="28"/>
        </w:rPr>
        <w:t>牵头单位：省国资委、省人力资源和社会保障厅</w:t>
      </w:r>
      <w:r>
        <w:rPr>
          <w:sz w:val="28"/>
        </w:rPr>
        <w:t xml:space="preserve">） </w:t>
      </w:r>
      <w:r>
        <w:rPr>
          <w:rFonts w:ascii="Times New Roman" w:eastAsia="Times New Roman"/>
          <w:spacing w:val="-2"/>
          <w:sz w:val="28"/>
        </w:rPr>
        <w:t>35</w:t>
      </w:r>
      <w:r>
        <w:rPr>
          <w:spacing w:val="-3"/>
          <w:sz w:val="28"/>
        </w:rPr>
        <w:t>．对招商引资、招才引智考核排名前两位的省属企业，省财政对省</w:t>
      </w:r>
    </w:p>
    <w:p>
      <w:pPr>
        <w:pStyle w:val="3"/>
        <w:spacing w:before="6" w:line="268" w:lineRule="auto"/>
        <w:ind w:firstLine="0"/>
        <w:jc w:val="both"/>
      </w:pPr>
      <w:r>
        <w:rPr>
          <w:spacing w:val="-7"/>
        </w:rPr>
        <w:t xml:space="preserve">属企业“双招双引”作出突出贡献人员给予 </w:t>
      </w:r>
      <w:r>
        <w:rPr>
          <w:rFonts w:ascii="Times New Roman" w:hAnsi="Times New Roman" w:eastAsia="Times New Roman"/>
        </w:rPr>
        <w:t xml:space="preserve">100 </w:t>
      </w:r>
      <w:r>
        <w:rPr>
          <w:spacing w:val="-3"/>
        </w:rPr>
        <w:t>万元奖励。</w:t>
      </w:r>
      <w:r>
        <w:t>（</w:t>
      </w:r>
      <w:r>
        <w:rPr>
          <w:spacing w:val="-2"/>
        </w:rPr>
        <w:t xml:space="preserve">牵头单位： </w:t>
      </w:r>
      <w:r>
        <w:rPr>
          <w:spacing w:val="-3"/>
        </w:rPr>
        <w:t>省国资委、省财政厅</w:t>
      </w:r>
      <w:r>
        <w:t>）</w:t>
      </w:r>
    </w:p>
    <w:p>
      <w:pPr>
        <w:pStyle w:val="8"/>
        <w:numPr>
          <w:ilvl w:val="0"/>
          <w:numId w:val="5"/>
        </w:numPr>
        <w:tabs>
          <w:tab w:val="left" w:pos="1238"/>
        </w:tabs>
        <w:spacing w:before="0" w:after="0" w:line="266" w:lineRule="auto"/>
        <w:ind w:left="115" w:right="366" w:firstLine="561"/>
        <w:jc w:val="both"/>
        <w:rPr>
          <w:sz w:val="28"/>
        </w:rPr>
      </w:pPr>
      <w:r>
        <w:rPr>
          <w:spacing w:val="-6"/>
          <w:sz w:val="28"/>
        </w:rPr>
        <w:t xml:space="preserve">实施科技型中小企业创新能力提升工程，支持 </w:t>
      </w:r>
      <w:r>
        <w:rPr>
          <w:rFonts w:ascii="Times New Roman" w:hAnsi="Times New Roman" w:eastAsia="Times New Roman"/>
          <w:sz w:val="28"/>
        </w:rPr>
        <w:t>500</w:t>
      </w:r>
      <w:r>
        <w:rPr>
          <w:rFonts w:ascii="Times New Roman" w:hAnsi="Times New Roman" w:eastAsia="Times New Roman"/>
          <w:spacing w:val="4"/>
          <w:sz w:val="28"/>
        </w:rPr>
        <w:t xml:space="preserve"> </w:t>
      </w:r>
      <w:r>
        <w:rPr>
          <w:spacing w:val="-3"/>
          <w:sz w:val="28"/>
        </w:rPr>
        <w:t>家科技型中小企业加速科技成果转化落地，建立科技型企业“白名单”制度和科技增信评价体系，将单户企业纳入风险补偿的科技成果转化贷款年度余额提高到</w:t>
      </w:r>
      <w:r>
        <w:rPr>
          <w:rFonts w:ascii="Times New Roman" w:hAnsi="Times New Roman" w:eastAsia="Times New Roman"/>
          <w:spacing w:val="-3"/>
          <w:sz w:val="28"/>
        </w:rPr>
        <w:t>2000</w:t>
      </w:r>
      <w:r>
        <w:rPr>
          <w:rFonts w:ascii="Times New Roman" w:hAnsi="Times New Roman" w:eastAsia="Times New Roman"/>
          <w:spacing w:val="3"/>
          <w:sz w:val="28"/>
        </w:rPr>
        <w:t xml:space="preserve"> </w:t>
      </w:r>
      <w:r>
        <w:rPr>
          <w:spacing w:val="-2"/>
          <w:sz w:val="28"/>
        </w:rPr>
        <w:t>万元。</w:t>
      </w:r>
      <w:r>
        <w:rPr>
          <w:sz w:val="28"/>
        </w:rPr>
        <w:t>（</w:t>
      </w:r>
      <w:r>
        <w:rPr>
          <w:spacing w:val="-3"/>
          <w:sz w:val="28"/>
        </w:rPr>
        <w:t>牵头单位：省科技厅、省地方金融监管局、省财政厅</w:t>
      </w:r>
      <w:r>
        <w:rPr>
          <w:sz w:val="28"/>
        </w:rPr>
        <w:t>）</w:t>
      </w:r>
    </w:p>
    <w:p>
      <w:pPr>
        <w:pStyle w:val="8"/>
        <w:numPr>
          <w:ilvl w:val="0"/>
          <w:numId w:val="5"/>
        </w:numPr>
        <w:tabs>
          <w:tab w:val="left" w:pos="1238"/>
        </w:tabs>
        <w:spacing w:before="3" w:after="0" w:line="266" w:lineRule="auto"/>
        <w:ind w:left="115" w:right="255" w:firstLine="561"/>
        <w:jc w:val="left"/>
        <w:rPr>
          <w:sz w:val="28"/>
        </w:rPr>
      </w:pPr>
      <w:r>
        <w:rPr>
          <w:spacing w:val="-3"/>
          <w:sz w:val="28"/>
        </w:rPr>
        <w:t xml:space="preserve">实施高价值专利培育计划，对省级认定的高价值专利培育中心， </w:t>
      </w:r>
      <w:r>
        <w:rPr>
          <w:spacing w:val="-10"/>
          <w:sz w:val="28"/>
        </w:rPr>
        <w:t xml:space="preserve">省财政给予每家最高 </w:t>
      </w:r>
      <w:r>
        <w:rPr>
          <w:rFonts w:ascii="Times New Roman" w:eastAsia="Times New Roman"/>
          <w:sz w:val="28"/>
        </w:rPr>
        <w:t>30</w:t>
      </w:r>
      <w:r>
        <w:rPr>
          <w:rFonts w:ascii="Times New Roman" w:eastAsia="Times New Roman"/>
          <w:spacing w:val="2"/>
          <w:sz w:val="28"/>
        </w:rPr>
        <w:t xml:space="preserve"> </w:t>
      </w:r>
      <w:r>
        <w:rPr>
          <w:spacing w:val="-7"/>
          <w:sz w:val="28"/>
        </w:rPr>
        <w:t>万元经费支持。支持第三方专业机构开展拟上市企</w:t>
      </w:r>
      <w:r>
        <w:rPr>
          <w:spacing w:val="-3"/>
          <w:sz w:val="28"/>
        </w:rPr>
        <w:t>业知识产权风险防控，对拟上市企业进行知识产权保护工作辅导。</w:t>
      </w:r>
      <w:r>
        <w:rPr>
          <w:sz w:val="28"/>
        </w:rPr>
        <w:t>（牵头</w:t>
      </w:r>
      <w:r>
        <w:rPr>
          <w:spacing w:val="-3"/>
          <w:sz w:val="28"/>
        </w:rPr>
        <w:t>单位：省市场监管局、省财政厅</w:t>
      </w:r>
      <w:r>
        <w:rPr>
          <w:sz w:val="28"/>
        </w:rPr>
        <w:t>）</w:t>
      </w:r>
    </w:p>
    <w:p>
      <w:pPr>
        <w:pStyle w:val="8"/>
        <w:numPr>
          <w:ilvl w:val="0"/>
          <w:numId w:val="5"/>
        </w:numPr>
        <w:tabs>
          <w:tab w:val="left" w:pos="1238"/>
        </w:tabs>
        <w:spacing w:before="8" w:after="0" w:line="240" w:lineRule="auto"/>
        <w:ind w:left="1238" w:right="0" w:hanging="561"/>
        <w:jc w:val="left"/>
        <w:rPr>
          <w:sz w:val="28"/>
        </w:rPr>
      </w:pPr>
      <w:r>
        <w:rPr>
          <w:spacing w:val="-3"/>
          <w:sz w:val="28"/>
        </w:rPr>
        <w:t>加快推动技术经纪服务行业发展，大力培育市场化技术经理人队</w:t>
      </w:r>
    </w:p>
    <w:p>
      <w:pPr>
        <w:spacing w:after="0" w:line="240" w:lineRule="auto"/>
        <w:jc w:val="left"/>
        <w:rPr>
          <w:sz w:val="28"/>
        </w:rPr>
        <w:sectPr>
          <w:pgSz w:w="11910" w:h="16840"/>
          <w:pgMar w:top="1580" w:right="1160" w:bottom="1160" w:left="1300" w:header="0" w:footer="978" w:gutter="0"/>
          <w:cols w:space="720" w:num="1"/>
        </w:sectPr>
      </w:pPr>
    </w:p>
    <w:p>
      <w:pPr>
        <w:pStyle w:val="3"/>
        <w:spacing w:before="144"/>
        <w:ind w:right="0" w:firstLine="0"/>
      </w:pPr>
      <w:r>
        <w:t>伍，对考核评价优秀、良好的省级以上技术转移人才培养基地，分别给予</w:t>
      </w:r>
    </w:p>
    <w:p>
      <w:pPr>
        <w:pStyle w:val="3"/>
        <w:spacing w:before="42"/>
        <w:ind w:right="0" w:firstLine="0"/>
      </w:pPr>
      <w:r>
        <w:rPr>
          <w:rFonts w:ascii="Times New Roman" w:eastAsia="Times New Roman"/>
        </w:rPr>
        <w:t xml:space="preserve">50 </w:t>
      </w:r>
      <w:r>
        <w:t>万元、</w:t>
      </w:r>
      <w:r>
        <w:rPr>
          <w:rFonts w:ascii="Times New Roman" w:eastAsia="Times New Roman"/>
        </w:rPr>
        <w:t xml:space="preserve">30 </w:t>
      </w:r>
      <w:r>
        <w:t>万元经费支持。（牵头单位：省科技厅、省财政厅）</w:t>
      </w:r>
    </w:p>
    <w:p>
      <w:pPr>
        <w:pStyle w:val="8"/>
        <w:numPr>
          <w:ilvl w:val="0"/>
          <w:numId w:val="5"/>
        </w:numPr>
        <w:tabs>
          <w:tab w:val="left" w:pos="1238"/>
        </w:tabs>
        <w:spacing w:before="39" w:after="0" w:line="266" w:lineRule="auto"/>
        <w:ind w:left="115" w:right="114" w:firstLine="561"/>
        <w:jc w:val="left"/>
        <w:rPr>
          <w:sz w:val="28"/>
        </w:rPr>
      </w:pPr>
      <w:r>
        <w:rPr>
          <w:spacing w:val="-3"/>
          <w:sz w:val="28"/>
        </w:rPr>
        <w:t xml:space="preserve">加快实施省级工业互联网创新发展工程，支持我省国家级跨行业 跨领域工业互联网平台，与纺织、机械、化工、食品等重点行业共建专业 性子平台，面向全产业链供应链建设大宗原材料、装备、电子信息、消费 </w:t>
      </w:r>
      <w:r>
        <w:rPr>
          <w:spacing w:val="-5"/>
          <w:sz w:val="28"/>
        </w:rPr>
        <w:t>品等重点工业行业电子商务平台，对建设成效显著、电子商务交易额领先、</w:t>
      </w:r>
      <w:r>
        <w:rPr>
          <w:spacing w:val="-3"/>
          <w:sz w:val="28"/>
        </w:rPr>
        <w:t>服务中小企业数量居前的平台，纳入工业互联网财政支持政策范围。</w:t>
      </w:r>
      <w:r>
        <w:rPr>
          <w:sz w:val="28"/>
        </w:rPr>
        <w:t xml:space="preserve">（牵 </w:t>
      </w:r>
      <w:r>
        <w:rPr>
          <w:spacing w:val="-3"/>
          <w:sz w:val="28"/>
        </w:rPr>
        <w:t>头单位：省工业和信息化厅；责任单位：省发展改革委、省科技厅、省财 政厅</w:t>
      </w:r>
      <w:r>
        <w:rPr>
          <w:sz w:val="28"/>
        </w:rPr>
        <w:t>）</w:t>
      </w:r>
    </w:p>
    <w:p>
      <w:pPr>
        <w:pStyle w:val="8"/>
        <w:numPr>
          <w:ilvl w:val="0"/>
          <w:numId w:val="5"/>
        </w:numPr>
        <w:tabs>
          <w:tab w:val="left" w:pos="561"/>
        </w:tabs>
        <w:spacing w:before="14" w:after="0" w:line="240" w:lineRule="auto"/>
        <w:ind w:left="1238" w:right="253" w:hanging="1238"/>
        <w:jc w:val="right"/>
        <w:rPr>
          <w:sz w:val="28"/>
        </w:rPr>
      </w:pPr>
      <w:r>
        <w:rPr>
          <w:spacing w:val="-34"/>
          <w:sz w:val="28"/>
        </w:rPr>
        <w:t xml:space="preserve">自 </w:t>
      </w:r>
      <w:r>
        <w:rPr>
          <w:rFonts w:ascii="Times New Roman" w:eastAsia="Times New Roman"/>
          <w:sz w:val="28"/>
        </w:rPr>
        <w:t>2021</w:t>
      </w:r>
      <w:r>
        <w:rPr>
          <w:rFonts w:ascii="Times New Roman" w:eastAsia="Times New Roman"/>
          <w:spacing w:val="3"/>
          <w:sz w:val="28"/>
        </w:rPr>
        <w:t xml:space="preserve"> </w:t>
      </w:r>
      <w:r>
        <w:rPr>
          <w:spacing w:val="-16"/>
          <w:sz w:val="28"/>
        </w:rPr>
        <w:t>年起，对在省内注册的建筑企业首次获得施工综合资质</w:t>
      </w:r>
      <w:r>
        <w:rPr>
          <w:sz w:val="28"/>
        </w:rPr>
        <w:t>（特</w:t>
      </w:r>
    </w:p>
    <w:p>
      <w:pPr>
        <w:pStyle w:val="3"/>
        <w:spacing w:before="42"/>
        <w:ind w:left="0" w:right="255" w:firstLine="0"/>
        <w:jc w:val="right"/>
      </w:pPr>
      <w:r>
        <w:rPr>
          <w:spacing w:val="-2"/>
        </w:rPr>
        <w:t>级资质</w:t>
      </w:r>
      <w:r>
        <w:rPr>
          <w:spacing w:val="-8"/>
        </w:rPr>
        <w:t>）</w:t>
      </w:r>
      <w:r>
        <w:rPr>
          <w:spacing w:val="-10"/>
        </w:rPr>
        <w:t xml:space="preserve">的，给予一次性奖励 </w:t>
      </w:r>
      <w:r>
        <w:rPr>
          <w:rFonts w:ascii="Times New Roman" w:eastAsia="Times New Roman"/>
        </w:rPr>
        <w:t>2000</w:t>
      </w:r>
      <w:r>
        <w:rPr>
          <w:rFonts w:ascii="Times New Roman" w:eastAsia="Times New Roman"/>
          <w:spacing w:val="8"/>
        </w:rPr>
        <w:t xml:space="preserve"> </w:t>
      </w:r>
      <w:r>
        <w:rPr>
          <w:spacing w:val="-4"/>
        </w:rPr>
        <w:t>万元，省级财政、企业所在市财政分别</w:t>
      </w:r>
    </w:p>
    <w:p>
      <w:pPr>
        <w:pStyle w:val="3"/>
        <w:spacing w:before="39" w:line="268" w:lineRule="auto"/>
        <w:ind w:right="114" w:firstLine="0"/>
      </w:pPr>
      <w:r>
        <w:rPr>
          <w:spacing w:val="-23"/>
        </w:rPr>
        <w:t xml:space="preserve">负担 </w:t>
      </w:r>
      <w:r>
        <w:rPr>
          <w:rFonts w:ascii="Times New Roman" w:eastAsia="Times New Roman"/>
        </w:rPr>
        <w:t xml:space="preserve">1000 </w:t>
      </w:r>
      <w:r>
        <w:rPr>
          <w:spacing w:val="-14"/>
        </w:rPr>
        <w:t>万元，激励建筑企业做大做强。</w:t>
      </w:r>
      <w:r>
        <w:t>（</w:t>
      </w:r>
      <w:r>
        <w:rPr>
          <w:spacing w:val="-8"/>
        </w:rPr>
        <w:t>牵头单位：省住房城乡建设厅、</w:t>
      </w:r>
      <w:r>
        <w:rPr>
          <w:spacing w:val="-3"/>
        </w:rPr>
        <w:t>省财政厅</w:t>
      </w:r>
      <w:r>
        <w:t>）</w:t>
      </w:r>
    </w:p>
    <w:p>
      <w:pPr>
        <w:pStyle w:val="8"/>
        <w:numPr>
          <w:ilvl w:val="0"/>
          <w:numId w:val="5"/>
        </w:numPr>
        <w:tabs>
          <w:tab w:val="left" w:pos="1238"/>
        </w:tabs>
        <w:spacing w:before="0" w:after="0" w:line="266" w:lineRule="auto"/>
        <w:ind w:left="115" w:right="253" w:firstLine="561"/>
        <w:jc w:val="left"/>
        <w:rPr>
          <w:sz w:val="28"/>
        </w:rPr>
      </w:pPr>
      <w:r>
        <w:rPr>
          <w:spacing w:val="-9"/>
          <w:sz w:val="28"/>
        </w:rPr>
        <w:t xml:space="preserve">支持发展建筑业总部经济，自 </w:t>
      </w:r>
      <w:r>
        <w:rPr>
          <w:rFonts w:ascii="Times New Roman" w:eastAsia="Times New Roman"/>
          <w:sz w:val="28"/>
        </w:rPr>
        <w:t>2021</w:t>
      </w:r>
      <w:r>
        <w:rPr>
          <w:rFonts w:ascii="Times New Roman" w:eastAsia="Times New Roman"/>
          <w:spacing w:val="7"/>
          <w:sz w:val="28"/>
        </w:rPr>
        <w:t xml:space="preserve"> </w:t>
      </w:r>
      <w:r>
        <w:rPr>
          <w:spacing w:val="-4"/>
          <w:sz w:val="28"/>
        </w:rPr>
        <w:t>年起，对施工综合资质</w:t>
      </w:r>
      <w:r>
        <w:rPr>
          <w:sz w:val="28"/>
        </w:rPr>
        <w:t>（特级</w:t>
      </w:r>
      <w:r>
        <w:rPr>
          <w:spacing w:val="-2"/>
          <w:sz w:val="28"/>
        </w:rPr>
        <w:t>资质</w:t>
      </w:r>
      <w:r>
        <w:rPr>
          <w:sz w:val="28"/>
        </w:rPr>
        <w:t>）</w:t>
      </w:r>
      <w:r>
        <w:rPr>
          <w:spacing w:val="-3"/>
          <w:sz w:val="28"/>
        </w:rPr>
        <w:t>企业迁入我省或将施工综合资质</w:t>
      </w:r>
      <w:r>
        <w:rPr>
          <w:sz w:val="28"/>
        </w:rPr>
        <w:t>（</w:t>
      </w:r>
      <w:r>
        <w:rPr>
          <w:spacing w:val="-2"/>
          <w:sz w:val="28"/>
        </w:rPr>
        <w:t>特级资质</w:t>
      </w:r>
      <w:r>
        <w:rPr>
          <w:spacing w:val="-3"/>
          <w:sz w:val="28"/>
        </w:rPr>
        <w:t>）</w:t>
      </w:r>
      <w:r>
        <w:rPr>
          <w:spacing w:val="-2"/>
          <w:sz w:val="28"/>
        </w:rPr>
        <w:t>分离到我省设立独立</w:t>
      </w:r>
      <w:r>
        <w:rPr>
          <w:spacing w:val="-9"/>
          <w:sz w:val="28"/>
        </w:rPr>
        <w:t xml:space="preserve">法人资格公司的，给予一次性奖励 </w:t>
      </w:r>
      <w:r>
        <w:rPr>
          <w:rFonts w:ascii="Times New Roman" w:eastAsia="Times New Roman"/>
          <w:sz w:val="28"/>
        </w:rPr>
        <w:t>2000</w:t>
      </w:r>
      <w:r>
        <w:rPr>
          <w:rFonts w:ascii="Times New Roman" w:eastAsia="Times New Roman"/>
          <w:spacing w:val="7"/>
          <w:sz w:val="28"/>
        </w:rPr>
        <w:t xml:space="preserve"> </w:t>
      </w:r>
      <w:r>
        <w:rPr>
          <w:spacing w:val="-5"/>
          <w:sz w:val="28"/>
        </w:rPr>
        <w:t>万元，省级财政、企业所在市财政</w:t>
      </w:r>
    </w:p>
    <w:p>
      <w:pPr>
        <w:pStyle w:val="3"/>
        <w:spacing w:before="4" w:line="266" w:lineRule="auto"/>
        <w:ind w:right="253" w:firstLine="0"/>
      </w:pPr>
      <w:r>
        <w:rPr>
          <w:spacing w:val="-16"/>
        </w:rPr>
        <w:t xml:space="preserve">分别负担 </w:t>
      </w:r>
      <w:r>
        <w:rPr>
          <w:rFonts w:ascii="Times New Roman" w:eastAsia="Times New Roman"/>
        </w:rPr>
        <w:t xml:space="preserve">1000 </w:t>
      </w:r>
      <w:r>
        <w:rPr>
          <w:spacing w:val="-11"/>
        </w:rPr>
        <w:t xml:space="preserve">万元。自迁入之日起 </w:t>
      </w:r>
      <w:r>
        <w:rPr>
          <w:rFonts w:ascii="Times New Roman" w:eastAsia="Times New Roman"/>
        </w:rPr>
        <w:t xml:space="preserve">3 </w:t>
      </w:r>
      <w:r>
        <w:rPr>
          <w:spacing w:val="-5"/>
        </w:rPr>
        <w:t>年内，对企业产生的新增财力，由企</w:t>
      </w:r>
      <w:r>
        <w:rPr>
          <w:spacing w:val="-3"/>
        </w:rPr>
        <w:t>业所在地给予适当奖励。</w:t>
      </w:r>
      <w:r>
        <w:t>（</w:t>
      </w:r>
      <w:r>
        <w:rPr>
          <w:spacing w:val="-3"/>
        </w:rPr>
        <w:t>牵头单位：省住房城乡建设厅、省财政厅</w:t>
      </w:r>
      <w:r>
        <w:t>）</w:t>
      </w:r>
    </w:p>
    <w:p>
      <w:pPr>
        <w:pStyle w:val="3"/>
        <w:spacing w:line="399" w:lineRule="exact"/>
        <w:ind w:left="677" w:right="0" w:firstLine="0"/>
        <w:rPr>
          <w:rFonts w:hint="eastAsia" w:ascii="华文细黑" w:eastAsia="华文细黑"/>
        </w:rPr>
      </w:pPr>
      <w:r>
        <w:rPr>
          <w:rFonts w:hint="eastAsia" w:ascii="华文细黑" w:eastAsia="华文细黑"/>
        </w:rPr>
        <w:t>五、强化要素保障</w:t>
      </w:r>
    </w:p>
    <w:p>
      <w:pPr>
        <w:pStyle w:val="8"/>
        <w:numPr>
          <w:ilvl w:val="0"/>
          <w:numId w:val="5"/>
        </w:numPr>
        <w:tabs>
          <w:tab w:val="left" w:pos="1238"/>
        </w:tabs>
        <w:spacing w:before="4" w:after="0" w:line="266" w:lineRule="auto"/>
        <w:ind w:left="115" w:right="204" w:firstLine="561"/>
        <w:jc w:val="both"/>
        <w:rPr>
          <w:sz w:val="28"/>
        </w:rPr>
      </w:pPr>
      <w:r>
        <w:rPr>
          <w:spacing w:val="-3"/>
          <w:sz w:val="28"/>
        </w:rPr>
        <w:t>国土空间规划编制过渡期内，对省重大项目、新旧动能转换优选项目、“双招双引”重点签约项目、补短板强弱项重点项目，以及基础设施、保障性住房、教育、公共卫生、乡村振兴和脱贫攻坚等民生工程的用地，做好“两规”</w:t>
      </w:r>
      <w:r>
        <w:rPr>
          <w:sz w:val="28"/>
        </w:rPr>
        <w:t>（</w:t>
      </w:r>
      <w:r>
        <w:rPr>
          <w:spacing w:val="-3"/>
          <w:sz w:val="28"/>
        </w:rPr>
        <w:t>现行土地利用总体规划和城市</w:t>
      </w:r>
      <w:r>
        <w:rPr>
          <w:sz w:val="28"/>
        </w:rPr>
        <w:t>（镇</w:t>
      </w:r>
      <w:r>
        <w:rPr>
          <w:spacing w:val="-3"/>
          <w:sz w:val="28"/>
        </w:rPr>
        <w:t>）</w:t>
      </w:r>
      <w:r>
        <w:rPr>
          <w:spacing w:val="-1"/>
          <w:sz w:val="28"/>
        </w:rPr>
        <w:t>总体规划</w:t>
      </w:r>
      <w:r>
        <w:rPr>
          <w:sz w:val="28"/>
        </w:rPr>
        <w:t>）</w:t>
      </w:r>
      <w:r>
        <w:rPr>
          <w:spacing w:val="-2"/>
          <w:sz w:val="28"/>
        </w:rPr>
        <w:t>一致</w:t>
      </w:r>
      <w:r>
        <w:rPr>
          <w:spacing w:val="-3"/>
          <w:sz w:val="28"/>
        </w:rPr>
        <w:t>性处理，全力保障省重点项目落地；对建设用地规模不足的市、县</w:t>
      </w:r>
      <w:r>
        <w:rPr>
          <w:sz w:val="28"/>
        </w:rPr>
        <w:t>（市、区）</w:t>
      </w:r>
      <w:r>
        <w:rPr>
          <w:spacing w:val="-15"/>
          <w:sz w:val="28"/>
        </w:rPr>
        <w:t xml:space="preserve">，可按照 </w:t>
      </w:r>
      <w:r>
        <w:rPr>
          <w:rFonts w:ascii="Times New Roman" w:hAnsi="Times New Roman" w:eastAsia="Times New Roman"/>
          <w:sz w:val="28"/>
        </w:rPr>
        <w:t>2019</w:t>
      </w:r>
      <w:r>
        <w:rPr>
          <w:rFonts w:ascii="Times New Roman" w:hAnsi="Times New Roman" w:eastAsia="Times New Roman"/>
          <w:spacing w:val="1"/>
          <w:sz w:val="28"/>
        </w:rPr>
        <w:t xml:space="preserve"> </w:t>
      </w:r>
      <w:r>
        <w:rPr>
          <w:spacing w:val="-8"/>
          <w:sz w:val="28"/>
        </w:rPr>
        <w:t xml:space="preserve">年省下达新增建设用地计划的 </w:t>
      </w:r>
      <w:r>
        <w:rPr>
          <w:rFonts w:ascii="Times New Roman" w:hAnsi="Times New Roman" w:eastAsia="Times New Roman"/>
          <w:sz w:val="28"/>
        </w:rPr>
        <w:t>50%</w:t>
      </w:r>
      <w:r>
        <w:rPr>
          <w:spacing w:val="-3"/>
          <w:sz w:val="28"/>
        </w:rPr>
        <w:t>预支新增用地规模。</w:t>
      </w:r>
    </w:p>
    <w:p>
      <w:pPr>
        <w:pStyle w:val="3"/>
        <w:spacing w:before="11" w:line="266" w:lineRule="auto"/>
        <w:ind w:right="114" w:firstLine="0"/>
      </w:pPr>
      <w:r>
        <w:t>（</w:t>
      </w:r>
      <w:r>
        <w:rPr>
          <w:spacing w:val="-3"/>
        </w:rPr>
        <w:t xml:space="preserve">牵头单位：省自然资源厅；责任单位：省发展改革委、省交通运输厅、 </w:t>
      </w:r>
      <w:r>
        <w:rPr>
          <w:spacing w:val="-7"/>
        </w:rPr>
        <w:t>省住房城乡建设厅、省农业农村厅、省水利厅、省教育厅、省卫生健康委</w:t>
      </w:r>
      <w:r>
        <w:t>）</w:t>
      </w:r>
    </w:p>
    <w:p>
      <w:pPr>
        <w:pStyle w:val="8"/>
        <w:numPr>
          <w:ilvl w:val="0"/>
          <w:numId w:val="5"/>
        </w:numPr>
        <w:tabs>
          <w:tab w:val="left" w:pos="1238"/>
        </w:tabs>
        <w:spacing w:before="2" w:after="0" w:line="268" w:lineRule="auto"/>
        <w:ind w:left="115" w:right="253" w:firstLine="561"/>
        <w:jc w:val="left"/>
        <w:rPr>
          <w:sz w:val="28"/>
        </w:rPr>
      </w:pPr>
      <w:r>
        <w:rPr>
          <w:spacing w:val="-7"/>
          <w:sz w:val="28"/>
        </w:rPr>
        <w:t xml:space="preserve">实施重大项目新增指标提前预支政策，在国家明确 </w:t>
      </w:r>
      <w:r>
        <w:rPr>
          <w:rFonts w:ascii="Times New Roman" w:eastAsia="Times New Roman"/>
          <w:sz w:val="28"/>
        </w:rPr>
        <w:t>2021</w:t>
      </w:r>
      <w:r>
        <w:rPr>
          <w:rFonts w:ascii="Times New Roman" w:eastAsia="Times New Roman"/>
          <w:spacing w:val="6"/>
          <w:sz w:val="28"/>
        </w:rPr>
        <w:t xml:space="preserve"> </w:t>
      </w:r>
      <w:r>
        <w:rPr>
          <w:spacing w:val="-2"/>
          <w:sz w:val="28"/>
        </w:rPr>
        <w:t>年新增土</w:t>
      </w:r>
      <w:r>
        <w:rPr>
          <w:spacing w:val="-3"/>
          <w:sz w:val="28"/>
        </w:rPr>
        <w:t>地计划指标管理方式前，对符合拿地条件、急需开工的项目允许预支用地</w:t>
      </w:r>
      <w:r>
        <w:rPr>
          <w:spacing w:val="-11"/>
          <w:sz w:val="28"/>
        </w:rPr>
        <w:t xml:space="preserve">指标，预支数量控制在 </w:t>
      </w:r>
      <w:r>
        <w:rPr>
          <w:rFonts w:ascii="Times New Roman" w:eastAsia="Times New Roman"/>
          <w:sz w:val="28"/>
        </w:rPr>
        <w:t>2020</w:t>
      </w:r>
      <w:r>
        <w:rPr>
          <w:rFonts w:ascii="Times New Roman" w:eastAsia="Times New Roman"/>
          <w:spacing w:val="2"/>
          <w:sz w:val="28"/>
        </w:rPr>
        <w:t xml:space="preserve"> </w:t>
      </w:r>
      <w:r>
        <w:rPr>
          <w:spacing w:val="-11"/>
          <w:sz w:val="28"/>
        </w:rPr>
        <w:t xml:space="preserve">年各市核补指标的 </w:t>
      </w:r>
      <w:r>
        <w:rPr>
          <w:rFonts w:ascii="Times New Roman" w:eastAsia="Times New Roman"/>
          <w:sz w:val="28"/>
        </w:rPr>
        <w:t>50%</w:t>
      </w:r>
      <w:r>
        <w:rPr>
          <w:spacing w:val="-11"/>
          <w:sz w:val="28"/>
        </w:rPr>
        <w:t>以内。</w:t>
      </w:r>
      <w:r>
        <w:rPr>
          <w:spacing w:val="-3"/>
          <w:sz w:val="28"/>
        </w:rPr>
        <w:t>（</w:t>
      </w:r>
      <w:r>
        <w:rPr>
          <w:spacing w:val="-5"/>
          <w:sz w:val="28"/>
        </w:rPr>
        <w:t>牵头单位：省</w:t>
      </w:r>
      <w:r>
        <w:rPr>
          <w:spacing w:val="-3"/>
          <w:sz w:val="28"/>
        </w:rPr>
        <w:t>自然资源厅；责任单位：省发展改革委、省交通运输厅、省水利厅、省能源局</w:t>
      </w:r>
      <w:r>
        <w:rPr>
          <w:sz w:val="28"/>
        </w:rPr>
        <w:t>）</w:t>
      </w:r>
    </w:p>
    <w:p>
      <w:pPr>
        <w:pStyle w:val="8"/>
        <w:numPr>
          <w:ilvl w:val="0"/>
          <w:numId w:val="5"/>
        </w:numPr>
        <w:tabs>
          <w:tab w:val="left" w:pos="1238"/>
        </w:tabs>
        <w:spacing w:before="0" w:after="0" w:line="268" w:lineRule="auto"/>
        <w:ind w:left="115" w:right="342" w:firstLine="561"/>
        <w:jc w:val="left"/>
        <w:rPr>
          <w:sz w:val="28"/>
        </w:rPr>
      </w:pPr>
      <w:r>
        <w:rPr>
          <w:spacing w:val="-3"/>
          <w:sz w:val="28"/>
        </w:rPr>
        <w:t>实施批而未供和闲置土地处置任务动态管控政策，下达比例在完</w:t>
      </w:r>
      <w:r>
        <w:rPr>
          <w:spacing w:val="-8"/>
          <w:sz w:val="28"/>
        </w:rPr>
        <w:t xml:space="preserve">成国家下达任务量基础上再增加 </w:t>
      </w:r>
      <w:r>
        <w:rPr>
          <w:rFonts w:ascii="Times New Roman" w:eastAsia="Times New Roman"/>
          <w:sz w:val="28"/>
        </w:rPr>
        <w:t>10%</w:t>
      </w:r>
      <w:r>
        <w:rPr>
          <w:spacing w:val="-3"/>
          <w:sz w:val="28"/>
        </w:rPr>
        <w:t>，并根据项目用地需求适时调整，增</w:t>
      </w:r>
    </w:p>
    <w:p>
      <w:pPr>
        <w:spacing w:after="0" w:line="268" w:lineRule="auto"/>
        <w:jc w:val="left"/>
        <w:rPr>
          <w:sz w:val="28"/>
        </w:rPr>
        <w:sectPr>
          <w:footerReference r:id="rId8" w:type="default"/>
          <w:pgSz w:w="11910" w:h="16840"/>
          <w:pgMar w:top="1580" w:right="1160" w:bottom="1160" w:left="1300" w:header="0" w:footer="978" w:gutter="0"/>
          <w:pgNumType w:start="30"/>
          <w:cols w:space="720" w:num="1"/>
        </w:sectPr>
      </w:pPr>
    </w:p>
    <w:p>
      <w:pPr>
        <w:pStyle w:val="3"/>
        <w:spacing w:before="144"/>
        <w:ind w:right="0" w:firstLine="0"/>
      </w:pPr>
      <w:r>
        <w:t>加“增存挂钩”核补指标数量。（牵头单位：省自然资源厅）</w:t>
      </w:r>
    </w:p>
    <w:p>
      <w:pPr>
        <w:pStyle w:val="8"/>
        <w:numPr>
          <w:ilvl w:val="0"/>
          <w:numId w:val="5"/>
        </w:numPr>
        <w:tabs>
          <w:tab w:val="left" w:pos="1238"/>
        </w:tabs>
        <w:spacing w:before="42" w:after="0" w:line="266" w:lineRule="auto"/>
        <w:ind w:left="115" w:right="114" w:firstLine="561"/>
        <w:jc w:val="left"/>
        <w:rPr>
          <w:sz w:val="28"/>
        </w:rPr>
      </w:pPr>
      <w:r>
        <w:rPr>
          <w:spacing w:val="-35"/>
          <w:sz w:val="28"/>
        </w:rPr>
        <w:t xml:space="preserve">自 </w:t>
      </w:r>
      <w:r>
        <w:rPr>
          <w:rFonts w:ascii="Times New Roman" w:hAnsi="Times New Roman" w:eastAsia="Times New Roman"/>
          <w:sz w:val="28"/>
        </w:rPr>
        <w:t>2021</w:t>
      </w:r>
      <w:r>
        <w:rPr>
          <w:rFonts w:ascii="Times New Roman" w:hAnsi="Times New Roman" w:eastAsia="Times New Roman"/>
          <w:spacing w:val="5"/>
          <w:sz w:val="28"/>
        </w:rPr>
        <w:t xml:space="preserve"> </w:t>
      </w:r>
      <w:r>
        <w:rPr>
          <w:spacing w:val="-4"/>
          <w:sz w:val="28"/>
        </w:rPr>
        <w:t>年起，在中国</w:t>
      </w:r>
      <w:r>
        <w:rPr>
          <w:sz w:val="28"/>
        </w:rPr>
        <w:t>（</w:t>
      </w:r>
      <w:r>
        <w:rPr>
          <w:spacing w:val="-2"/>
          <w:sz w:val="28"/>
        </w:rPr>
        <w:t>山东</w:t>
      </w:r>
      <w:r>
        <w:rPr>
          <w:spacing w:val="-5"/>
          <w:sz w:val="28"/>
        </w:rPr>
        <w:t>）</w:t>
      </w:r>
      <w:r>
        <w:rPr>
          <w:spacing w:val="-4"/>
          <w:sz w:val="28"/>
        </w:rPr>
        <w:t>自由贸易试验区</w:t>
      </w:r>
      <w:r>
        <w:rPr>
          <w:sz w:val="28"/>
        </w:rPr>
        <w:t>（</w:t>
      </w:r>
      <w:r>
        <w:rPr>
          <w:spacing w:val="-4"/>
          <w:sz w:val="28"/>
        </w:rPr>
        <w:t>济南、青岛、烟台</w:t>
      </w:r>
      <w:r>
        <w:rPr>
          <w:spacing w:val="-3"/>
          <w:sz w:val="28"/>
        </w:rPr>
        <w:t>）、中国—上海合作组织地方经贸合作示范区各片区</w:t>
      </w:r>
      <w:r>
        <w:rPr>
          <w:sz w:val="28"/>
        </w:rPr>
        <w:t>（</w:t>
      </w:r>
      <w:r>
        <w:rPr>
          <w:spacing w:val="-2"/>
          <w:sz w:val="28"/>
        </w:rPr>
        <w:t>青岛</w:t>
      </w:r>
      <w:r>
        <w:rPr>
          <w:sz w:val="28"/>
        </w:rPr>
        <w:t>）</w:t>
      </w:r>
      <w:r>
        <w:rPr>
          <w:spacing w:val="-2"/>
          <w:sz w:val="28"/>
        </w:rPr>
        <w:t xml:space="preserve">和省级以 </w:t>
      </w:r>
      <w:r>
        <w:rPr>
          <w:spacing w:val="-7"/>
          <w:sz w:val="28"/>
        </w:rPr>
        <w:t>上经济技术开发区</w:t>
      </w:r>
      <w:r>
        <w:rPr>
          <w:spacing w:val="-3"/>
          <w:sz w:val="28"/>
        </w:rPr>
        <w:t>（</w:t>
      </w:r>
      <w:r>
        <w:rPr>
          <w:sz w:val="28"/>
        </w:rPr>
        <w:t>园区</w:t>
      </w:r>
      <w:r>
        <w:rPr>
          <w:spacing w:val="-37"/>
          <w:sz w:val="28"/>
        </w:rPr>
        <w:t>）</w:t>
      </w:r>
      <w:r>
        <w:rPr>
          <w:spacing w:val="-11"/>
          <w:sz w:val="28"/>
        </w:rPr>
        <w:t>、高新技术产业开发区等重点区域内，推行“标</w:t>
      </w:r>
      <w:r>
        <w:rPr>
          <w:spacing w:val="-14"/>
          <w:sz w:val="28"/>
        </w:rPr>
        <w:t xml:space="preserve">准地”供地比例由 </w:t>
      </w:r>
      <w:r>
        <w:rPr>
          <w:rFonts w:ascii="Times New Roman" w:hAnsi="Times New Roman" w:eastAsia="Times New Roman"/>
          <w:sz w:val="28"/>
        </w:rPr>
        <w:t>30%</w:t>
      </w:r>
      <w:r>
        <w:rPr>
          <w:spacing w:val="-6"/>
          <w:sz w:val="28"/>
        </w:rPr>
        <w:t>扩展到全部工业用地。</w:t>
      </w:r>
      <w:r>
        <w:rPr>
          <w:sz w:val="28"/>
        </w:rPr>
        <w:t>（</w:t>
      </w:r>
      <w:r>
        <w:rPr>
          <w:spacing w:val="-5"/>
          <w:sz w:val="28"/>
        </w:rPr>
        <w:t xml:space="preserve">牵头单位：省自然资源厅； </w:t>
      </w:r>
      <w:r>
        <w:rPr>
          <w:spacing w:val="-3"/>
          <w:sz w:val="28"/>
        </w:rPr>
        <w:t>责任单位：省商务厅</w:t>
      </w:r>
      <w:r>
        <w:rPr>
          <w:sz w:val="28"/>
        </w:rPr>
        <w:t>）</w:t>
      </w:r>
    </w:p>
    <w:p>
      <w:pPr>
        <w:pStyle w:val="8"/>
        <w:numPr>
          <w:ilvl w:val="0"/>
          <w:numId w:val="5"/>
        </w:numPr>
        <w:tabs>
          <w:tab w:val="left" w:pos="1238"/>
        </w:tabs>
        <w:spacing w:before="8" w:after="0" w:line="268" w:lineRule="auto"/>
        <w:ind w:left="115" w:right="253" w:firstLine="561"/>
        <w:jc w:val="left"/>
        <w:rPr>
          <w:sz w:val="28"/>
        </w:rPr>
      </w:pPr>
      <w:r>
        <w:rPr>
          <w:spacing w:val="-13"/>
          <w:sz w:val="28"/>
        </w:rPr>
        <w:t xml:space="preserve">设置不低于 </w:t>
      </w:r>
      <w:r>
        <w:rPr>
          <w:rFonts w:ascii="Times New Roman" w:eastAsia="Times New Roman"/>
          <w:sz w:val="28"/>
        </w:rPr>
        <w:t>50</w:t>
      </w:r>
      <w:r>
        <w:rPr>
          <w:rFonts w:ascii="Times New Roman" w:eastAsia="Times New Roman"/>
          <w:spacing w:val="5"/>
          <w:sz w:val="28"/>
        </w:rPr>
        <w:t xml:space="preserve"> </w:t>
      </w:r>
      <w:r>
        <w:rPr>
          <w:spacing w:val="-5"/>
          <w:sz w:val="28"/>
        </w:rPr>
        <w:t>亿元的再贴现专项额度，对供应链票据给予低成本</w:t>
      </w:r>
      <w:r>
        <w:rPr>
          <w:spacing w:val="-3"/>
          <w:sz w:val="28"/>
        </w:rPr>
        <w:t>资金支持，推动供应链票据加快发展。</w:t>
      </w:r>
      <w:r>
        <w:rPr>
          <w:sz w:val="28"/>
        </w:rPr>
        <w:t>（</w:t>
      </w:r>
      <w:r>
        <w:rPr>
          <w:spacing w:val="-3"/>
          <w:sz w:val="28"/>
        </w:rPr>
        <w:t>牵头单位：人民银行济南分行</w:t>
      </w:r>
      <w:r>
        <w:rPr>
          <w:sz w:val="28"/>
        </w:rPr>
        <w:t>）</w:t>
      </w:r>
    </w:p>
    <w:p>
      <w:pPr>
        <w:pStyle w:val="8"/>
        <w:numPr>
          <w:ilvl w:val="0"/>
          <w:numId w:val="5"/>
        </w:numPr>
        <w:tabs>
          <w:tab w:val="left" w:pos="1238"/>
        </w:tabs>
        <w:spacing w:before="0" w:after="0" w:line="266" w:lineRule="auto"/>
        <w:ind w:left="115" w:right="253" w:firstLine="561"/>
        <w:jc w:val="left"/>
        <w:rPr>
          <w:sz w:val="28"/>
        </w:rPr>
      </w:pPr>
      <w:r>
        <w:rPr>
          <w:spacing w:val="-4"/>
          <w:sz w:val="28"/>
        </w:rPr>
        <w:t>支持区域股权交易市场设立乡村振兴板，</w:t>
      </w:r>
      <w:r>
        <w:rPr>
          <w:rFonts w:ascii="Times New Roman" w:eastAsia="Times New Roman"/>
          <w:spacing w:val="-12"/>
          <w:sz w:val="28"/>
        </w:rPr>
        <w:t>2021</w:t>
      </w:r>
      <w:r>
        <w:rPr>
          <w:rFonts w:ascii="Times New Roman" w:eastAsia="Times New Roman"/>
          <w:spacing w:val="5"/>
          <w:sz w:val="28"/>
        </w:rPr>
        <w:t xml:space="preserve"> </w:t>
      </w:r>
      <w:r>
        <w:rPr>
          <w:spacing w:val="-19"/>
          <w:sz w:val="28"/>
        </w:rPr>
        <w:t xml:space="preserve">年推动 </w:t>
      </w:r>
      <w:r>
        <w:rPr>
          <w:rFonts w:ascii="Times New Roman" w:eastAsia="Times New Roman"/>
          <w:sz w:val="28"/>
        </w:rPr>
        <w:t>10</w:t>
      </w:r>
      <w:r>
        <w:rPr>
          <w:rFonts w:ascii="Times New Roman" w:eastAsia="Times New Roman"/>
          <w:spacing w:val="2"/>
          <w:sz w:val="28"/>
        </w:rPr>
        <w:t xml:space="preserve"> </w:t>
      </w:r>
      <w:r>
        <w:rPr>
          <w:spacing w:val="-2"/>
          <w:sz w:val="28"/>
        </w:rPr>
        <w:t>家涉农</w:t>
      </w:r>
      <w:r>
        <w:rPr>
          <w:spacing w:val="-3"/>
          <w:sz w:val="28"/>
        </w:rPr>
        <w:t>企业在乡村振兴板挂牌融资。扩大上市后备资源，将全省上市后备资源库</w:t>
      </w:r>
      <w:r>
        <w:rPr>
          <w:spacing w:val="-20"/>
          <w:sz w:val="28"/>
        </w:rPr>
        <w:t xml:space="preserve">扩充至 </w:t>
      </w:r>
      <w:r>
        <w:rPr>
          <w:rFonts w:ascii="Times New Roman" w:eastAsia="Times New Roman"/>
          <w:sz w:val="28"/>
        </w:rPr>
        <w:t>2000</w:t>
      </w:r>
      <w:r>
        <w:rPr>
          <w:rFonts w:ascii="Times New Roman" w:eastAsia="Times New Roman"/>
          <w:spacing w:val="4"/>
          <w:sz w:val="28"/>
        </w:rPr>
        <w:t xml:space="preserve"> </w:t>
      </w:r>
      <w:r>
        <w:rPr>
          <w:spacing w:val="-4"/>
          <w:sz w:val="28"/>
        </w:rPr>
        <w:t>家，纳入全省金融辅导系统跟进服务。</w:t>
      </w:r>
      <w:r>
        <w:rPr>
          <w:sz w:val="28"/>
        </w:rPr>
        <w:t>（</w:t>
      </w:r>
      <w:r>
        <w:rPr>
          <w:spacing w:val="-4"/>
          <w:sz w:val="28"/>
        </w:rPr>
        <w:t>牵头单位：省地方金</w:t>
      </w:r>
      <w:r>
        <w:rPr>
          <w:spacing w:val="-3"/>
          <w:sz w:val="28"/>
        </w:rPr>
        <w:t>融监管局</w:t>
      </w:r>
      <w:r>
        <w:rPr>
          <w:sz w:val="28"/>
        </w:rPr>
        <w:t>）</w:t>
      </w:r>
    </w:p>
    <w:p>
      <w:pPr>
        <w:pStyle w:val="8"/>
        <w:numPr>
          <w:ilvl w:val="0"/>
          <w:numId w:val="5"/>
        </w:numPr>
        <w:tabs>
          <w:tab w:val="left" w:pos="1238"/>
        </w:tabs>
        <w:spacing w:before="3" w:after="0" w:line="266" w:lineRule="auto"/>
        <w:ind w:left="115" w:right="366" w:firstLine="561"/>
        <w:jc w:val="both"/>
        <w:rPr>
          <w:sz w:val="28"/>
        </w:rPr>
      </w:pPr>
      <w:r>
        <w:rPr>
          <w:spacing w:val="-3"/>
          <w:sz w:val="28"/>
        </w:rPr>
        <w:t>健全市场化的粮食收购贷款信用保证基金融资担保机制，省级财</w:t>
      </w:r>
      <w:r>
        <w:rPr>
          <w:spacing w:val="-18"/>
          <w:sz w:val="28"/>
        </w:rPr>
        <w:t xml:space="preserve">政投入 </w:t>
      </w:r>
      <w:r>
        <w:rPr>
          <w:rFonts w:ascii="Times New Roman" w:eastAsia="Times New Roman"/>
          <w:sz w:val="28"/>
        </w:rPr>
        <w:t>1</w:t>
      </w:r>
      <w:r>
        <w:rPr>
          <w:rFonts w:ascii="Times New Roman" w:eastAsia="Times New Roman"/>
          <w:spacing w:val="1"/>
          <w:sz w:val="28"/>
        </w:rPr>
        <w:t xml:space="preserve"> </w:t>
      </w:r>
      <w:r>
        <w:rPr>
          <w:spacing w:val="-10"/>
          <w:sz w:val="28"/>
        </w:rPr>
        <w:t xml:space="preserve">亿元，推动设立总额 </w:t>
      </w:r>
      <w:r>
        <w:rPr>
          <w:rFonts w:ascii="Times New Roman" w:eastAsia="Times New Roman"/>
          <w:sz w:val="28"/>
        </w:rPr>
        <w:t>4</w:t>
      </w:r>
      <w:r>
        <w:rPr>
          <w:rFonts w:ascii="Times New Roman" w:eastAsia="Times New Roman"/>
          <w:spacing w:val="3"/>
          <w:sz w:val="28"/>
        </w:rPr>
        <w:t xml:space="preserve"> </w:t>
      </w:r>
      <w:r>
        <w:rPr>
          <w:spacing w:val="-3"/>
          <w:sz w:val="28"/>
        </w:rPr>
        <w:t>亿元的省级粮食收购贷款信用保证基金， 为企业市场化收购农民粮食的贷款提供融资增信。（</w:t>
      </w:r>
      <w:r>
        <w:rPr>
          <w:spacing w:val="-2"/>
          <w:sz w:val="28"/>
        </w:rPr>
        <w:t>牵头单位：省粮食和</w:t>
      </w:r>
      <w:r>
        <w:rPr>
          <w:spacing w:val="-3"/>
          <w:sz w:val="28"/>
        </w:rPr>
        <w:t>储备局、省财政厅</w:t>
      </w:r>
      <w:r>
        <w:rPr>
          <w:sz w:val="28"/>
        </w:rPr>
        <w:t>）</w:t>
      </w:r>
    </w:p>
    <w:p>
      <w:pPr>
        <w:pStyle w:val="8"/>
        <w:numPr>
          <w:ilvl w:val="0"/>
          <w:numId w:val="5"/>
        </w:numPr>
        <w:tabs>
          <w:tab w:val="left" w:pos="1238"/>
        </w:tabs>
        <w:spacing w:before="8" w:after="0" w:line="266" w:lineRule="auto"/>
        <w:ind w:left="115" w:right="253" w:firstLine="561"/>
        <w:jc w:val="left"/>
        <w:rPr>
          <w:sz w:val="28"/>
        </w:rPr>
      </w:pPr>
      <w:r>
        <w:rPr>
          <w:spacing w:val="-3"/>
          <w:sz w:val="28"/>
        </w:rPr>
        <w:t>开展大蒜、蒜薹、马铃薯、辣椒、生姜、大白菜、大葱、生猪等</w:t>
      </w:r>
      <w:r>
        <w:rPr>
          <w:spacing w:val="-5"/>
          <w:sz w:val="28"/>
        </w:rPr>
        <w:t>省级特色品种目标价格保险，</w:t>
      </w:r>
      <w:r>
        <w:rPr>
          <w:rFonts w:ascii="Times New Roman" w:eastAsia="Times New Roman"/>
          <w:spacing w:val="-21"/>
          <w:sz w:val="28"/>
        </w:rPr>
        <w:t>2021</w:t>
      </w:r>
      <w:r>
        <w:rPr>
          <w:rFonts w:ascii="Times New Roman" w:eastAsia="Times New Roman"/>
          <w:spacing w:val="6"/>
          <w:sz w:val="28"/>
        </w:rPr>
        <w:t xml:space="preserve"> </w:t>
      </w:r>
      <w:r>
        <w:rPr>
          <w:spacing w:val="-10"/>
          <w:sz w:val="28"/>
        </w:rPr>
        <w:t xml:space="preserve">年为农户提供不少于 </w:t>
      </w:r>
      <w:r>
        <w:rPr>
          <w:rFonts w:ascii="Times New Roman" w:eastAsia="Times New Roman"/>
          <w:sz w:val="28"/>
        </w:rPr>
        <w:t>50</w:t>
      </w:r>
      <w:r>
        <w:rPr>
          <w:rFonts w:ascii="Times New Roman" w:eastAsia="Times New Roman"/>
          <w:spacing w:val="4"/>
          <w:sz w:val="28"/>
        </w:rPr>
        <w:t xml:space="preserve"> </w:t>
      </w:r>
      <w:r>
        <w:rPr>
          <w:spacing w:val="-3"/>
          <w:sz w:val="28"/>
        </w:rPr>
        <w:t>亿元的价格风险</w:t>
      </w:r>
      <w:r>
        <w:rPr>
          <w:spacing w:val="-2"/>
          <w:sz w:val="28"/>
        </w:rPr>
        <w:t>保障。</w:t>
      </w:r>
      <w:r>
        <w:rPr>
          <w:sz w:val="28"/>
        </w:rPr>
        <w:t>（</w:t>
      </w:r>
      <w:r>
        <w:rPr>
          <w:spacing w:val="-3"/>
          <w:sz w:val="28"/>
        </w:rPr>
        <w:t>牵头单位：省发展改革委、省财政厅</w:t>
      </w:r>
      <w:r>
        <w:rPr>
          <w:sz w:val="28"/>
        </w:rPr>
        <w:t>）</w:t>
      </w:r>
    </w:p>
    <w:p>
      <w:pPr>
        <w:pStyle w:val="3"/>
        <w:spacing w:before="6" w:line="266" w:lineRule="auto"/>
        <w:ind w:right="253"/>
      </w:pPr>
      <w:r>
        <w:rPr>
          <w:spacing w:val="-3"/>
        </w:rPr>
        <w:t>以上政策，除已明确政策执行起始时间的条款，以及由国家统一出台</w:t>
      </w:r>
      <w:r>
        <w:rPr>
          <w:spacing w:val="-11"/>
        </w:rPr>
        <w:t xml:space="preserve">的政策外，其余政策均自 </w:t>
      </w:r>
      <w:r>
        <w:rPr>
          <w:rFonts w:ascii="Times New Roman" w:eastAsia="Times New Roman"/>
        </w:rPr>
        <w:t xml:space="preserve">2021 </w:t>
      </w:r>
      <w:r>
        <w:rPr>
          <w:spacing w:val="-36"/>
        </w:rPr>
        <w:t xml:space="preserve">年 </w:t>
      </w:r>
      <w:r>
        <w:rPr>
          <w:rFonts w:ascii="Times New Roman" w:eastAsia="Times New Roman"/>
        </w:rPr>
        <w:t xml:space="preserve">4 </w:t>
      </w:r>
      <w:r>
        <w:rPr>
          <w:spacing w:val="-35"/>
        </w:rPr>
        <w:t xml:space="preserve">月 </w:t>
      </w:r>
      <w:r>
        <w:rPr>
          <w:rFonts w:ascii="Times New Roman" w:eastAsia="Times New Roman"/>
        </w:rPr>
        <w:t xml:space="preserve">1 </w:t>
      </w:r>
      <w:r>
        <w:rPr>
          <w:spacing w:val="-5"/>
        </w:rPr>
        <w:t>日起实施。各项政策牵头单位会同</w:t>
      </w:r>
    </w:p>
    <w:p>
      <w:pPr>
        <w:pStyle w:val="3"/>
        <w:spacing w:before="2"/>
        <w:ind w:right="0" w:firstLine="0"/>
      </w:pPr>
      <w:r>
        <w:t xml:space="preserve">相关责任单位，于 </w:t>
      </w:r>
      <w:r>
        <w:rPr>
          <w:rFonts w:ascii="Times New Roman" w:eastAsia="Times New Roman"/>
        </w:rPr>
        <w:t xml:space="preserve">2021 </w:t>
      </w:r>
      <w:r>
        <w:t xml:space="preserve">年 </w:t>
      </w:r>
      <w:r>
        <w:rPr>
          <w:rFonts w:ascii="Times New Roman" w:eastAsia="Times New Roman"/>
        </w:rPr>
        <w:t xml:space="preserve">4 </w:t>
      </w:r>
      <w:r>
        <w:t xml:space="preserve">月 </w:t>
      </w:r>
      <w:r>
        <w:rPr>
          <w:rFonts w:ascii="Times New Roman" w:eastAsia="Times New Roman"/>
        </w:rPr>
        <w:t xml:space="preserve">1 </w:t>
      </w:r>
      <w:r>
        <w:t>日前出台具体实施细则。</w:t>
      </w:r>
    </w:p>
    <w:p>
      <w:pPr>
        <w:pStyle w:val="3"/>
        <w:spacing w:before="42" w:line="266" w:lineRule="auto"/>
      </w:pPr>
      <w:r>
        <w:rPr>
          <w:spacing w:val="-3"/>
        </w:rPr>
        <w:t>抄送：省委各部门，省人大常委会办公厅，省政协办公厅，省监委， 省法院，省检察院。各民主党派省委，省工商联。</w:t>
      </w:r>
    </w:p>
    <w:p>
      <w:pPr>
        <w:pStyle w:val="3"/>
        <w:spacing w:before="3"/>
        <w:ind w:left="677" w:right="0" w:firstLine="0"/>
      </w:pPr>
      <w:r>
        <w:rPr>
          <w:spacing w:val="-10"/>
        </w:rPr>
        <w:t xml:space="preserve">山东省人民政府办公厅 </w:t>
      </w:r>
      <w:r>
        <w:rPr>
          <w:rFonts w:ascii="Times New Roman" w:eastAsia="Times New Roman"/>
        </w:rPr>
        <w:t>2021</w:t>
      </w:r>
      <w:r>
        <w:rPr>
          <w:rFonts w:ascii="Times New Roman" w:eastAsia="Times New Roman"/>
          <w:spacing w:val="1"/>
        </w:rPr>
        <w:t xml:space="preserve"> </w:t>
      </w:r>
      <w:r>
        <w:rPr>
          <w:spacing w:val="-36"/>
        </w:rPr>
        <w:t xml:space="preserve">年 </w:t>
      </w:r>
      <w:r>
        <w:rPr>
          <w:rFonts w:ascii="Times New Roman" w:eastAsia="Times New Roman"/>
        </w:rPr>
        <w:t>3</w:t>
      </w:r>
      <w:r>
        <w:rPr>
          <w:rFonts w:ascii="Times New Roman" w:eastAsia="Times New Roman"/>
          <w:spacing w:val="-1"/>
        </w:rPr>
        <w:t xml:space="preserve"> </w:t>
      </w:r>
      <w:r>
        <w:rPr>
          <w:spacing w:val="-36"/>
        </w:rPr>
        <w:t xml:space="preserve">月 </w:t>
      </w:r>
      <w:r>
        <w:rPr>
          <w:rFonts w:ascii="Times New Roman" w:eastAsia="Times New Roman"/>
        </w:rPr>
        <w:t>28</w:t>
      </w:r>
      <w:r>
        <w:rPr>
          <w:rFonts w:ascii="Times New Roman" w:eastAsia="Times New Roman"/>
          <w:spacing w:val="1"/>
        </w:rPr>
        <w:t xml:space="preserve"> </w:t>
      </w:r>
      <w:r>
        <w:rPr>
          <w:spacing w:val="-2"/>
        </w:rPr>
        <w:t>日印发</w:t>
      </w:r>
    </w:p>
    <w:p>
      <w:pPr>
        <w:pStyle w:val="3"/>
        <w:spacing w:before="9"/>
        <w:ind w:left="0" w:right="0" w:firstLine="0"/>
        <w:rPr>
          <w:sz w:val="34"/>
        </w:rPr>
      </w:pPr>
    </w:p>
    <w:p>
      <w:pPr>
        <w:pStyle w:val="2"/>
        <w:spacing w:line="172" w:lineRule="auto"/>
        <w:ind w:left="173" w:right="311"/>
      </w:pPr>
      <w:bookmarkStart w:id="8" w:name="_bookmark4"/>
      <w:bookmarkEnd w:id="8"/>
      <w:bookmarkStart w:id="9" w:name="山东省人民政府关于印发落实“六稳”“六保”促进高质量发展政策清单（第三批）的通知"/>
      <w:bookmarkEnd w:id="9"/>
      <w:r>
        <w:rPr>
          <w:w w:val="110"/>
        </w:rPr>
        <w:t>山东省人民政府关于印发落实“六稳”“六保”促进高质量发展</w:t>
      </w:r>
      <w:r>
        <w:rPr>
          <w:w w:val="120"/>
        </w:rPr>
        <w:t>政策清单（第三批）的通知</w:t>
      </w:r>
    </w:p>
    <w:p>
      <w:pPr>
        <w:pStyle w:val="3"/>
        <w:spacing w:before="10"/>
        <w:ind w:left="0" w:right="0" w:firstLine="0"/>
        <w:rPr>
          <w:rFonts w:ascii="Arial Unicode MS"/>
          <w:sz w:val="24"/>
        </w:rPr>
      </w:pPr>
    </w:p>
    <w:p>
      <w:pPr>
        <w:pStyle w:val="3"/>
        <w:ind w:left="0" w:right="137" w:firstLine="0"/>
        <w:jc w:val="center"/>
      </w:pPr>
      <w:r>
        <w:t>鲁政发〔</w:t>
      </w:r>
      <w:r>
        <w:rPr>
          <w:rFonts w:ascii="Times New Roman" w:eastAsia="Times New Roman"/>
        </w:rPr>
        <w:t>2021</w:t>
      </w:r>
      <w:r>
        <w:t>〕</w:t>
      </w:r>
      <w:r>
        <w:rPr>
          <w:rFonts w:ascii="Times New Roman" w:eastAsia="Times New Roman"/>
        </w:rPr>
        <w:t xml:space="preserve">8 </w:t>
      </w:r>
      <w:r>
        <w:t>号</w:t>
      </w:r>
    </w:p>
    <w:p>
      <w:pPr>
        <w:pStyle w:val="3"/>
        <w:spacing w:before="10"/>
        <w:ind w:left="0" w:right="0" w:firstLine="0"/>
        <w:rPr>
          <w:sz w:val="36"/>
        </w:rPr>
      </w:pPr>
    </w:p>
    <w:p>
      <w:pPr>
        <w:pStyle w:val="3"/>
        <w:spacing w:line="268" w:lineRule="auto"/>
        <w:ind w:firstLine="0"/>
      </w:pPr>
      <w:r>
        <w:t>各市人民政府，各县（市、区）人民政府，省政府各部门、各直属机构， 各大企业，各高等院校：</w:t>
      </w:r>
    </w:p>
    <w:p>
      <w:pPr>
        <w:pStyle w:val="3"/>
        <w:spacing w:line="357" w:lineRule="exact"/>
        <w:ind w:left="677" w:right="0" w:firstLine="0"/>
      </w:pPr>
      <w:r>
        <w:t>为全面落实“六稳”“六保”任务，促进经济社会高质量发展，省委、</w:t>
      </w:r>
    </w:p>
    <w:p>
      <w:pPr>
        <w:spacing w:after="0" w:line="357" w:lineRule="exact"/>
        <w:sectPr>
          <w:pgSz w:w="11910" w:h="16840"/>
          <w:pgMar w:top="1580" w:right="1160" w:bottom="1160" w:left="1300" w:header="0" w:footer="978" w:gutter="0"/>
          <w:cols w:space="720" w:num="1"/>
        </w:sectPr>
      </w:pPr>
    </w:p>
    <w:p>
      <w:pPr>
        <w:pStyle w:val="3"/>
        <w:spacing w:before="144" w:line="268" w:lineRule="auto"/>
        <w:ind w:firstLine="0"/>
      </w:pPr>
      <w:r>
        <w:t>省政府研究确定了《落实“六稳”“六保”促进高质量发展政策清单（第三批）》，现印发给你们，请认真组织实施。</w:t>
      </w:r>
    </w:p>
    <w:p>
      <w:pPr>
        <w:pStyle w:val="3"/>
        <w:spacing w:before="4"/>
        <w:ind w:left="0" w:right="0" w:firstLine="0"/>
        <w:rPr>
          <w:sz w:val="33"/>
        </w:rPr>
      </w:pPr>
    </w:p>
    <w:p>
      <w:pPr>
        <w:pStyle w:val="3"/>
        <w:ind w:left="0" w:right="253" w:firstLine="0"/>
        <w:jc w:val="right"/>
      </w:pPr>
      <w:r>
        <w:rPr>
          <w:spacing w:val="-3"/>
        </w:rPr>
        <w:t>山东省人民政府</w:t>
      </w:r>
    </w:p>
    <w:p>
      <w:pPr>
        <w:pStyle w:val="3"/>
        <w:spacing w:before="42"/>
        <w:ind w:left="0" w:right="253" w:firstLine="0"/>
        <w:jc w:val="right"/>
      </w:pPr>
      <w:r>
        <w:rPr>
          <w:rFonts w:ascii="Times New Roman" w:eastAsia="Times New Roman"/>
        </w:rPr>
        <w:t>2021</w:t>
      </w:r>
      <w:r>
        <w:rPr>
          <w:rFonts w:ascii="Times New Roman" w:eastAsia="Times New Roman"/>
          <w:spacing w:val="2"/>
        </w:rPr>
        <w:t xml:space="preserve"> </w:t>
      </w:r>
      <w:r>
        <w:rPr>
          <w:spacing w:val="-36"/>
        </w:rPr>
        <w:t xml:space="preserve">年 </w:t>
      </w:r>
      <w:r>
        <w:rPr>
          <w:rFonts w:ascii="Times New Roman" w:eastAsia="Times New Roman"/>
        </w:rPr>
        <w:t>5</w:t>
      </w:r>
      <w:r>
        <w:rPr>
          <w:rFonts w:ascii="Times New Roman" w:eastAsia="Times New Roman"/>
          <w:spacing w:val="-2"/>
        </w:rPr>
        <w:t xml:space="preserve"> </w:t>
      </w:r>
      <w:r>
        <w:rPr>
          <w:spacing w:val="-36"/>
        </w:rPr>
        <w:t xml:space="preserve">月 </w:t>
      </w:r>
      <w:r>
        <w:rPr>
          <w:rFonts w:ascii="Times New Roman" w:eastAsia="Times New Roman"/>
        </w:rPr>
        <w:t xml:space="preserve">27 </w:t>
      </w:r>
      <w:r>
        <w:t>日</w:t>
      </w:r>
    </w:p>
    <w:p>
      <w:pPr>
        <w:pStyle w:val="3"/>
        <w:spacing w:before="42"/>
        <w:ind w:left="0" w:right="253" w:firstLine="0"/>
        <w:jc w:val="right"/>
      </w:pPr>
      <w:r>
        <w:rPr>
          <w:spacing w:val="-1"/>
        </w:rPr>
        <w:t>（</w:t>
      </w:r>
      <w:r>
        <w:rPr>
          <w:spacing w:val="-3"/>
        </w:rPr>
        <w:t>此件公开发布</w:t>
      </w:r>
      <w:r>
        <w:t>）</w:t>
      </w:r>
    </w:p>
    <w:p>
      <w:pPr>
        <w:pStyle w:val="3"/>
        <w:spacing w:before="6"/>
        <w:ind w:left="0" w:right="0" w:firstLine="0"/>
        <w:rPr>
          <w:sz w:val="32"/>
        </w:rPr>
      </w:pPr>
    </w:p>
    <w:p>
      <w:pPr>
        <w:pStyle w:val="3"/>
        <w:ind w:left="1013" w:right="0" w:firstLine="0"/>
        <w:rPr>
          <w:rFonts w:hint="eastAsia" w:ascii="Arial Unicode MS" w:hAnsi="Arial Unicode MS" w:eastAsia="Arial Unicode MS"/>
        </w:rPr>
      </w:pPr>
      <w:r>
        <w:rPr>
          <w:rFonts w:hint="eastAsia" w:ascii="Arial Unicode MS" w:hAnsi="Arial Unicode MS" w:eastAsia="Arial Unicode MS"/>
          <w:w w:val="120"/>
        </w:rPr>
        <w:t>落实</w:t>
      </w:r>
      <w:r>
        <w:rPr>
          <w:rFonts w:hint="eastAsia" w:ascii="Arial Unicode MS" w:hAnsi="Arial Unicode MS" w:eastAsia="Arial Unicode MS"/>
          <w:w w:val="180"/>
        </w:rPr>
        <w:t>“</w:t>
      </w:r>
      <w:r>
        <w:rPr>
          <w:rFonts w:hint="eastAsia" w:ascii="Arial Unicode MS" w:hAnsi="Arial Unicode MS" w:eastAsia="Arial Unicode MS"/>
          <w:w w:val="120"/>
        </w:rPr>
        <w:t>六稳</w:t>
      </w:r>
      <w:r>
        <w:rPr>
          <w:rFonts w:hint="eastAsia" w:ascii="Arial Unicode MS" w:hAnsi="Arial Unicode MS" w:eastAsia="Arial Unicode MS"/>
          <w:w w:val="180"/>
        </w:rPr>
        <w:t>”“</w:t>
      </w:r>
      <w:r>
        <w:rPr>
          <w:rFonts w:hint="eastAsia" w:ascii="Arial Unicode MS" w:hAnsi="Arial Unicode MS" w:eastAsia="Arial Unicode MS"/>
          <w:w w:val="120"/>
        </w:rPr>
        <w:t>六保</w:t>
      </w:r>
      <w:r>
        <w:rPr>
          <w:rFonts w:hint="eastAsia" w:ascii="Arial Unicode MS" w:hAnsi="Arial Unicode MS" w:eastAsia="Arial Unicode MS"/>
          <w:w w:val="180"/>
        </w:rPr>
        <w:t>”</w:t>
      </w:r>
      <w:r>
        <w:rPr>
          <w:rFonts w:hint="eastAsia" w:ascii="Arial Unicode MS" w:hAnsi="Arial Unicode MS" w:eastAsia="Arial Unicode MS"/>
          <w:w w:val="120"/>
        </w:rPr>
        <w:t>促进高质量发展政策清单（第三批）</w:t>
      </w:r>
    </w:p>
    <w:p>
      <w:pPr>
        <w:pStyle w:val="3"/>
        <w:spacing w:before="1"/>
        <w:ind w:left="0" w:right="0" w:firstLine="0"/>
        <w:rPr>
          <w:rFonts w:ascii="Arial Unicode MS"/>
          <w:sz w:val="23"/>
        </w:rPr>
      </w:pPr>
    </w:p>
    <w:p>
      <w:pPr>
        <w:pStyle w:val="3"/>
        <w:ind w:left="677" w:right="0" w:firstLine="0"/>
      </w:pPr>
      <w:r>
        <w:t xml:space="preserve">第三批政策清单共计 </w:t>
      </w:r>
      <w:r>
        <w:rPr>
          <w:rFonts w:ascii="Times New Roman" w:eastAsia="Times New Roman"/>
        </w:rPr>
        <w:t xml:space="preserve">25 </w:t>
      </w:r>
      <w:r>
        <w:t>项。</w:t>
      </w:r>
    </w:p>
    <w:p>
      <w:pPr>
        <w:pStyle w:val="3"/>
        <w:spacing w:before="18"/>
        <w:ind w:left="677" w:right="0" w:firstLine="0"/>
        <w:rPr>
          <w:rFonts w:hint="eastAsia" w:ascii="华文细黑" w:eastAsia="华文细黑"/>
        </w:rPr>
      </w:pPr>
      <w:r>
        <w:rPr>
          <w:rFonts w:hint="eastAsia" w:ascii="华文细黑" w:eastAsia="华文细黑"/>
        </w:rPr>
        <w:t>一、鼓励支持扩大制造业和技术改造投资</w:t>
      </w:r>
    </w:p>
    <w:p>
      <w:pPr>
        <w:pStyle w:val="8"/>
        <w:numPr>
          <w:ilvl w:val="0"/>
          <w:numId w:val="6"/>
        </w:numPr>
        <w:tabs>
          <w:tab w:val="left" w:pos="1028"/>
        </w:tabs>
        <w:spacing w:before="4" w:after="0" w:line="266" w:lineRule="auto"/>
        <w:ind w:left="115" w:right="253" w:firstLine="561"/>
        <w:jc w:val="left"/>
        <w:rPr>
          <w:sz w:val="28"/>
        </w:rPr>
      </w:pPr>
      <w:r>
        <w:rPr>
          <w:spacing w:val="-6"/>
          <w:sz w:val="28"/>
        </w:rPr>
        <w:t xml:space="preserve">加大重大技术改造支持力度，省财政统筹安排资金 </w:t>
      </w:r>
      <w:r>
        <w:rPr>
          <w:rFonts w:ascii="Times New Roman" w:eastAsia="Times New Roman"/>
          <w:sz w:val="28"/>
        </w:rPr>
        <w:t>2</w:t>
      </w:r>
      <w:r>
        <w:rPr>
          <w:rFonts w:ascii="Times New Roman" w:eastAsia="Times New Roman"/>
          <w:spacing w:val="4"/>
          <w:sz w:val="28"/>
        </w:rPr>
        <w:t xml:space="preserve"> </w:t>
      </w:r>
      <w:r>
        <w:rPr>
          <w:spacing w:val="-3"/>
          <w:sz w:val="28"/>
        </w:rPr>
        <w:t>亿元，综合采</w:t>
      </w:r>
      <w:r>
        <w:rPr>
          <w:spacing w:val="-10"/>
          <w:sz w:val="28"/>
        </w:rPr>
        <w:t xml:space="preserve">取股权投资、财政贴息等方式，支持投资 </w:t>
      </w:r>
      <w:r>
        <w:rPr>
          <w:rFonts w:ascii="Times New Roman" w:eastAsia="Times New Roman"/>
          <w:sz w:val="28"/>
        </w:rPr>
        <w:t>5000</w:t>
      </w:r>
      <w:r>
        <w:rPr>
          <w:rFonts w:ascii="Times New Roman" w:eastAsia="Times New Roman"/>
          <w:spacing w:val="4"/>
          <w:sz w:val="28"/>
        </w:rPr>
        <w:t xml:space="preserve"> </w:t>
      </w:r>
      <w:r>
        <w:rPr>
          <w:spacing w:val="-3"/>
          <w:sz w:val="28"/>
        </w:rPr>
        <w:t>万元以上的重大技术改造项目。其中，采取股权投资方式支持的在建或新开工项目，财政参股比例原</w:t>
      </w:r>
      <w:r>
        <w:rPr>
          <w:spacing w:val="-7"/>
          <w:sz w:val="28"/>
        </w:rPr>
        <w:t xml:space="preserve">则上不超过项目投资企业总股本的 </w:t>
      </w:r>
      <w:r>
        <w:rPr>
          <w:rFonts w:ascii="Times New Roman" w:eastAsia="Times New Roman"/>
          <w:sz w:val="28"/>
        </w:rPr>
        <w:t>25%</w:t>
      </w:r>
      <w:r>
        <w:rPr>
          <w:spacing w:val="-3"/>
          <w:sz w:val="28"/>
        </w:rPr>
        <w:t>；扩大财政贴息支持范围，对在建项目予以财政贴息方式支持，省级财政按照银行最新一期的一年期贷款市场报价利率</w:t>
      </w:r>
      <w:r>
        <w:rPr>
          <w:sz w:val="28"/>
        </w:rPr>
        <w:t>（</w:t>
      </w:r>
      <w:r>
        <w:rPr>
          <w:rFonts w:ascii="Times New Roman" w:eastAsia="Times New Roman"/>
          <w:sz w:val="28"/>
        </w:rPr>
        <w:t>LPR</w:t>
      </w:r>
      <w:r>
        <w:rPr>
          <w:sz w:val="28"/>
        </w:rPr>
        <w:t>）</w:t>
      </w:r>
      <w:r>
        <w:rPr>
          <w:spacing w:val="-36"/>
          <w:sz w:val="28"/>
        </w:rPr>
        <w:t xml:space="preserve">的 </w:t>
      </w:r>
      <w:r>
        <w:rPr>
          <w:rFonts w:ascii="Times New Roman" w:eastAsia="Times New Roman"/>
          <w:sz w:val="28"/>
        </w:rPr>
        <w:t>35%</w:t>
      </w:r>
      <w:r>
        <w:rPr>
          <w:spacing w:val="-13"/>
          <w:sz w:val="28"/>
        </w:rPr>
        <w:t xml:space="preserve">，给予最高 </w:t>
      </w:r>
      <w:r>
        <w:rPr>
          <w:rFonts w:ascii="Times New Roman" w:eastAsia="Times New Roman"/>
          <w:sz w:val="28"/>
        </w:rPr>
        <w:t xml:space="preserve">2000 </w:t>
      </w:r>
      <w:r>
        <w:rPr>
          <w:spacing w:val="-3"/>
          <w:sz w:val="28"/>
        </w:rPr>
        <w:t>万元支持。对企业采取融资租赁方式直租设备、属于重大技术改造项目的，可视同银行贷款，给予财政支持。鼓励市、县</w:t>
      </w:r>
      <w:r>
        <w:rPr>
          <w:sz w:val="28"/>
        </w:rPr>
        <w:t>（</w:t>
      </w:r>
      <w:r>
        <w:rPr>
          <w:spacing w:val="-2"/>
          <w:sz w:val="28"/>
        </w:rPr>
        <w:t>市、区</w:t>
      </w:r>
      <w:r>
        <w:rPr>
          <w:sz w:val="28"/>
        </w:rPr>
        <w:t>）</w:t>
      </w:r>
      <w:r>
        <w:rPr>
          <w:spacing w:val="-3"/>
          <w:sz w:val="28"/>
        </w:rPr>
        <w:t>对省级财政支持以外的重点技术改造项目给</w:t>
      </w:r>
      <w:r>
        <w:rPr>
          <w:spacing w:val="-2"/>
          <w:sz w:val="28"/>
        </w:rPr>
        <w:t>予支持。</w:t>
      </w:r>
      <w:r>
        <w:rPr>
          <w:spacing w:val="-3"/>
          <w:sz w:val="28"/>
        </w:rPr>
        <w:t>（牵头单位：省工业和信息化厅、省财政厅；责任单位：人民银行济南分行</w:t>
      </w:r>
      <w:r>
        <w:rPr>
          <w:sz w:val="28"/>
        </w:rPr>
        <w:t>）</w:t>
      </w:r>
    </w:p>
    <w:p>
      <w:pPr>
        <w:pStyle w:val="8"/>
        <w:numPr>
          <w:ilvl w:val="0"/>
          <w:numId w:val="6"/>
        </w:numPr>
        <w:tabs>
          <w:tab w:val="left" w:pos="1028"/>
        </w:tabs>
        <w:spacing w:before="19" w:after="0" w:line="268" w:lineRule="auto"/>
        <w:ind w:left="115" w:right="114" w:firstLine="561"/>
        <w:jc w:val="left"/>
        <w:rPr>
          <w:sz w:val="28"/>
        </w:rPr>
      </w:pPr>
      <w:r>
        <w:rPr>
          <w:spacing w:val="-6"/>
          <w:sz w:val="28"/>
        </w:rPr>
        <w:t xml:space="preserve">加大智能化技术改造支持力度，省财政统筹安排资金 </w:t>
      </w:r>
      <w:r>
        <w:rPr>
          <w:rFonts w:ascii="Times New Roman" w:eastAsia="Times New Roman"/>
          <w:sz w:val="28"/>
        </w:rPr>
        <w:t>3</w:t>
      </w:r>
      <w:r>
        <w:rPr>
          <w:rFonts w:ascii="Times New Roman" w:eastAsia="Times New Roman"/>
          <w:spacing w:val="2"/>
          <w:sz w:val="28"/>
        </w:rPr>
        <w:t xml:space="preserve"> </w:t>
      </w:r>
      <w:r>
        <w:rPr>
          <w:spacing w:val="-2"/>
          <w:sz w:val="28"/>
        </w:rPr>
        <w:t>亿元，综合</w:t>
      </w:r>
      <w:r>
        <w:rPr>
          <w:spacing w:val="-3"/>
          <w:sz w:val="28"/>
        </w:rPr>
        <w:t xml:space="preserve">采取股权投资、财政奖补方式，重点支持企业在建或新开工的，应用新一 代信息技术改造建设的智能化工厂、数字化车间以及实施基于工业互联网 </w:t>
      </w:r>
      <w:r>
        <w:rPr>
          <w:spacing w:val="-4"/>
          <w:sz w:val="28"/>
        </w:rPr>
        <w:t>改造等智能化技术改造项目。</w:t>
      </w:r>
      <w:r>
        <w:rPr>
          <w:sz w:val="28"/>
        </w:rPr>
        <w:t>（</w:t>
      </w:r>
      <w:r>
        <w:rPr>
          <w:spacing w:val="-5"/>
          <w:sz w:val="28"/>
        </w:rPr>
        <w:t xml:space="preserve">牵头单位：省工业和信息化厅、省财政厅； </w:t>
      </w:r>
      <w:r>
        <w:rPr>
          <w:spacing w:val="-3"/>
          <w:sz w:val="28"/>
        </w:rPr>
        <w:t>责任单位：省科技厅、省市场监管局</w:t>
      </w:r>
      <w:r>
        <w:rPr>
          <w:sz w:val="28"/>
        </w:rPr>
        <w:t>）</w:t>
      </w:r>
    </w:p>
    <w:p>
      <w:pPr>
        <w:pStyle w:val="8"/>
        <w:numPr>
          <w:ilvl w:val="0"/>
          <w:numId w:val="6"/>
        </w:numPr>
        <w:tabs>
          <w:tab w:val="left" w:pos="1028"/>
        </w:tabs>
        <w:spacing w:before="0" w:after="0" w:line="268" w:lineRule="auto"/>
        <w:ind w:left="115" w:right="255" w:firstLine="561"/>
        <w:jc w:val="left"/>
        <w:rPr>
          <w:sz w:val="28"/>
        </w:rPr>
      </w:pPr>
      <w:r>
        <w:rPr>
          <w:spacing w:val="-19"/>
          <w:sz w:val="28"/>
        </w:rPr>
        <w:t xml:space="preserve">加大对 </w:t>
      </w:r>
      <w:r>
        <w:rPr>
          <w:rFonts w:ascii="Times New Roman" w:hAnsi="Times New Roman" w:eastAsia="Times New Roman"/>
          <w:sz w:val="28"/>
        </w:rPr>
        <w:t xml:space="preserve">5G </w:t>
      </w:r>
      <w:r>
        <w:rPr>
          <w:spacing w:val="-3"/>
          <w:sz w:val="28"/>
        </w:rPr>
        <w:t>工业应用财政资金支持力度，加快重点企业工业设备上</w:t>
      </w:r>
      <w:r>
        <w:rPr>
          <w:spacing w:val="-7"/>
          <w:sz w:val="28"/>
        </w:rPr>
        <w:t xml:space="preserve">云和企业上云，激励各市培育打造 </w:t>
      </w:r>
      <w:r>
        <w:rPr>
          <w:rFonts w:ascii="Times New Roman" w:hAnsi="Times New Roman" w:eastAsia="Times New Roman"/>
          <w:sz w:val="28"/>
        </w:rPr>
        <w:t xml:space="preserve">5G </w:t>
      </w:r>
      <w:r>
        <w:rPr>
          <w:spacing w:val="-3"/>
          <w:sz w:val="28"/>
        </w:rPr>
        <w:t>行业应用场景和工业互联网产业园</w:t>
      </w:r>
      <w:r>
        <w:rPr>
          <w:spacing w:val="-14"/>
          <w:sz w:val="28"/>
        </w:rPr>
        <w:t xml:space="preserve">区，对出台 </w:t>
      </w:r>
      <w:r>
        <w:rPr>
          <w:rFonts w:ascii="Times New Roman" w:hAnsi="Times New Roman" w:eastAsia="Times New Roman"/>
          <w:sz w:val="28"/>
        </w:rPr>
        <w:t>5G</w:t>
      </w:r>
      <w:r>
        <w:rPr>
          <w:rFonts w:ascii="Times New Roman" w:hAnsi="Times New Roman" w:eastAsia="Times New Roman"/>
          <w:spacing w:val="3"/>
          <w:sz w:val="28"/>
        </w:rPr>
        <w:t xml:space="preserve"> </w:t>
      </w:r>
      <w:r>
        <w:rPr>
          <w:spacing w:val="-9"/>
          <w:sz w:val="28"/>
        </w:rPr>
        <w:t xml:space="preserve">基站建设奖补、电价补贴等政策，并超额完成 </w:t>
      </w:r>
      <w:r>
        <w:rPr>
          <w:rFonts w:ascii="Times New Roman" w:hAnsi="Times New Roman" w:eastAsia="Times New Roman"/>
          <w:sz w:val="28"/>
        </w:rPr>
        <w:t>5G</w:t>
      </w:r>
      <w:r>
        <w:rPr>
          <w:rFonts w:ascii="Times New Roman" w:hAnsi="Times New Roman" w:eastAsia="Times New Roman"/>
          <w:spacing w:val="1"/>
          <w:sz w:val="28"/>
        </w:rPr>
        <w:t xml:space="preserve"> </w:t>
      </w:r>
      <w:r>
        <w:rPr>
          <w:spacing w:val="-2"/>
          <w:sz w:val="28"/>
        </w:rPr>
        <w:t>基站建设</w:t>
      </w:r>
      <w:r>
        <w:rPr>
          <w:spacing w:val="-3"/>
          <w:sz w:val="28"/>
        </w:rPr>
        <w:t>年度任务的市，纳入工业互联网财政支持政策范围，上浮“云服务券”奖</w:t>
      </w:r>
      <w:r>
        <w:rPr>
          <w:spacing w:val="-18"/>
          <w:sz w:val="28"/>
        </w:rPr>
        <w:t xml:space="preserve">励额度 </w:t>
      </w:r>
      <w:r>
        <w:rPr>
          <w:rFonts w:ascii="Times New Roman" w:hAnsi="Times New Roman" w:eastAsia="Times New Roman"/>
          <w:spacing w:val="-2"/>
          <w:sz w:val="28"/>
        </w:rPr>
        <w:t>20%</w:t>
      </w:r>
      <w:r>
        <w:rPr>
          <w:sz w:val="28"/>
        </w:rPr>
        <w:t>。</w:t>
      </w:r>
      <w:r>
        <w:rPr>
          <w:spacing w:val="-3"/>
          <w:sz w:val="28"/>
        </w:rPr>
        <w:t>（牵头单位：省工业和信息化厅、省财政厅；责任单位：省</w:t>
      </w:r>
      <w:r>
        <w:rPr>
          <w:spacing w:val="-2"/>
          <w:sz w:val="28"/>
        </w:rPr>
        <w:t>大数据局</w:t>
      </w:r>
      <w:r>
        <w:rPr>
          <w:sz w:val="28"/>
        </w:rPr>
        <w:t>）</w:t>
      </w:r>
    </w:p>
    <w:p>
      <w:pPr>
        <w:pStyle w:val="8"/>
        <w:numPr>
          <w:ilvl w:val="0"/>
          <w:numId w:val="6"/>
        </w:numPr>
        <w:tabs>
          <w:tab w:val="left" w:pos="1028"/>
        </w:tabs>
        <w:spacing w:before="0" w:after="0" w:line="268" w:lineRule="auto"/>
        <w:ind w:left="115" w:right="294" w:firstLine="561"/>
        <w:jc w:val="left"/>
        <w:rPr>
          <w:sz w:val="28"/>
        </w:rPr>
      </w:pPr>
      <w:r>
        <w:rPr>
          <w:spacing w:val="-3"/>
          <w:sz w:val="28"/>
        </w:rPr>
        <w:t>完善特色产业集群认定奖励政策，大力培育支撑产业链、产业集群高质量发展的非营利性公共服务机构，支持机构牵头组织开展项目策划、</w:t>
      </w:r>
    </w:p>
    <w:p>
      <w:pPr>
        <w:spacing w:after="0" w:line="268" w:lineRule="auto"/>
        <w:jc w:val="left"/>
        <w:rPr>
          <w:sz w:val="28"/>
        </w:rPr>
        <w:sectPr>
          <w:pgSz w:w="11910" w:h="16840"/>
          <w:pgMar w:top="1580" w:right="1160" w:bottom="1160" w:left="1300" w:header="0" w:footer="978" w:gutter="0"/>
          <w:cols w:space="720" w:num="1"/>
        </w:sectPr>
      </w:pPr>
    </w:p>
    <w:p>
      <w:pPr>
        <w:pStyle w:val="3"/>
        <w:spacing w:before="144" w:line="266" w:lineRule="auto"/>
        <w:ind w:right="114" w:firstLine="0"/>
      </w:pPr>
      <w:r>
        <w:rPr>
          <w:spacing w:val="-3"/>
        </w:rPr>
        <w:t xml:space="preserve">成果转化、供需对接、人才招引等活动，根据通过公共服务实现的落地项 目投资额、技术交易额、龙头企业新增省内配套额、供货合同额、人才招 </w:t>
      </w:r>
      <w:r>
        <w:rPr>
          <w:spacing w:val="-8"/>
        </w:rPr>
        <w:t xml:space="preserve">引数量及质量等，给予最高 </w:t>
      </w:r>
      <w:r>
        <w:rPr>
          <w:rFonts w:ascii="Times New Roman" w:eastAsia="Times New Roman"/>
        </w:rPr>
        <w:t>100</w:t>
      </w:r>
      <w:r>
        <w:rPr>
          <w:rFonts w:ascii="Times New Roman" w:eastAsia="Times New Roman"/>
          <w:spacing w:val="5"/>
        </w:rPr>
        <w:t xml:space="preserve"> </w:t>
      </w:r>
      <w:r>
        <w:rPr>
          <w:spacing w:val="-3"/>
        </w:rPr>
        <w:t xml:space="preserve">万元奖励；对机构建设的协同创新、成果转化、检验检测、网络销售等产业链和产业集群公共服务平台，符合条件 </w:t>
      </w:r>
      <w:r>
        <w:rPr>
          <w:spacing w:val="-5"/>
        </w:rPr>
        <w:t>的采取财政资金股权投资方式予以支持。</w:t>
      </w:r>
      <w:r>
        <w:t>（</w:t>
      </w:r>
      <w:r>
        <w:rPr>
          <w:spacing w:val="-5"/>
        </w:rPr>
        <w:t>牵头单位：省工业和信息化厅、</w:t>
      </w:r>
      <w:r>
        <w:rPr>
          <w:spacing w:val="-3"/>
        </w:rPr>
        <w:t>省财政厅；责任单位：省科技厅、省市场监管局</w:t>
      </w:r>
      <w:r>
        <w:t>）</w:t>
      </w:r>
    </w:p>
    <w:p>
      <w:pPr>
        <w:pStyle w:val="8"/>
        <w:numPr>
          <w:ilvl w:val="0"/>
          <w:numId w:val="6"/>
        </w:numPr>
        <w:tabs>
          <w:tab w:val="left" w:pos="1028"/>
        </w:tabs>
        <w:spacing w:before="10" w:after="0" w:line="266" w:lineRule="auto"/>
        <w:ind w:left="115" w:right="114" w:firstLine="561"/>
        <w:jc w:val="left"/>
        <w:rPr>
          <w:sz w:val="28"/>
        </w:rPr>
      </w:pPr>
      <w:r>
        <w:rPr>
          <w:spacing w:val="-3"/>
          <w:sz w:val="28"/>
        </w:rPr>
        <w:t>实施重点产业链尖端技术人才奖励制度，在“十强”产业和未来新</w:t>
      </w:r>
      <w:r>
        <w:rPr>
          <w:spacing w:val="-7"/>
          <w:sz w:val="28"/>
        </w:rPr>
        <w:t xml:space="preserve">兴产业领域，对上年度研发费用不低于 </w:t>
      </w:r>
      <w:r>
        <w:rPr>
          <w:rFonts w:ascii="Times New Roman" w:hAnsi="Times New Roman" w:eastAsia="Times New Roman"/>
          <w:sz w:val="28"/>
        </w:rPr>
        <w:t>500</w:t>
      </w:r>
      <w:r>
        <w:rPr>
          <w:rFonts w:ascii="Times New Roman" w:hAnsi="Times New Roman" w:eastAsia="Times New Roman"/>
          <w:spacing w:val="1"/>
          <w:sz w:val="28"/>
        </w:rPr>
        <w:t xml:space="preserve"> </w:t>
      </w:r>
      <w:r>
        <w:rPr>
          <w:spacing w:val="-3"/>
          <w:sz w:val="28"/>
        </w:rPr>
        <w:t xml:space="preserve">万元且增幅达到 </w:t>
      </w:r>
      <w:r>
        <w:rPr>
          <w:rFonts w:ascii="Times New Roman" w:hAnsi="Times New Roman" w:eastAsia="Times New Roman"/>
          <w:sz w:val="28"/>
        </w:rPr>
        <w:t>10%</w:t>
      </w:r>
      <w:r>
        <w:rPr>
          <w:spacing w:val="-2"/>
          <w:sz w:val="28"/>
        </w:rPr>
        <w:t>以上的重</w:t>
      </w:r>
      <w:r>
        <w:rPr>
          <w:spacing w:val="-10"/>
          <w:sz w:val="28"/>
        </w:rPr>
        <w:t xml:space="preserve">点企业中，年薪高于 </w:t>
      </w:r>
      <w:r>
        <w:rPr>
          <w:rFonts w:ascii="Times New Roman" w:hAnsi="Times New Roman" w:eastAsia="Times New Roman"/>
          <w:sz w:val="28"/>
        </w:rPr>
        <w:t>100</w:t>
      </w:r>
      <w:r>
        <w:rPr>
          <w:rFonts w:ascii="Times New Roman" w:hAnsi="Times New Roman" w:eastAsia="Times New Roman"/>
          <w:spacing w:val="5"/>
          <w:sz w:val="28"/>
        </w:rPr>
        <w:t xml:space="preserve"> </w:t>
      </w:r>
      <w:r>
        <w:rPr>
          <w:spacing w:val="-3"/>
          <w:sz w:val="28"/>
        </w:rPr>
        <w:t xml:space="preserve">万元的研发一线人员，由省政府统一进行表扬， 其实际缴纳个人所得税市县级留成部分，由市县级政府全额予以奖励。按 </w:t>
      </w:r>
      <w:r>
        <w:rPr>
          <w:spacing w:val="1"/>
          <w:sz w:val="28"/>
        </w:rPr>
        <w:t xml:space="preserve">照国家统一部署，将制造业企业研发费用加计扣除比例由 </w:t>
      </w:r>
      <w:r>
        <w:rPr>
          <w:rFonts w:ascii="Times New Roman" w:hAnsi="Times New Roman" w:eastAsia="Times New Roman"/>
          <w:sz w:val="28"/>
        </w:rPr>
        <w:t>75%</w:t>
      </w:r>
      <w:r>
        <w:rPr>
          <w:spacing w:val="-2"/>
          <w:sz w:val="28"/>
        </w:rPr>
        <w:t>提高至</w:t>
      </w:r>
      <w:r>
        <w:rPr>
          <w:rFonts w:ascii="Times New Roman" w:hAnsi="Times New Roman" w:eastAsia="Times New Roman"/>
          <w:spacing w:val="-1"/>
          <w:sz w:val="28"/>
        </w:rPr>
        <w:t>100%</w:t>
      </w:r>
      <w:r>
        <w:rPr>
          <w:spacing w:val="-41"/>
          <w:sz w:val="28"/>
        </w:rPr>
        <w:t>。</w:t>
      </w:r>
      <w:r>
        <w:rPr>
          <w:sz w:val="28"/>
        </w:rPr>
        <w:t>（</w:t>
      </w:r>
      <w:r>
        <w:rPr>
          <w:spacing w:val="-10"/>
          <w:sz w:val="28"/>
        </w:rPr>
        <w:t>牵头单位：省工业和信息化厅、省税务局；责任单位：省科技厅、省财</w:t>
      </w:r>
      <w:r>
        <w:rPr>
          <w:sz w:val="28"/>
        </w:rPr>
        <w:t>政厅</w:t>
      </w:r>
      <w:r>
        <w:rPr>
          <w:spacing w:val="-3"/>
          <w:sz w:val="28"/>
        </w:rPr>
        <w:t>）加强人才住房保障，支持将符合条件的人才住房建设项目纳入 省级重点项目，享受要素保障相关政策。支持各市面向高层次人才，探索 发展</w:t>
      </w:r>
      <w:r>
        <w:rPr>
          <w:spacing w:val="-6"/>
          <w:sz w:val="28"/>
        </w:rPr>
        <w:t>共有产权住房。支持各市通过新建人才公寓或统筹现有公共租赁住房、保障</w:t>
      </w:r>
      <w:r>
        <w:rPr>
          <w:spacing w:val="-3"/>
          <w:sz w:val="28"/>
        </w:rPr>
        <w:t>性租赁住房、市场租赁住房、商品住房等资源，针对不同层次人才， 配套完善人才住房补贴政策和服务机制，宜租则租、宜补则补，解决人才 后顾之忧，由省政府对工作成效明显的市、县</w:t>
      </w:r>
      <w:r>
        <w:rPr>
          <w:sz w:val="28"/>
        </w:rPr>
        <w:t>（</w:t>
      </w:r>
      <w:r>
        <w:rPr>
          <w:spacing w:val="-2"/>
          <w:sz w:val="28"/>
        </w:rPr>
        <w:t>市、区</w:t>
      </w:r>
      <w:r>
        <w:rPr>
          <w:sz w:val="28"/>
        </w:rPr>
        <w:t>）</w:t>
      </w:r>
      <w:r>
        <w:rPr>
          <w:spacing w:val="-3"/>
          <w:sz w:val="28"/>
        </w:rPr>
        <w:t>予以通报表扬。</w:t>
      </w:r>
    </w:p>
    <w:p>
      <w:pPr>
        <w:pStyle w:val="3"/>
        <w:spacing w:before="22" w:line="268" w:lineRule="auto"/>
        <w:ind w:firstLine="0"/>
      </w:pPr>
      <w:r>
        <w:t>（牵头单位：省住房城乡建设厅、省人力资源社会保障厅；责任单位：省发展改革委）</w:t>
      </w:r>
    </w:p>
    <w:p>
      <w:pPr>
        <w:pStyle w:val="8"/>
        <w:numPr>
          <w:ilvl w:val="0"/>
          <w:numId w:val="6"/>
        </w:numPr>
        <w:tabs>
          <w:tab w:val="left" w:pos="1028"/>
        </w:tabs>
        <w:spacing w:before="0" w:after="0" w:line="268" w:lineRule="auto"/>
        <w:ind w:left="115" w:right="114" w:firstLine="561"/>
        <w:jc w:val="left"/>
        <w:rPr>
          <w:sz w:val="28"/>
        </w:rPr>
      </w:pPr>
      <w:r>
        <w:rPr>
          <w:spacing w:val="-3"/>
          <w:sz w:val="28"/>
        </w:rPr>
        <w:t xml:space="preserve">允许“零增地”技术改造项目先建后验，按需报审；在符合发展规划、产业政策、标准规范、投资强度、厂房结构安全、不改变工业用途的 </w:t>
      </w:r>
      <w:r>
        <w:rPr>
          <w:spacing w:val="-12"/>
          <w:sz w:val="28"/>
        </w:rPr>
        <w:t xml:space="preserve">前提下，重点技术改造项目容积率可提升至 </w:t>
      </w:r>
      <w:r>
        <w:rPr>
          <w:rFonts w:ascii="Times New Roman" w:hAnsi="Times New Roman" w:eastAsia="Times New Roman"/>
          <w:sz w:val="28"/>
        </w:rPr>
        <w:t>2.0</w:t>
      </w:r>
      <w:r>
        <w:rPr>
          <w:rFonts w:ascii="Times New Roman" w:hAnsi="Times New Roman" w:eastAsia="Times New Roman"/>
          <w:spacing w:val="3"/>
          <w:sz w:val="28"/>
        </w:rPr>
        <w:t xml:space="preserve"> </w:t>
      </w:r>
      <w:r>
        <w:rPr>
          <w:spacing w:val="-9"/>
          <w:sz w:val="28"/>
        </w:rPr>
        <w:t>以上。在原依法取得用地范</w:t>
      </w:r>
      <w:r>
        <w:rPr>
          <w:spacing w:val="-7"/>
          <w:sz w:val="28"/>
        </w:rPr>
        <w:t xml:space="preserve">围内的“零增地”技术改造项目，其增加建筑面积部分不再增收土地价款； </w:t>
      </w:r>
      <w:r>
        <w:rPr>
          <w:spacing w:val="-3"/>
          <w:sz w:val="28"/>
        </w:rPr>
        <w:t>企业在现有厂区内改建、翻建厂房，免收城市基础设施配套费，在现有厂 区内扩建、新建厂房按规定标准减半征收。结合工艺特点，建设地下厂房 的，地下部分免收城市基础设施配套费。</w:t>
      </w:r>
      <w:r>
        <w:rPr>
          <w:sz w:val="28"/>
        </w:rPr>
        <w:t>（</w:t>
      </w:r>
      <w:r>
        <w:rPr>
          <w:spacing w:val="-3"/>
          <w:sz w:val="28"/>
        </w:rPr>
        <w:t>牵头单位：省自然资源厅、省 住房城乡建设厅、省财政厅</w:t>
      </w:r>
      <w:r>
        <w:rPr>
          <w:sz w:val="28"/>
        </w:rPr>
        <w:t>）</w:t>
      </w:r>
    </w:p>
    <w:p>
      <w:pPr>
        <w:pStyle w:val="8"/>
        <w:numPr>
          <w:ilvl w:val="0"/>
          <w:numId w:val="6"/>
        </w:numPr>
        <w:tabs>
          <w:tab w:val="left" w:pos="1028"/>
        </w:tabs>
        <w:spacing w:before="0" w:after="0" w:line="266" w:lineRule="auto"/>
        <w:ind w:left="115" w:right="114" w:firstLine="561"/>
        <w:jc w:val="left"/>
        <w:rPr>
          <w:sz w:val="28"/>
        </w:rPr>
      </w:pPr>
      <w:r>
        <w:rPr>
          <w:spacing w:val="-3"/>
          <w:sz w:val="28"/>
        </w:rPr>
        <w:t xml:space="preserve">对各市符合集约节约用地要求的特色优势先进制造业新建或技术改造项目，土地出让底价，可按不低于所在地土地等别对应全国工业用地出 </w:t>
      </w:r>
      <w:r>
        <w:rPr>
          <w:spacing w:val="-12"/>
          <w:sz w:val="28"/>
        </w:rPr>
        <w:t xml:space="preserve">让最低价标准的 </w:t>
      </w:r>
      <w:r>
        <w:rPr>
          <w:rFonts w:ascii="Times New Roman" w:eastAsia="Times New Roman"/>
          <w:sz w:val="28"/>
        </w:rPr>
        <w:t>70%</w:t>
      </w:r>
      <w:r>
        <w:rPr>
          <w:spacing w:val="-3"/>
          <w:sz w:val="28"/>
        </w:rPr>
        <w:t xml:space="preserve">执行。按比例计算后低于该项目实际土地取得成本、土地前期开发成本和按规定应收取的相关费用之和的，应按不低于实际各 </w:t>
      </w:r>
      <w:r>
        <w:rPr>
          <w:spacing w:val="-5"/>
          <w:sz w:val="28"/>
        </w:rPr>
        <w:t xml:space="preserve">项成本费用之和的原则确定出让底价。对现有工业项目不改变用途前提下， </w:t>
      </w:r>
      <w:r>
        <w:rPr>
          <w:spacing w:val="-3"/>
          <w:sz w:val="28"/>
        </w:rPr>
        <w:t>提高利用效率和新建制造业项目建筑容积率超过国家、省、市规定部分，</w:t>
      </w:r>
    </w:p>
    <w:p>
      <w:pPr>
        <w:spacing w:after="0" w:line="266" w:lineRule="auto"/>
        <w:jc w:val="left"/>
        <w:rPr>
          <w:sz w:val="28"/>
        </w:rPr>
        <w:sectPr>
          <w:pgSz w:w="11910" w:h="16840"/>
          <w:pgMar w:top="1580" w:right="1160" w:bottom="1160" w:left="1300" w:header="0" w:footer="978" w:gutter="0"/>
          <w:cols w:space="720" w:num="1"/>
        </w:sectPr>
      </w:pPr>
    </w:p>
    <w:p>
      <w:pPr>
        <w:pStyle w:val="3"/>
        <w:spacing w:before="144"/>
        <w:ind w:right="0" w:firstLine="0"/>
      </w:pPr>
      <w:r>
        <w:t>不再增收土地价款。（牵头单位：省自然资源厅）</w:t>
      </w:r>
    </w:p>
    <w:p>
      <w:pPr>
        <w:pStyle w:val="8"/>
        <w:numPr>
          <w:ilvl w:val="0"/>
          <w:numId w:val="6"/>
        </w:numPr>
        <w:tabs>
          <w:tab w:val="left" w:pos="1028"/>
        </w:tabs>
        <w:spacing w:before="42" w:after="0" w:line="266" w:lineRule="auto"/>
        <w:ind w:left="115" w:right="114" w:firstLine="561"/>
        <w:jc w:val="left"/>
        <w:rPr>
          <w:sz w:val="28"/>
        </w:rPr>
      </w:pPr>
      <w:r>
        <w:rPr>
          <w:spacing w:val="-3"/>
          <w:sz w:val="28"/>
        </w:rPr>
        <w:t>先进制造业项目用地可采取长期租赁、先租后让、弹性年期出让等</w:t>
      </w:r>
      <w:r>
        <w:rPr>
          <w:spacing w:val="-6"/>
          <w:sz w:val="28"/>
        </w:rPr>
        <w:t xml:space="preserve">多种方式取得土地使用权。采取长期租赁方式供地的可以调整为出让供地， </w:t>
      </w:r>
      <w:r>
        <w:rPr>
          <w:spacing w:val="-3"/>
          <w:sz w:val="28"/>
        </w:rPr>
        <w:t>采取弹性年期出让的在出让期间内可以调整至最高年期。以长期租赁、先 租后让、弹性年期出让等方式取得土地使用权的，土地使用权在使用年期 内可以依法转让、转租或抵押。</w:t>
      </w:r>
      <w:r>
        <w:rPr>
          <w:sz w:val="28"/>
        </w:rPr>
        <w:t>（</w:t>
      </w:r>
      <w:r>
        <w:rPr>
          <w:spacing w:val="-3"/>
          <w:sz w:val="28"/>
        </w:rPr>
        <w:t>牵头单位：省自然资源厅</w:t>
      </w:r>
      <w:r>
        <w:rPr>
          <w:sz w:val="28"/>
        </w:rPr>
        <w:t>）</w:t>
      </w:r>
    </w:p>
    <w:p>
      <w:pPr>
        <w:pStyle w:val="8"/>
        <w:numPr>
          <w:ilvl w:val="0"/>
          <w:numId w:val="6"/>
        </w:numPr>
        <w:tabs>
          <w:tab w:val="left" w:pos="1028"/>
        </w:tabs>
        <w:spacing w:before="8" w:after="0" w:line="266" w:lineRule="auto"/>
        <w:ind w:left="115" w:right="114" w:firstLine="561"/>
        <w:jc w:val="left"/>
        <w:rPr>
          <w:sz w:val="28"/>
        </w:rPr>
      </w:pPr>
      <w:r>
        <w:rPr>
          <w:spacing w:val="-3"/>
          <w:sz w:val="28"/>
        </w:rPr>
        <w:t xml:space="preserve">对符合全省产业布局和新旧动能转换“三个坚决”要求的“两高” 行业企业，实施技术产品升级、环保节能改造、安全水平改造等不新增产 能、不增加能耗煤耗的技术改造项目，不受“两高”项目准入政策限制， </w:t>
      </w:r>
      <w:r>
        <w:rPr>
          <w:spacing w:val="-5"/>
          <w:sz w:val="28"/>
        </w:rPr>
        <w:t>依法依规予以核准备案。</w:t>
      </w:r>
      <w:r>
        <w:rPr>
          <w:sz w:val="28"/>
        </w:rPr>
        <w:t>（</w:t>
      </w:r>
      <w:r>
        <w:rPr>
          <w:spacing w:val="-5"/>
          <w:sz w:val="28"/>
        </w:rPr>
        <w:t>牵头单位：省发展改革委、省工业和信息化厅</w:t>
      </w:r>
      <w:r>
        <w:rPr>
          <w:sz w:val="28"/>
        </w:rPr>
        <w:t>）</w:t>
      </w:r>
    </w:p>
    <w:p>
      <w:pPr>
        <w:pStyle w:val="8"/>
        <w:numPr>
          <w:ilvl w:val="0"/>
          <w:numId w:val="6"/>
        </w:numPr>
        <w:tabs>
          <w:tab w:val="left" w:pos="1098"/>
        </w:tabs>
        <w:spacing w:before="8" w:after="0" w:line="266" w:lineRule="auto"/>
        <w:ind w:left="115" w:right="114" w:firstLine="561"/>
        <w:jc w:val="left"/>
        <w:rPr>
          <w:sz w:val="28"/>
        </w:rPr>
      </w:pPr>
      <w:r>
        <w:rPr>
          <w:rFonts w:ascii="Times New Roman" w:eastAsia="Times New Roman"/>
          <w:sz w:val="28"/>
        </w:rPr>
        <w:t>2021</w:t>
      </w:r>
      <w:r>
        <w:rPr>
          <w:rFonts w:ascii="Times New Roman" w:eastAsia="Times New Roman"/>
          <w:spacing w:val="2"/>
          <w:sz w:val="28"/>
        </w:rPr>
        <w:t xml:space="preserve"> </w:t>
      </w:r>
      <w:r>
        <w:rPr>
          <w:spacing w:val="-3"/>
          <w:sz w:val="28"/>
        </w:rPr>
        <w:t xml:space="preserve">年建立工业运行和技改投资常态化评价通报和奖励约谈机制， </w:t>
      </w:r>
      <w:r>
        <w:rPr>
          <w:spacing w:val="-21"/>
          <w:sz w:val="28"/>
        </w:rPr>
        <w:t xml:space="preserve">按照 </w:t>
      </w:r>
      <w:r>
        <w:rPr>
          <w:rFonts w:ascii="Times New Roman" w:eastAsia="Times New Roman"/>
          <w:sz w:val="28"/>
        </w:rPr>
        <w:t>2020</w:t>
      </w:r>
      <w:r>
        <w:rPr>
          <w:rFonts w:ascii="Times New Roman" w:eastAsia="Times New Roman"/>
          <w:spacing w:val="15"/>
          <w:sz w:val="28"/>
        </w:rPr>
        <w:t xml:space="preserve"> </w:t>
      </w:r>
      <w:r>
        <w:rPr>
          <w:spacing w:val="-6"/>
          <w:sz w:val="28"/>
        </w:rPr>
        <w:t xml:space="preserve">年度规模以上工业企业营业收入总量将 </w:t>
      </w:r>
      <w:r>
        <w:rPr>
          <w:rFonts w:ascii="Times New Roman" w:eastAsia="Times New Roman"/>
          <w:sz w:val="28"/>
        </w:rPr>
        <w:t>16</w:t>
      </w:r>
      <w:r>
        <w:rPr>
          <w:rFonts w:ascii="Times New Roman" w:eastAsia="Times New Roman"/>
          <w:spacing w:val="15"/>
          <w:sz w:val="28"/>
        </w:rPr>
        <w:t xml:space="preserve"> </w:t>
      </w:r>
      <w:r>
        <w:rPr>
          <w:spacing w:val="-9"/>
          <w:sz w:val="28"/>
        </w:rPr>
        <w:t xml:space="preserve">个设区的市划分为 </w:t>
      </w:r>
      <w:r>
        <w:rPr>
          <w:rFonts w:ascii="Times New Roman" w:eastAsia="Times New Roman"/>
          <w:sz w:val="28"/>
        </w:rPr>
        <w:t xml:space="preserve">3 </w:t>
      </w:r>
      <w:r>
        <w:rPr>
          <w:spacing w:val="-3"/>
          <w:sz w:val="28"/>
        </w:rPr>
        <w:t xml:space="preserve">个组别，以规模以上工业增加值增速、规模以上工业技术改造投资增速 </w:t>
      </w:r>
      <w:r>
        <w:rPr>
          <w:rFonts w:ascii="Times New Roman" w:eastAsia="Times New Roman"/>
          <w:sz w:val="28"/>
        </w:rPr>
        <w:t xml:space="preserve">2 </w:t>
      </w:r>
      <w:r>
        <w:rPr>
          <w:spacing w:val="-6"/>
          <w:sz w:val="28"/>
        </w:rPr>
        <w:t xml:space="preserve">项指标为依据，每月通报增长及排名情况。对每个组别 </w:t>
      </w:r>
      <w:r>
        <w:rPr>
          <w:rFonts w:ascii="Times New Roman" w:eastAsia="Times New Roman"/>
          <w:sz w:val="28"/>
        </w:rPr>
        <w:t>2</w:t>
      </w:r>
      <w:r>
        <w:rPr>
          <w:rFonts w:ascii="Times New Roman" w:eastAsia="Times New Roman"/>
          <w:spacing w:val="4"/>
          <w:sz w:val="28"/>
        </w:rPr>
        <w:t xml:space="preserve"> </w:t>
      </w:r>
      <w:r>
        <w:rPr>
          <w:spacing w:val="-3"/>
          <w:sz w:val="28"/>
        </w:rPr>
        <w:t>项指标全年累计</w:t>
      </w:r>
      <w:r>
        <w:rPr>
          <w:spacing w:val="-7"/>
          <w:sz w:val="28"/>
        </w:rPr>
        <w:t xml:space="preserve">增速分别排名首位的市，给予最高 </w:t>
      </w:r>
      <w:r>
        <w:rPr>
          <w:rFonts w:ascii="Times New Roman" w:eastAsia="Times New Roman"/>
          <w:sz w:val="28"/>
        </w:rPr>
        <w:t>500</w:t>
      </w:r>
      <w:r>
        <w:rPr>
          <w:rFonts w:ascii="Times New Roman" w:eastAsia="Times New Roman"/>
          <w:spacing w:val="5"/>
          <w:sz w:val="28"/>
        </w:rPr>
        <w:t xml:space="preserve"> </w:t>
      </w:r>
      <w:r>
        <w:rPr>
          <w:spacing w:val="-3"/>
          <w:sz w:val="28"/>
        </w:rPr>
        <w:t>万元一次性奖励；按季度对每个组</w:t>
      </w:r>
      <w:r>
        <w:rPr>
          <w:spacing w:val="-35"/>
          <w:sz w:val="28"/>
        </w:rPr>
        <w:t xml:space="preserve">别 </w:t>
      </w:r>
      <w:r>
        <w:rPr>
          <w:rFonts w:ascii="Times New Roman" w:eastAsia="Times New Roman"/>
          <w:sz w:val="28"/>
        </w:rPr>
        <w:t>2</w:t>
      </w:r>
      <w:r>
        <w:rPr>
          <w:rFonts w:ascii="Times New Roman" w:eastAsia="Times New Roman"/>
          <w:spacing w:val="6"/>
          <w:sz w:val="28"/>
        </w:rPr>
        <w:t xml:space="preserve"> </w:t>
      </w:r>
      <w:r>
        <w:rPr>
          <w:spacing w:val="-5"/>
          <w:sz w:val="28"/>
        </w:rPr>
        <w:t>项指标累计增速分别排名末位的市，省政府将约谈市政府主要负责人。</w:t>
      </w:r>
    </w:p>
    <w:p>
      <w:pPr>
        <w:pStyle w:val="3"/>
        <w:spacing w:before="10"/>
        <w:ind w:right="0" w:firstLine="0"/>
      </w:pPr>
      <w:r>
        <w:t>（牵头单位：省工业和信息化厅、省财政厅）</w:t>
      </w:r>
    </w:p>
    <w:p>
      <w:pPr>
        <w:pStyle w:val="3"/>
        <w:spacing w:before="18"/>
        <w:ind w:left="677" w:right="0" w:firstLine="0"/>
        <w:rPr>
          <w:rFonts w:hint="eastAsia" w:ascii="华文细黑" w:eastAsia="华文细黑"/>
        </w:rPr>
      </w:pPr>
      <w:r>
        <w:rPr>
          <w:rFonts w:hint="eastAsia" w:ascii="华文细黑" w:eastAsia="华文细黑"/>
          <w:spacing w:val="-3"/>
        </w:rPr>
        <w:t>二、充分激发社会消费潜力</w:t>
      </w:r>
    </w:p>
    <w:p>
      <w:pPr>
        <w:pStyle w:val="8"/>
        <w:numPr>
          <w:ilvl w:val="0"/>
          <w:numId w:val="6"/>
        </w:numPr>
        <w:tabs>
          <w:tab w:val="left" w:pos="1168"/>
        </w:tabs>
        <w:spacing w:before="4" w:after="0" w:line="266" w:lineRule="auto"/>
        <w:ind w:left="115" w:right="253" w:firstLine="561"/>
        <w:jc w:val="left"/>
        <w:rPr>
          <w:sz w:val="28"/>
        </w:rPr>
      </w:pPr>
      <w:r>
        <w:rPr>
          <w:spacing w:val="-11"/>
          <w:sz w:val="28"/>
        </w:rPr>
        <w:t>支持促进新能源汽车消费，将我省现行新能源汽车购置补贴政策延</w:t>
      </w:r>
      <w:r>
        <w:rPr>
          <w:spacing w:val="-31"/>
          <w:sz w:val="28"/>
        </w:rPr>
        <w:t xml:space="preserve">长至 </w:t>
      </w:r>
      <w:r>
        <w:rPr>
          <w:rFonts w:ascii="Times New Roman" w:eastAsia="Times New Roman"/>
          <w:sz w:val="28"/>
        </w:rPr>
        <w:t xml:space="preserve">2022 </w:t>
      </w:r>
      <w:r>
        <w:rPr>
          <w:spacing w:val="-21"/>
          <w:sz w:val="28"/>
        </w:rPr>
        <w:t xml:space="preserve">年底，对 </w:t>
      </w:r>
      <w:r>
        <w:rPr>
          <w:rFonts w:ascii="Times New Roman" w:eastAsia="Times New Roman"/>
          <w:sz w:val="28"/>
        </w:rPr>
        <w:t xml:space="preserve">2021 </w:t>
      </w:r>
      <w:r>
        <w:rPr>
          <w:spacing w:val="-7"/>
          <w:sz w:val="28"/>
        </w:rPr>
        <w:t xml:space="preserve">年符合条件的非公共领域新能源汽车最高补贴 </w:t>
      </w:r>
      <w:r>
        <w:rPr>
          <w:rFonts w:ascii="Times New Roman" w:eastAsia="Times New Roman"/>
          <w:sz w:val="28"/>
        </w:rPr>
        <w:t xml:space="preserve">7.2 </w:t>
      </w:r>
      <w:r>
        <w:rPr>
          <w:spacing w:val="-1"/>
          <w:w w:val="100"/>
          <w:sz w:val="28"/>
        </w:rPr>
        <w:t>万元</w:t>
      </w:r>
      <w:r>
        <w:rPr>
          <w:rFonts w:ascii="Times New Roman" w:eastAsia="Times New Roman"/>
          <w:spacing w:val="-2"/>
          <w:w w:val="100"/>
          <w:sz w:val="28"/>
        </w:rPr>
        <w:t>/</w:t>
      </w:r>
      <w:r>
        <w:rPr>
          <w:spacing w:val="-11"/>
          <w:w w:val="100"/>
          <w:sz w:val="28"/>
        </w:rPr>
        <w:t>辆，公共领域新能源汽车最高补贴</w:t>
      </w:r>
      <w:r>
        <w:rPr>
          <w:rFonts w:ascii="Times New Roman" w:eastAsia="Times New Roman"/>
          <w:spacing w:val="-2"/>
          <w:w w:val="100"/>
          <w:sz w:val="28"/>
        </w:rPr>
        <w:t>8</w:t>
      </w:r>
      <w:r>
        <w:rPr>
          <w:rFonts w:ascii="Times New Roman" w:eastAsia="Times New Roman"/>
          <w:spacing w:val="-1"/>
          <w:w w:val="100"/>
          <w:sz w:val="28"/>
        </w:rPr>
        <w:t>.</w:t>
      </w:r>
      <w:r>
        <w:rPr>
          <w:rFonts w:ascii="Times New Roman" w:eastAsia="Times New Roman"/>
          <w:w w:val="100"/>
          <w:sz w:val="28"/>
        </w:rPr>
        <w:t>1</w:t>
      </w:r>
      <w:r>
        <w:rPr>
          <w:rFonts w:ascii="Times New Roman" w:eastAsia="Times New Roman"/>
          <w:spacing w:val="-29"/>
          <w:sz w:val="28"/>
        </w:rPr>
        <w:t xml:space="preserve"> </w:t>
      </w:r>
      <w:r>
        <w:rPr>
          <w:spacing w:val="-1"/>
          <w:w w:val="100"/>
          <w:sz w:val="28"/>
        </w:rPr>
        <w:t>万元</w:t>
      </w:r>
      <w:r>
        <w:rPr>
          <w:rFonts w:ascii="Times New Roman" w:eastAsia="Times New Roman"/>
          <w:spacing w:val="-2"/>
          <w:w w:val="100"/>
          <w:sz w:val="28"/>
        </w:rPr>
        <w:t>/</w:t>
      </w:r>
      <w:r>
        <w:rPr>
          <w:spacing w:val="-72"/>
          <w:w w:val="100"/>
          <w:sz w:val="28"/>
        </w:rPr>
        <w:t>辆，</w:t>
      </w:r>
      <w:r>
        <w:rPr>
          <w:rFonts w:ascii="Times New Roman" w:eastAsia="Times New Roman"/>
          <w:spacing w:val="-2"/>
          <w:w w:val="100"/>
          <w:sz w:val="28"/>
        </w:rPr>
        <w:t>20</w:t>
      </w:r>
      <w:r>
        <w:rPr>
          <w:rFonts w:ascii="Times New Roman" w:eastAsia="Times New Roman"/>
          <w:spacing w:val="1"/>
          <w:w w:val="100"/>
          <w:sz w:val="28"/>
        </w:rPr>
        <w:t>2</w:t>
      </w:r>
      <w:r>
        <w:rPr>
          <w:rFonts w:ascii="Times New Roman" w:eastAsia="Times New Roman"/>
          <w:w w:val="100"/>
          <w:sz w:val="28"/>
        </w:rPr>
        <w:t>2</w:t>
      </w:r>
      <w:r>
        <w:rPr>
          <w:rFonts w:ascii="Times New Roman" w:eastAsia="Times New Roman"/>
          <w:spacing w:val="-29"/>
          <w:sz w:val="28"/>
        </w:rPr>
        <w:t xml:space="preserve"> </w:t>
      </w:r>
      <w:r>
        <w:rPr>
          <w:spacing w:val="4"/>
          <w:w w:val="100"/>
          <w:sz w:val="28"/>
        </w:rPr>
        <w:t>年补贴标准在</w:t>
      </w:r>
      <w:r>
        <w:rPr>
          <w:rFonts w:ascii="Times New Roman" w:eastAsia="Times New Roman"/>
          <w:spacing w:val="-2"/>
          <w:w w:val="100"/>
          <w:sz w:val="28"/>
        </w:rPr>
        <w:t>20</w:t>
      </w:r>
      <w:r>
        <w:rPr>
          <w:rFonts w:ascii="Times New Roman" w:eastAsia="Times New Roman"/>
          <w:spacing w:val="1"/>
          <w:w w:val="100"/>
          <w:sz w:val="28"/>
        </w:rPr>
        <w:t>2</w:t>
      </w:r>
      <w:r>
        <w:rPr>
          <w:rFonts w:ascii="Times New Roman" w:eastAsia="Times New Roman"/>
          <w:w w:val="100"/>
          <w:sz w:val="28"/>
        </w:rPr>
        <w:t>1</w:t>
      </w:r>
      <w:r>
        <w:rPr>
          <w:spacing w:val="-10"/>
          <w:sz w:val="28"/>
        </w:rPr>
        <w:t xml:space="preserve">年基础上按规定退坡 </w:t>
      </w:r>
      <w:r>
        <w:rPr>
          <w:rFonts w:ascii="Times New Roman" w:eastAsia="Times New Roman"/>
          <w:spacing w:val="-2"/>
          <w:sz w:val="28"/>
        </w:rPr>
        <w:t>30%</w:t>
      </w:r>
      <w:r>
        <w:rPr>
          <w:spacing w:val="-3"/>
          <w:sz w:val="28"/>
        </w:rPr>
        <w:t>。扩大党政机关、公共机构和企事业单位新能源</w:t>
      </w:r>
      <w:r>
        <w:rPr>
          <w:spacing w:val="-6"/>
          <w:sz w:val="28"/>
        </w:rPr>
        <w:t xml:space="preserve">汽车配备比例，新增及更新车辆中新能源汽车比例不低于 </w:t>
      </w:r>
      <w:r>
        <w:rPr>
          <w:rFonts w:ascii="Times New Roman" w:eastAsia="Times New Roman"/>
          <w:sz w:val="28"/>
        </w:rPr>
        <w:t>30%</w:t>
      </w:r>
      <w:r>
        <w:rPr>
          <w:spacing w:val="-2"/>
          <w:sz w:val="28"/>
        </w:rPr>
        <w:t>；重点区域</w:t>
      </w:r>
      <w:r>
        <w:rPr>
          <w:spacing w:val="-6"/>
          <w:sz w:val="28"/>
        </w:rPr>
        <w:t xml:space="preserve">巡游出租汽车新增及更新车辆中新能源汽车比例不低于 </w:t>
      </w:r>
      <w:r>
        <w:rPr>
          <w:rFonts w:ascii="Times New Roman" w:eastAsia="Times New Roman"/>
          <w:sz w:val="28"/>
        </w:rPr>
        <w:t>30%</w:t>
      </w:r>
      <w:r>
        <w:rPr>
          <w:spacing w:val="-3"/>
          <w:sz w:val="28"/>
        </w:rPr>
        <w:t>，鼓励网络预约出租汽车使用新能源汽车，环卫、邮政快递新增及更新为新能源汽车比</w:t>
      </w:r>
      <w:r>
        <w:rPr>
          <w:spacing w:val="-16"/>
          <w:sz w:val="28"/>
        </w:rPr>
        <w:t xml:space="preserve">例不低于 </w:t>
      </w:r>
      <w:r>
        <w:rPr>
          <w:rFonts w:ascii="Times New Roman" w:eastAsia="Times New Roman"/>
          <w:sz w:val="28"/>
        </w:rPr>
        <w:t>10%</w:t>
      </w:r>
      <w:r>
        <w:rPr>
          <w:sz w:val="28"/>
        </w:rPr>
        <w:t>。</w:t>
      </w:r>
      <w:r>
        <w:rPr>
          <w:spacing w:val="-3"/>
          <w:sz w:val="28"/>
        </w:rPr>
        <w:t>（牵头单位：省工业和信息化厅、省机关事务管理局、省交通运输厅、省邮政管理局、省财政厅</w:t>
      </w:r>
      <w:r>
        <w:rPr>
          <w:sz w:val="28"/>
        </w:rPr>
        <w:t>）</w:t>
      </w:r>
    </w:p>
    <w:p>
      <w:pPr>
        <w:pStyle w:val="8"/>
        <w:numPr>
          <w:ilvl w:val="0"/>
          <w:numId w:val="6"/>
        </w:numPr>
        <w:tabs>
          <w:tab w:val="left" w:pos="1168"/>
        </w:tabs>
        <w:spacing w:before="16" w:after="0" w:line="266" w:lineRule="auto"/>
        <w:ind w:left="115" w:right="114" w:firstLine="561"/>
        <w:jc w:val="left"/>
        <w:rPr>
          <w:sz w:val="28"/>
        </w:rPr>
      </w:pPr>
      <w:r>
        <w:rPr>
          <w:spacing w:val="-10"/>
          <w:sz w:val="28"/>
        </w:rPr>
        <w:t>加大充电基础设施建设支持力度。将独立占地的公共充换电站纳入</w:t>
      </w:r>
      <w:r>
        <w:rPr>
          <w:spacing w:val="-6"/>
          <w:sz w:val="28"/>
        </w:rPr>
        <w:t xml:space="preserve">国土空间详细规划，按照公用设施营业网点用地明确土地供应方式和流程， </w:t>
      </w:r>
      <w:r>
        <w:rPr>
          <w:spacing w:val="-3"/>
          <w:sz w:val="28"/>
        </w:rPr>
        <w:t>支持采用租赁用地方式建设公共充换电站。（牵头单位：省自然资源厅； 责任单位：省能源局</w:t>
      </w:r>
      <w:r>
        <w:rPr>
          <w:sz w:val="28"/>
        </w:rPr>
        <w:t>）</w:t>
      </w:r>
      <w:r>
        <w:rPr>
          <w:spacing w:val="-3"/>
          <w:sz w:val="28"/>
        </w:rPr>
        <w:t xml:space="preserve">全省新建的大型公共建筑物停车场、社会公共停车 场、公共文化娱乐场所停车场，配套建设充电基础设施的车位占总车位的 </w:t>
      </w:r>
      <w:r>
        <w:rPr>
          <w:spacing w:val="-16"/>
          <w:sz w:val="28"/>
        </w:rPr>
        <w:t xml:space="preserve">比例达到 </w:t>
      </w:r>
      <w:r>
        <w:rPr>
          <w:rFonts w:ascii="Times New Roman" w:eastAsia="Times New Roman"/>
          <w:sz w:val="28"/>
        </w:rPr>
        <w:t>15%</w:t>
      </w:r>
      <w:r>
        <w:rPr>
          <w:spacing w:val="-3"/>
          <w:sz w:val="28"/>
        </w:rPr>
        <w:t>以上，相关部门据此进行竣工验收。（</w:t>
      </w:r>
      <w:r>
        <w:rPr>
          <w:spacing w:val="-2"/>
          <w:sz w:val="28"/>
        </w:rPr>
        <w:t>牵头单位：省住房城</w:t>
      </w:r>
      <w:r>
        <w:rPr>
          <w:spacing w:val="-5"/>
          <w:sz w:val="28"/>
        </w:rPr>
        <w:t>乡建设厅、省自然资源厅、省公安厅</w:t>
      </w:r>
      <w:r>
        <w:rPr>
          <w:spacing w:val="-10"/>
          <w:sz w:val="28"/>
        </w:rPr>
        <w:t>）</w:t>
      </w:r>
      <w:r>
        <w:rPr>
          <w:spacing w:val="-3"/>
          <w:sz w:val="28"/>
        </w:rPr>
        <w:t>优化高速公路服务区充电设施布局，</w:t>
      </w:r>
    </w:p>
    <w:p>
      <w:pPr>
        <w:spacing w:after="0" w:line="266" w:lineRule="auto"/>
        <w:jc w:val="left"/>
        <w:rPr>
          <w:sz w:val="28"/>
        </w:rPr>
        <w:sectPr>
          <w:pgSz w:w="11910" w:h="16840"/>
          <w:pgMar w:top="1580" w:right="1160" w:bottom="1160" w:left="1300" w:header="0" w:footer="978" w:gutter="0"/>
          <w:cols w:space="720" w:num="1"/>
        </w:sectPr>
      </w:pPr>
    </w:p>
    <w:p>
      <w:pPr>
        <w:pStyle w:val="3"/>
        <w:spacing w:before="144" w:line="268" w:lineRule="auto"/>
        <w:ind w:right="255" w:firstLine="0"/>
      </w:pPr>
      <w:r>
        <w:rPr>
          <w:spacing w:val="-7"/>
        </w:rPr>
        <w:t xml:space="preserve">在省内主要高速公路服务区原则上按照 </w:t>
      </w:r>
      <w:r>
        <w:rPr>
          <w:rFonts w:ascii="Times New Roman" w:eastAsia="Times New Roman"/>
        </w:rPr>
        <w:t xml:space="preserve">50 </w:t>
      </w:r>
      <w:r>
        <w:rPr>
          <w:spacing w:val="-6"/>
        </w:rPr>
        <w:t>公里间距建设充电设施；提高省</w:t>
      </w:r>
      <w:r>
        <w:rPr>
          <w:spacing w:val="-3"/>
        </w:rPr>
        <w:t>内高速公路服务区、各级旅游景区等场所已建成公共充电站</w:t>
      </w:r>
      <w:r>
        <w:t>（桩</w:t>
      </w:r>
      <w:r>
        <w:rPr>
          <w:spacing w:val="-3"/>
        </w:rPr>
        <w:t>）</w:t>
      </w:r>
      <w:r>
        <w:t>管理维</w:t>
      </w:r>
      <w:r>
        <w:rPr>
          <w:spacing w:val="-7"/>
        </w:rPr>
        <w:t xml:space="preserve">护水平，确保充电桩完好可用率不低于 </w:t>
      </w:r>
      <w:r>
        <w:rPr>
          <w:rFonts w:ascii="Times New Roman" w:eastAsia="Times New Roman"/>
        </w:rPr>
        <w:t>95%</w:t>
      </w:r>
      <w:r>
        <w:rPr>
          <w:spacing w:val="-3"/>
        </w:rPr>
        <w:t>；支持通过合作经营等模式降低充电设施运营成本。（牵头单位：省交通运输厅、省文化和旅游厅；责任单位：省能源局、国网山东省电力公司、山东高速集团</w:t>
      </w:r>
      <w:r>
        <w:t>）</w:t>
      </w:r>
    </w:p>
    <w:p>
      <w:pPr>
        <w:pStyle w:val="8"/>
        <w:numPr>
          <w:ilvl w:val="0"/>
          <w:numId w:val="6"/>
        </w:numPr>
        <w:tabs>
          <w:tab w:val="left" w:pos="1168"/>
        </w:tabs>
        <w:spacing w:before="0" w:after="0" w:line="266" w:lineRule="auto"/>
        <w:ind w:left="115" w:right="253" w:firstLine="561"/>
        <w:jc w:val="left"/>
        <w:rPr>
          <w:sz w:val="28"/>
        </w:rPr>
      </w:pPr>
      <w:r>
        <w:rPr>
          <w:spacing w:val="-11"/>
          <w:sz w:val="28"/>
        </w:rPr>
        <w:t>降低新能源汽车用电成本，对向电网经营企业直接报装接电的经营</w:t>
      </w:r>
      <w:r>
        <w:rPr>
          <w:spacing w:val="-13"/>
          <w:sz w:val="28"/>
        </w:rPr>
        <w:t>性集中式充换电设施用电，执行大工业用电价格，</w:t>
      </w:r>
      <w:r>
        <w:rPr>
          <w:rFonts w:ascii="Times New Roman" w:eastAsia="Times New Roman"/>
          <w:spacing w:val="-18"/>
          <w:sz w:val="28"/>
        </w:rPr>
        <w:t>2025</w:t>
      </w:r>
      <w:r>
        <w:rPr>
          <w:rFonts w:ascii="Times New Roman" w:eastAsia="Times New Roman"/>
          <w:spacing w:val="12"/>
          <w:sz w:val="28"/>
        </w:rPr>
        <w:t xml:space="preserve"> </w:t>
      </w:r>
      <w:r>
        <w:rPr>
          <w:spacing w:val="-14"/>
          <w:sz w:val="28"/>
        </w:rPr>
        <w:t>年底前免收需量</w:t>
      </w:r>
      <w:r>
        <w:rPr>
          <w:sz w:val="28"/>
        </w:rPr>
        <w:t>（容量</w:t>
      </w:r>
      <w:r>
        <w:rPr>
          <w:spacing w:val="-41"/>
          <w:sz w:val="28"/>
        </w:rPr>
        <w:t>）</w:t>
      </w:r>
      <w:r>
        <w:rPr>
          <w:spacing w:val="-13"/>
          <w:sz w:val="28"/>
        </w:rPr>
        <w:t xml:space="preserve">电费；延长电动公交汽车低谷电量奖励政策执行时间，对 </w:t>
      </w:r>
      <w:r>
        <w:rPr>
          <w:rFonts w:ascii="Times New Roman" w:eastAsia="Times New Roman"/>
          <w:sz w:val="28"/>
        </w:rPr>
        <w:t>2021</w:t>
      </w:r>
      <w:r>
        <w:rPr>
          <w:rFonts w:ascii="Times New Roman" w:eastAsia="Times New Roman"/>
          <w:spacing w:val="3"/>
          <w:sz w:val="28"/>
        </w:rPr>
        <w:t xml:space="preserve"> </w:t>
      </w:r>
      <w:r>
        <w:rPr>
          <w:sz w:val="28"/>
        </w:rPr>
        <w:t>年</w:t>
      </w:r>
      <w:r>
        <w:rPr>
          <w:rFonts w:ascii="Times New Roman" w:eastAsia="Times New Roman"/>
          <w:sz w:val="28"/>
        </w:rPr>
        <w:t xml:space="preserve">-2023 </w:t>
      </w:r>
      <w:r>
        <w:rPr>
          <w:spacing w:val="-8"/>
          <w:sz w:val="28"/>
        </w:rPr>
        <w:t xml:space="preserve">年电动公交汽车集中式充换电设施每使用 </w:t>
      </w:r>
      <w:r>
        <w:rPr>
          <w:rFonts w:ascii="Times New Roman" w:eastAsia="Times New Roman"/>
          <w:sz w:val="28"/>
        </w:rPr>
        <w:t>1</w:t>
      </w:r>
      <w:r>
        <w:rPr>
          <w:rFonts w:ascii="Times New Roman" w:eastAsia="Times New Roman"/>
          <w:spacing w:val="-6"/>
          <w:sz w:val="28"/>
        </w:rPr>
        <w:t xml:space="preserve"> </w:t>
      </w:r>
      <w:r>
        <w:rPr>
          <w:spacing w:val="-21"/>
          <w:sz w:val="28"/>
        </w:rPr>
        <w:t xml:space="preserve">千瓦时谷段电量，分别给予 </w:t>
      </w:r>
      <w:r>
        <w:rPr>
          <w:rFonts w:ascii="Times New Roman" w:eastAsia="Times New Roman"/>
          <w:sz w:val="28"/>
        </w:rPr>
        <w:t xml:space="preserve">0.91 </w:t>
      </w:r>
      <w:r>
        <w:rPr>
          <w:spacing w:val="-6"/>
          <w:sz w:val="28"/>
        </w:rPr>
        <w:t>千瓦时</w:t>
      </w:r>
      <w:r>
        <w:rPr>
          <w:sz w:val="28"/>
        </w:rPr>
        <w:t>（</w:t>
      </w:r>
      <w:r>
        <w:rPr>
          <w:rFonts w:ascii="Times New Roman" w:eastAsia="Times New Roman"/>
          <w:sz w:val="28"/>
        </w:rPr>
        <w:t>2021</w:t>
      </w:r>
      <w:r>
        <w:rPr>
          <w:rFonts w:ascii="Times New Roman" w:eastAsia="Times New Roman"/>
          <w:spacing w:val="-2"/>
          <w:sz w:val="28"/>
        </w:rPr>
        <w:t xml:space="preserve"> </w:t>
      </w:r>
      <w:r>
        <w:rPr>
          <w:sz w:val="28"/>
        </w:rPr>
        <w:t>年</w:t>
      </w:r>
      <w:r>
        <w:rPr>
          <w:spacing w:val="-15"/>
          <w:sz w:val="28"/>
        </w:rPr>
        <w:t>）</w:t>
      </w:r>
      <w:r>
        <w:rPr>
          <w:spacing w:val="-13"/>
          <w:sz w:val="28"/>
        </w:rPr>
        <w:t>、</w:t>
      </w:r>
      <w:r>
        <w:rPr>
          <w:rFonts w:ascii="Times New Roman" w:eastAsia="Times New Roman"/>
          <w:sz w:val="28"/>
        </w:rPr>
        <w:t>0.78</w:t>
      </w:r>
      <w:r>
        <w:rPr>
          <w:rFonts w:ascii="Times New Roman" w:eastAsia="Times New Roman"/>
          <w:spacing w:val="-1"/>
          <w:sz w:val="28"/>
        </w:rPr>
        <w:t xml:space="preserve"> </w:t>
      </w:r>
      <w:r>
        <w:rPr>
          <w:spacing w:val="-6"/>
          <w:sz w:val="28"/>
        </w:rPr>
        <w:t>千瓦时</w:t>
      </w:r>
      <w:r>
        <w:rPr>
          <w:sz w:val="28"/>
        </w:rPr>
        <w:t>（</w:t>
      </w:r>
      <w:r>
        <w:rPr>
          <w:rFonts w:ascii="Times New Roman" w:eastAsia="Times New Roman"/>
          <w:sz w:val="28"/>
        </w:rPr>
        <w:t>2022</w:t>
      </w:r>
      <w:r>
        <w:rPr>
          <w:rFonts w:ascii="Times New Roman" w:eastAsia="Times New Roman"/>
          <w:spacing w:val="2"/>
          <w:sz w:val="28"/>
        </w:rPr>
        <w:t xml:space="preserve"> </w:t>
      </w:r>
      <w:r>
        <w:rPr>
          <w:spacing w:val="-3"/>
          <w:sz w:val="28"/>
        </w:rPr>
        <w:t>年</w:t>
      </w:r>
      <w:r>
        <w:rPr>
          <w:spacing w:val="-13"/>
          <w:sz w:val="28"/>
        </w:rPr>
        <w:t>）</w:t>
      </w:r>
      <w:r>
        <w:rPr>
          <w:spacing w:val="-15"/>
          <w:sz w:val="28"/>
        </w:rPr>
        <w:t>、</w:t>
      </w:r>
      <w:r>
        <w:rPr>
          <w:rFonts w:ascii="Times New Roman" w:eastAsia="Times New Roman"/>
          <w:sz w:val="28"/>
        </w:rPr>
        <w:t>0.65</w:t>
      </w:r>
      <w:r>
        <w:rPr>
          <w:rFonts w:ascii="Times New Roman" w:eastAsia="Times New Roman"/>
          <w:spacing w:val="2"/>
          <w:sz w:val="28"/>
        </w:rPr>
        <w:t xml:space="preserve"> </w:t>
      </w:r>
      <w:r>
        <w:rPr>
          <w:spacing w:val="-6"/>
          <w:sz w:val="28"/>
        </w:rPr>
        <w:t>千瓦时</w:t>
      </w:r>
      <w:r>
        <w:rPr>
          <w:sz w:val="28"/>
        </w:rPr>
        <w:t>（</w:t>
      </w:r>
      <w:r>
        <w:rPr>
          <w:rFonts w:ascii="Times New Roman" w:eastAsia="Times New Roman"/>
          <w:sz w:val="28"/>
        </w:rPr>
        <w:t>2023</w:t>
      </w:r>
      <w:r>
        <w:rPr>
          <w:rFonts w:ascii="Times New Roman" w:eastAsia="Times New Roman"/>
          <w:spacing w:val="2"/>
          <w:sz w:val="28"/>
        </w:rPr>
        <w:t xml:space="preserve"> </w:t>
      </w:r>
      <w:r>
        <w:rPr>
          <w:spacing w:val="-3"/>
          <w:sz w:val="28"/>
        </w:rPr>
        <w:t>年</w:t>
      </w:r>
      <w:r>
        <w:rPr>
          <w:spacing w:val="-13"/>
          <w:sz w:val="28"/>
        </w:rPr>
        <w:t>）</w:t>
      </w:r>
      <w:r>
        <w:rPr>
          <w:sz w:val="28"/>
        </w:rPr>
        <w:t>的谷</w:t>
      </w:r>
      <w:r>
        <w:rPr>
          <w:spacing w:val="-3"/>
          <w:sz w:val="28"/>
        </w:rPr>
        <w:t>段电量奖励，奖励电量用于抵扣峰段（</w:t>
      </w:r>
      <w:r>
        <w:rPr>
          <w:sz w:val="28"/>
        </w:rPr>
        <w:t>优先</w:t>
      </w:r>
      <w:r>
        <w:rPr>
          <w:spacing w:val="-3"/>
          <w:sz w:val="28"/>
        </w:rPr>
        <w:t>）和平段电量，降低电动公交汽车用电成本。（牵头单位：省发展改革委；责任单位：省能源局</w:t>
      </w:r>
      <w:r>
        <w:rPr>
          <w:sz w:val="28"/>
        </w:rPr>
        <w:t>）</w:t>
      </w:r>
    </w:p>
    <w:p>
      <w:pPr>
        <w:pStyle w:val="8"/>
        <w:numPr>
          <w:ilvl w:val="0"/>
          <w:numId w:val="6"/>
        </w:numPr>
        <w:tabs>
          <w:tab w:val="left" w:pos="1168"/>
        </w:tabs>
        <w:spacing w:before="3" w:after="0" w:line="266" w:lineRule="auto"/>
        <w:ind w:left="115" w:right="114" w:firstLine="561"/>
        <w:jc w:val="left"/>
        <w:rPr>
          <w:sz w:val="28"/>
        </w:rPr>
      </w:pPr>
      <w:r>
        <w:rPr>
          <w:spacing w:val="-18"/>
          <w:sz w:val="28"/>
        </w:rPr>
        <w:t>支持发展汽车消费金融，规范汽车消费贷款办理流程，在合法合规、</w:t>
      </w:r>
      <w:r>
        <w:rPr>
          <w:spacing w:val="-5"/>
          <w:sz w:val="28"/>
        </w:rPr>
        <w:t xml:space="preserve">风险可控的前提下执行个人汽车消费贷款最低首付比例，参考贷款市场报 </w:t>
      </w:r>
      <w:r>
        <w:rPr>
          <w:spacing w:val="-10"/>
          <w:sz w:val="28"/>
        </w:rPr>
        <w:t>价利率</w:t>
      </w:r>
      <w:r>
        <w:rPr>
          <w:spacing w:val="-9"/>
          <w:sz w:val="28"/>
        </w:rPr>
        <w:t>（</w:t>
      </w:r>
      <w:r>
        <w:rPr>
          <w:rFonts w:ascii="Times New Roman" w:eastAsia="Times New Roman"/>
          <w:spacing w:val="-9"/>
          <w:sz w:val="28"/>
        </w:rPr>
        <w:t>LPR</w:t>
      </w:r>
      <w:r>
        <w:rPr>
          <w:spacing w:val="-9"/>
          <w:sz w:val="28"/>
        </w:rPr>
        <w:t>）</w:t>
      </w:r>
      <w:r>
        <w:rPr>
          <w:spacing w:val="-7"/>
          <w:sz w:val="28"/>
        </w:rPr>
        <w:t>，合理确定个人汽车消费贷款利率。</w:t>
      </w:r>
      <w:r>
        <w:rPr>
          <w:sz w:val="28"/>
        </w:rPr>
        <w:t>（</w:t>
      </w:r>
      <w:r>
        <w:rPr>
          <w:spacing w:val="-6"/>
          <w:sz w:val="28"/>
        </w:rPr>
        <w:t>牵头单位：山东银保</w:t>
      </w:r>
      <w:r>
        <w:rPr>
          <w:spacing w:val="-3"/>
          <w:sz w:val="28"/>
        </w:rPr>
        <w:t>监局、省地方金融监管局、人民银行济南分行</w:t>
      </w:r>
      <w:r>
        <w:rPr>
          <w:sz w:val="28"/>
        </w:rPr>
        <w:t>）</w:t>
      </w:r>
    </w:p>
    <w:p>
      <w:pPr>
        <w:pStyle w:val="8"/>
        <w:numPr>
          <w:ilvl w:val="0"/>
          <w:numId w:val="6"/>
        </w:numPr>
        <w:tabs>
          <w:tab w:val="left" w:pos="1168"/>
        </w:tabs>
        <w:spacing w:before="8" w:after="0" w:line="266" w:lineRule="auto"/>
        <w:ind w:left="115" w:right="114" w:firstLine="561"/>
        <w:jc w:val="left"/>
        <w:rPr>
          <w:sz w:val="28"/>
        </w:rPr>
      </w:pPr>
      <w:r>
        <w:rPr>
          <w:spacing w:val="-18"/>
          <w:sz w:val="28"/>
        </w:rPr>
        <w:t>开展“好客山东”文化旅游主题信用卡“零元办卡”活动，省财政、</w:t>
      </w:r>
      <w:r>
        <w:rPr>
          <w:spacing w:val="-5"/>
          <w:sz w:val="28"/>
        </w:rPr>
        <w:t xml:space="preserve">金融机构、文旅企业共同对办卡费用进行补贴，主题信用卡享受全省 </w:t>
      </w:r>
      <w:r>
        <w:rPr>
          <w:rFonts w:ascii="Times New Roman" w:hAnsi="Times New Roman" w:eastAsia="Times New Roman"/>
          <w:sz w:val="28"/>
        </w:rPr>
        <w:t xml:space="preserve">130 </w:t>
      </w:r>
      <w:r>
        <w:rPr>
          <w:spacing w:val="-3"/>
          <w:sz w:val="28"/>
        </w:rPr>
        <w:t>家以上加盟景区首道门票免费、二次消费折扣及消费积分、分期等专属权 益。</w:t>
      </w:r>
      <w:r>
        <w:rPr>
          <w:sz w:val="28"/>
        </w:rPr>
        <w:t>（</w:t>
      </w:r>
      <w:r>
        <w:rPr>
          <w:spacing w:val="-3"/>
          <w:sz w:val="28"/>
        </w:rPr>
        <w:t>牵头单位：省文化和旅游厅、省财政厅</w:t>
      </w:r>
      <w:r>
        <w:rPr>
          <w:sz w:val="28"/>
        </w:rPr>
        <w:t>）</w:t>
      </w:r>
    </w:p>
    <w:p>
      <w:pPr>
        <w:pStyle w:val="8"/>
        <w:numPr>
          <w:ilvl w:val="0"/>
          <w:numId w:val="6"/>
        </w:numPr>
        <w:tabs>
          <w:tab w:val="left" w:pos="1168"/>
        </w:tabs>
        <w:spacing w:before="6" w:after="0" w:line="268" w:lineRule="auto"/>
        <w:ind w:left="115" w:right="114" w:firstLine="561"/>
        <w:jc w:val="left"/>
        <w:rPr>
          <w:sz w:val="28"/>
        </w:rPr>
      </w:pPr>
      <w:r>
        <w:rPr>
          <w:spacing w:val="-12"/>
          <w:sz w:val="28"/>
        </w:rPr>
        <w:t xml:space="preserve">统筹资金支持打造乡村旅游精品工程，协调解决 </w:t>
      </w:r>
      <w:r>
        <w:rPr>
          <w:rFonts w:ascii="Times New Roman" w:eastAsia="Times New Roman"/>
          <w:sz w:val="28"/>
        </w:rPr>
        <w:t>100</w:t>
      </w:r>
      <w:r>
        <w:rPr>
          <w:rFonts w:ascii="Times New Roman" w:eastAsia="Times New Roman"/>
          <w:spacing w:val="2"/>
          <w:sz w:val="28"/>
        </w:rPr>
        <w:t xml:space="preserve"> </w:t>
      </w:r>
      <w:r>
        <w:rPr>
          <w:spacing w:val="-3"/>
          <w:sz w:val="28"/>
        </w:rPr>
        <w:t>个村庄发展乡</w:t>
      </w:r>
      <w:r>
        <w:rPr>
          <w:spacing w:val="-11"/>
          <w:sz w:val="28"/>
        </w:rPr>
        <w:t>村旅游项目、</w:t>
      </w:r>
      <w:r>
        <w:rPr>
          <w:rFonts w:ascii="Times New Roman" w:eastAsia="Times New Roman"/>
          <w:sz w:val="28"/>
        </w:rPr>
        <w:t>100</w:t>
      </w:r>
      <w:r>
        <w:rPr>
          <w:rFonts w:ascii="Times New Roman" w:eastAsia="Times New Roman"/>
          <w:spacing w:val="1"/>
          <w:sz w:val="28"/>
        </w:rPr>
        <w:t xml:space="preserve"> </w:t>
      </w:r>
      <w:r>
        <w:rPr>
          <w:spacing w:val="-9"/>
          <w:sz w:val="28"/>
        </w:rPr>
        <w:t xml:space="preserve">条通往乡村旅游点道路和 </w:t>
      </w:r>
      <w:r>
        <w:rPr>
          <w:rFonts w:ascii="Times New Roman" w:eastAsia="Times New Roman"/>
          <w:sz w:val="28"/>
        </w:rPr>
        <w:t>100</w:t>
      </w:r>
      <w:r>
        <w:rPr>
          <w:rFonts w:ascii="Times New Roman" w:eastAsia="Times New Roman"/>
          <w:spacing w:val="1"/>
          <w:sz w:val="28"/>
        </w:rPr>
        <w:t xml:space="preserve"> </w:t>
      </w:r>
      <w:r>
        <w:rPr>
          <w:spacing w:val="-8"/>
          <w:sz w:val="28"/>
        </w:rPr>
        <w:t>个旅游民宿的建设问题。对</w:t>
      </w:r>
      <w:r>
        <w:rPr>
          <w:spacing w:val="-5"/>
          <w:sz w:val="28"/>
        </w:rPr>
        <w:t xml:space="preserve">在城镇土地使用税征收范围内，直接用于采摘和农业观光的种养殖的土地， </w:t>
      </w:r>
      <w:r>
        <w:rPr>
          <w:spacing w:val="-3"/>
          <w:sz w:val="28"/>
        </w:rPr>
        <w:t xml:space="preserve">免征城镇土地使用税；利用经自然资源部门批准整治和改造废弃土地发展 </w:t>
      </w:r>
      <w:r>
        <w:rPr>
          <w:spacing w:val="-8"/>
          <w:sz w:val="28"/>
        </w:rPr>
        <w:t xml:space="preserve">的乡村旅游项目，从使用的月份起免征城镇土地使用税 </w:t>
      </w:r>
      <w:r>
        <w:rPr>
          <w:rFonts w:ascii="Times New Roman" w:eastAsia="Times New Roman"/>
          <w:sz w:val="28"/>
        </w:rPr>
        <w:t>10</w:t>
      </w:r>
      <w:r>
        <w:rPr>
          <w:rFonts w:ascii="Times New Roman" w:eastAsia="Times New Roman"/>
          <w:spacing w:val="3"/>
          <w:sz w:val="28"/>
        </w:rPr>
        <w:t xml:space="preserve"> </w:t>
      </w:r>
      <w:r>
        <w:rPr>
          <w:spacing w:val="-5"/>
          <w:sz w:val="28"/>
        </w:rPr>
        <w:t>年；对个人出租</w:t>
      </w:r>
      <w:r>
        <w:rPr>
          <w:spacing w:val="-6"/>
          <w:sz w:val="28"/>
        </w:rPr>
        <w:t xml:space="preserve">住房经营乡村旅游的，免征城镇土地使用税，减按 </w:t>
      </w:r>
      <w:r>
        <w:rPr>
          <w:rFonts w:ascii="Times New Roman" w:eastAsia="Times New Roman"/>
          <w:sz w:val="28"/>
        </w:rPr>
        <w:t>4%</w:t>
      </w:r>
      <w:r>
        <w:rPr>
          <w:spacing w:val="-3"/>
          <w:sz w:val="28"/>
        </w:rPr>
        <w:t>的税率征收房产税。</w:t>
      </w:r>
    </w:p>
    <w:p>
      <w:pPr>
        <w:pStyle w:val="3"/>
        <w:spacing w:line="268" w:lineRule="auto"/>
        <w:ind w:firstLine="0"/>
      </w:pPr>
      <w:r>
        <w:t>（牵头单位：省文化和旅游厅、省财政厅、省税务局；责任单位：省自然资源厅、省农业农村厅）</w:t>
      </w:r>
    </w:p>
    <w:p>
      <w:pPr>
        <w:pStyle w:val="8"/>
        <w:numPr>
          <w:ilvl w:val="0"/>
          <w:numId w:val="6"/>
        </w:numPr>
        <w:tabs>
          <w:tab w:val="left" w:pos="1168"/>
        </w:tabs>
        <w:spacing w:before="0" w:after="0" w:line="266" w:lineRule="auto"/>
        <w:ind w:left="115" w:right="114" w:firstLine="561"/>
        <w:jc w:val="left"/>
        <w:rPr>
          <w:sz w:val="28"/>
        </w:rPr>
      </w:pPr>
      <w:r>
        <w:rPr>
          <w:spacing w:val="-9"/>
          <w:sz w:val="28"/>
        </w:rPr>
        <w:t>组织开展农村客货邮融合发展样板县建设，省财政对每个样板县给</w:t>
      </w:r>
      <w:r>
        <w:rPr>
          <w:spacing w:val="-39"/>
          <w:sz w:val="28"/>
        </w:rPr>
        <w:t xml:space="preserve">予 </w:t>
      </w:r>
      <w:r>
        <w:rPr>
          <w:rFonts w:ascii="Times New Roman" w:hAnsi="Times New Roman" w:eastAsia="Times New Roman"/>
          <w:sz w:val="28"/>
        </w:rPr>
        <w:t>100</w:t>
      </w:r>
      <w:r>
        <w:rPr>
          <w:rFonts w:ascii="Times New Roman" w:hAnsi="Times New Roman" w:eastAsia="Times New Roman"/>
          <w:spacing w:val="6"/>
          <w:sz w:val="28"/>
        </w:rPr>
        <w:t xml:space="preserve"> </w:t>
      </w:r>
      <w:r>
        <w:rPr>
          <w:spacing w:val="-3"/>
          <w:sz w:val="28"/>
        </w:rPr>
        <w:t>万元一次性奖补，促进农村客运、货运、快递邮政融合发展，打通</w:t>
      </w:r>
      <w:r>
        <w:rPr>
          <w:spacing w:val="-6"/>
          <w:sz w:val="28"/>
        </w:rPr>
        <w:t>农民出行、消费“最后一公里”。</w:t>
      </w:r>
      <w:r>
        <w:rPr>
          <w:sz w:val="28"/>
        </w:rPr>
        <w:t>（</w:t>
      </w:r>
      <w:r>
        <w:rPr>
          <w:spacing w:val="-5"/>
          <w:sz w:val="28"/>
        </w:rPr>
        <w:t xml:space="preserve">牵头单位：省交通运输厅、省财政厅； </w:t>
      </w:r>
      <w:r>
        <w:rPr>
          <w:spacing w:val="-3"/>
          <w:sz w:val="28"/>
        </w:rPr>
        <w:t>责任单位：省邮政管理局</w:t>
      </w:r>
      <w:r>
        <w:rPr>
          <w:sz w:val="28"/>
        </w:rPr>
        <w:t>）</w:t>
      </w:r>
    </w:p>
    <w:p>
      <w:pPr>
        <w:pStyle w:val="8"/>
        <w:numPr>
          <w:ilvl w:val="0"/>
          <w:numId w:val="6"/>
        </w:numPr>
        <w:tabs>
          <w:tab w:val="left" w:pos="1168"/>
        </w:tabs>
        <w:spacing w:before="0" w:after="0" w:line="268" w:lineRule="auto"/>
        <w:ind w:left="115" w:right="366" w:firstLine="561"/>
        <w:jc w:val="left"/>
        <w:rPr>
          <w:sz w:val="28"/>
        </w:rPr>
      </w:pPr>
      <w:r>
        <w:rPr>
          <w:spacing w:val="-8"/>
          <w:sz w:val="28"/>
        </w:rPr>
        <w:t xml:space="preserve">积极推进农村危房改造，落实好 </w:t>
      </w:r>
      <w:r>
        <w:rPr>
          <w:rFonts w:ascii="Times New Roman" w:eastAsia="Times New Roman"/>
          <w:sz w:val="28"/>
        </w:rPr>
        <w:t>4.86</w:t>
      </w:r>
      <w:r>
        <w:rPr>
          <w:rFonts w:ascii="Times New Roman" w:eastAsia="Times New Roman"/>
          <w:spacing w:val="6"/>
          <w:sz w:val="28"/>
        </w:rPr>
        <w:t xml:space="preserve"> </w:t>
      </w:r>
      <w:r>
        <w:rPr>
          <w:spacing w:val="-3"/>
          <w:sz w:val="28"/>
        </w:rPr>
        <w:t>亿元中央补助资金，加大省级涉农资金统筹支持力度，重点保障农村低收入群体住房安全。（</w:t>
      </w:r>
      <w:r>
        <w:rPr>
          <w:sz w:val="28"/>
        </w:rPr>
        <w:t>牵头单</w:t>
      </w:r>
    </w:p>
    <w:p>
      <w:pPr>
        <w:spacing w:after="0" w:line="268" w:lineRule="auto"/>
        <w:jc w:val="left"/>
        <w:rPr>
          <w:sz w:val="28"/>
        </w:rPr>
        <w:sectPr>
          <w:pgSz w:w="11910" w:h="16840"/>
          <w:pgMar w:top="1580" w:right="1160" w:bottom="1160" w:left="1300" w:header="0" w:footer="978" w:gutter="0"/>
          <w:cols w:space="720" w:num="1"/>
        </w:sectPr>
      </w:pPr>
    </w:p>
    <w:p>
      <w:pPr>
        <w:pStyle w:val="3"/>
        <w:spacing w:before="144"/>
        <w:ind w:right="0" w:firstLine="0"/>
      </w:pPr>
      <w:r>
        <w:t>位：省住房城乡建设厅、省财政厅）</w:t>
      </w:r>
    </w:p>
    <w:p>
      <w:pPr>
        <w:pStyle w:val="8"/>
        <w:numPr>
          <w:ilvl w:val="0"/>
          <w:numId w:val="6"/>
        </w:numPr>
        <w:tabs>
          <w:tab w:val="left" w:pos="1168"/>
        </w:tabs>
        <w:spacing w:before="42" w:after="0" w:line="266" w:lineRule="auto"/>
        <w:ind w:left="115" w:right="114" w:firstLine="561"/>
        <w:jc w:val="left"/>
        <w:rPr>
          <w:sz w:val="28"/>
        </w:rPr>
      </w:pPr>
      <w:r>
        <w:rPr>
          <w:spacing w:val="-3"/>
          <w:sz w:val="28"/>
        </w:rPr>
        <w:t xml:space="preserve">激励文化艺术院团在严格落实防疫措施的前提下开展常态化演出， 对省直艺术院团驻场演出给予成本性补贴，其中自有小型剧场演出每场补 </w:t>
      </w:r>
      <w:r>
        <w:rPr>
          <w:spacing w:val="-37"/>
          <w:sz w:val="28"/>
        </w:rPr>
        <w:t xml:space="preserve">贴 </w:t>
      </w:r>
      <w:r>
        <w:rPr>
          <w:rFonts w:ascii="Times New Roman" w:eastAsia="Times New Roman"/>
          <w:sz w:val="28"/>
        </w:rPr>
        <w:t>5000</w:t>
      </w:r>
      <w:r>
        <w:rPr>
          <w:rFonts w:ascii="Times New Roman" w:eastAsia="Times New Roman"/>
          <w:spacing w:val="4"/>
          <w:sz w:val="28"/>
        </w:rPr>
        <w:t xml:space="preserve"> </w:t>
      </w:r>
      <w:r>
        <w:rPr>
          <w:spacing w:val="-8"/>
          <w:sz w:val="28"/>
        </w:rPr>
        <w:t xml:space="preserve">元，自有中大型剧场每场补贴 </w:t>
      </w:r>
      <w:r>
        <w:rPr>
          <w:rFonts w:ascii="Times New Roman" w:eastAsia="Times New Roman"/>
          <w:sz w:val="28"/>
        </w:rPr>
        <w:t>8000</w:t>
      </w:r>
      <w:r>
        <w:rPr>
          <w:rFonts w:ascii="Times New Roman" w:eastAsia="Times New Roman"/>
          <w:spacing w:val="1"/>
          <w:sz w:val="28"/>
        </w:rPr>
        <w:t xml:space="preserve"> </w:t>
      </w:r>
      <w:r>
        <w:rPr>
          <w:spacing w:val="-3"/>
          <w:sz w:val="28"/>
        </w:rPr>
        <w:t>元，使用非自有大型剧场演出</w:t>
      </w:r>
      <w:r>
        <w:rPr>
          <w:spacing w:val="-14"/>
          <w:sz w:val="28"/>
        </w:rPr>
        <w:t xml:space="preserve">的每场补贴 </w:t>
      </w:r>
      <w:r>
        <w:rPr>
          <w:rFonts w:ascii="Times New Roman" w:eastAsia="Times New Roman"/>
          <w:sz w:val="28"/>
        </w:rPr>
        <w:t>1.2</w:t>
      </w:r>
      <w:r>
        <w:rPr>
          <w:rFonts w:ascii="Times New Roman" w:eastAsia="Times New Roman"/>
          <w:spacing w:val="3"/>
          <w:sz w:val="28"/>
        </w:rPr>
        <w:t xml:space="preserve"> </w:t>
      </w:r>
      <w:r>
        <w:rPr>
          <w:spacing w:val="-12"/>
          <w:sz w:val="28"/>
        </w:rPr>
        <w:t>万元。建立省直文艺院团精品演出激励机制，对省直文艺院</w:t>
      </w:r>
      <w:r>
        <w:rPr>
          <w:spacing w:val="-4"/>
          <w:sz w:val="28"/>
        </w:rPr>
        <w:t>团组织精品剧目开展省内外展演给予奖励。</w:t>
      </w:r>
      <w:r>
        <w:rPr>
          <w:sz w:val="28"/>
        </w:rPr>
        <w:t>（</w:t>
      </w:r>
      <w:r>
        <w:rPr>
          <w:spacing w:val="-5"/>
          <w:sz w:val="28"/>
        </w:rPr>
        <w:t>牵头单位：省文化和旅游厅、</w:t>
      </w:r>
      <w:r>
        <w:rPr>
          <w:spacing w:val="-3"/>
          <w:sz w:val="28"/>
        </w:rPr>
        <w:t>省财政厅</w:t>
      </w:r>
      <w:r>
        <w:rPr>
          <w:sz w:val="28"/>
        </w:rPr>
        <w:t>）</w:t>
      </w:r>
    </w:p>
    <w:p>
      <w:pPr>
        <w:pStyle w:val="8"/>
        <w:numPr>
          <w:ilvl w:val="0"/>
          <w:numId w:val="6"/>
        </w:numPr>
        <w:tabs>
          <w:tab w:val="left" w:pos="1168"/>
        </w:tabs>
        <w:spacing w:before="10" w:after="0" w:line="266" w:lineRule="auto"/>
        <w:ind w:left="115" w:right="253" w:firstLine="561"/>
        <w:jc w:val="left"/>
        <w:rPr>
          <w:sz w:val="28"/>
        </w:rPr>
      </w:pPr>
      <w:r>
        <w:rPr>
          <w:spacing w:val="-9"/>
          <w:sz w:val="28"/>
        </w:rPr>
        <w:t>加大文化行业减税降费力度。按照国家统一部署，对广告业和娱乐</w:t>
      </w:r>
      <w:r>
        <w:rPr>
          <w:spacing w:val="-7"/>
          <w:sz w:val="28"/>
        </w:rPr>
        <w:t xml:space="preserve">业继续免征文化事业建设费，政策执行时限截至 </w:t>
      </w:r>
      <w:r>
        <w:rPr>
          <w:rFonts w:ascii="Times New Roman" w:eastAsia="Times New Roman"/>
          <w:sz w:val="28"/>
        </w:rPr>
        <w:t>2021</w:t>
      </w:r>
      <w:r>
        <w:rPr>
          <w:rFonts w:ascii="Times New Roman" w:eastAsia="Times New Roman"/>
          <w:spacing w:val="1"/>
          <w:sz w:val="28"/>
        </w:rPr>
        <w:t xml:space="preserve"> </w:t>
      </w:r>
      <w:r>
        <w:rPr>
          <w:spacing w:val="-35"/>
          <w:sz w:val="28"/>
        </w:rPr>
        <w:t xml:space="preserve">年 </w:t>
      </w:r>
      <w:r>
        <w:rPr>
          <w:rFonts w:ascii="Times New Roman" w:eastAsia="Times New Roman"/>
          <w:sz w:val="28"/>
        </w:rPr>
        <w:t>12</w:t>
      </w:r>
      <w:r>
        <w:rPr>
          <w:rFonts w:ascii="Times New Roman" w:eastAsia="Times New Roman"/>
          <w:spacing w:val="1"/>
          <w:sz w:val="28"/>
        </w:rPr>
        <w:t xml:space="preserve"> </w:t>
      </w:r>
      <w:r>
        <w:rPr>
          <w:spacing w:val="-35"/>
          <w:sz w:val="28"/>
        </w:rPr>
        <w:t xml:space="preserve">月 </w:t>
      </w:r>
      <w:r>
        <w:rPr>
          <w:rFonts w:ascii="Times New Roman" w:eastAsia="Times New Roman"/>
          <w:sz w:val="28"/>
        </w:rPr>
        <w:t>31</w:t>
      </w:r>
      <w:r>
        <w:rPr>
          <w:rFonts w:ascii="Times New Roman" w:eastAsia="Times New Roman"/>
          <w:spacing w:val="1"/>
          <w:sz w:val="28"/>
        </w:rPr>
        <w:t xml:space="preserve"> </w:t>
      </w:r>
      <w:r>
        <w:rPr>
          <w:spacing w:val="-5"/>
          <w:sz w:val="28"/>
        </w:rPr>
        <w:t>日。对电</w:t>
      </w:r>
      <w:r>
        <w:rPr>
          <w:spacing w:val="-7"/>
          <w:sz w:val="28"/>
        </w:rPr>
        <w:t xml:space="preserve">影放映服务收入免征增值税，政策执行时限截至 </w:t>
      </w:r>
      <w:r>
        <w:rPr>
          <w:rFonts w:ascii="Times New Roman" w:eastAsia="Times New Roman"/>
          <w:sz w:val="28"/>
        </w:rPr>
        <w:t>2021</w:t>
      </w:r>
      <w:r>
        <w:rPr>
          <w:rFonts w:ascii="Times New Roman" w:eastAsia="Times New Roman"/>
          <w:spacing w:val="1"/>
          <w:sz w:val="28"/>
        </w:rPr>
        <w:t xml:space="preserve"> </w:t>
      </w:r>
      <w:r>
        <w:rPr>
          <w:spacing w:val="-35"/>
          <w:sz w:val="28"/>
        </w:rPr>
        <w:t xml:space="preserve">年 </w:t>
      </w:r>
      <w:r>
        <w:rPr>
          <w:rFonts w:ascii="Times New Roman" w:eastAsia="Times New Roman"/>
          <w:sz w:val="28"/>
        </w:rPr>
        <w:t>12</w:t>
      </w:r>
      <w:r>
        <w:rPr>
          <w:rFonts w:ascii="Times New Roman" w:eastAsia="Times New Roman"/>
          <w:spacing w:val="1"/>
          <w:sz w:val="28"/>
        </w:rPr>
        <w:t xml:space="preserve"> </w:t>
      </w:r>
      <w:r>
        <w:rPr>
          <w:spacing w:val="-35"/>
          <w:sz w:val="28"/>
        </w:rPr>
        <w:t xml:space="preserve">月 </w:t>
      </w:r>
      <w:r>
        <w:rPr>
          <w:rFonts w:ascii="Times New Roman" w:eastAsia="Times New Roman"/>
          <w:sz w:val="28"/>
        </w:rPr>
        <w:t>31</w:t>
      </w:r>
      <w:r>
        <w:rPr>
          <w:rFonts w:ascii="Times New Roman" w:eastAsia="Times New Roman"/>
          <w:spacing w:val="1"/>
          <w:sz w:val="28"/>
        </w:rPr>
        <w:t xml:space="preserve"> </w:t>
      </w:r>
      <w:r>
        <w:rPr>
          <w:spacing w:val="-5"/>
          <w:sz w:val="28"/>
        </w:rPr>
        <w:t>日。对符</w:t>
      </w:r>
      <w:r>
        <w:rPr>
          <w:spacing w:val="-3"/>
          <w:sz w:val="28"/>
        </w:rPr>
        <w:t>合条件的出版物在出版环节执行增值税先征后返政策，对图书批发、零售</w:t>
      </w:r>
      <w:r>
        <w:rPr>
          <w:spacing w:val="-8"/>
          <w:sz w:val="28"/>
        </w:rPr>
        <w:t xml:space="preserve">环节免征增值税，政策执行时限截至 </w:t>
      </w:r>
      <w:r>
        <w:rPr>
          <w:rFonts w:ascii="Times New Roman" w:eastAsia="Times New Roman"/>
          <w:sz w:val="28"/>
        </w:rPr>
        <w:t>2023</w:t>
      </w:r>
      <w:r>
        <w:rPr>
          <w:rFonts w:ascii="Times New Roman" w:eastAsia="Times New Roman"/>
          <w:spacing w:val="4"/>
          <w:sz w:val="28"/>
        </w:rPr>
        <w:t xml:space="preserve"> </w:t>
      </w:r>
      <w:r>
        <w:rPr>
          <w:spacing w:val="-35"/>
          <w:sz w:val="28"/>
        </w:rPr>
        <w:t xml:space="preserve">年 </w:t>
      </w:r>
      <w:r>
        <w:rPr>
          <w:rFonts w:ascii="Times New Roman" w:eastAsia="Times New Roman"/>
          <w:sz w:val="28"/>
        </w:rPr>
        <w:t>12</w:t>
      </w:r>
      <w:r>
        <w:rPr>
          <w:rFonts w:ascii="Times New Roman" w:eastAsia="Times New Roman"/>
          <w:spacing w:val="-1"/>
          <w:sz w:val="28"/>
        </w:rPr>
        <w:t xml:space="preserve"> </w:t>
      </w:r>
      <w:r>
        <w:rPr>
          <w:spacing w:val="-35"/>
          <w:sz w:val="28"/>
        </w:rPr>
        <w:t xml:space="preserve">月 </w:t>
      </w:r>
      <w:r>
        <w:rPr>
          <w:rFonts w:ascii="Times New Roman" w:eastAsia="Times New Roman"/>
          <w:sz w:val="28"/>
        </w:rPr>
        <w:t>31</w:t>
      </w:r>
      <w:r>
        <w:rPr>
          <w:rFonts w:ascii="Times New Roman" w:eastAsia="Times New Roman"/>
          <w:spacing w:val="1"/>
          <w:sz w:val="28"/>
        </w:rPr>
        <w:t xml:space="preserve"> </w:t>
      </w:r>
      <w:r>
        <w:rPr>
          <w:spacing w:val="-8"/>
          <w:sz w:val="28"/>
        </w:rPr>
        <w:t>日。</w:t>
      </w:r>
      <w:r>
        <w:rPr>
          <w:spacing w:val="-3"/>
          <w:sz w:val="28"/>
        </w:rPr>
        <w:t>（</w:t>
      </w:r>
      <w:r>
        <w:rPr>
          <w:spacing w:val="-4"/>
          <w:sz w:val="28"/>
        </w:rPr>
        <w:t>牵头单位：省</w:t>
      </w:r>
      <w:r>
        <w:rPr>
          <w:spacing w:val="-3"/>
          <w:sz w:val="28"/>
        </w:rPr>
        <w:t>财政厅、省税务局；责任单位：省文化和旅游厅</w:t>
      </w:r>
      <w:r>
        <w:rPr>
          <w:sz w:val="28"/>
        </w:rPr>
        <w:t>）</w:t>
      </w:r>
    </w:p>
    <w:p>
      <w:pPr>
        <w:pStyle w:val="8"/>
        <w:numPr>
          <w:ilvl w:val="0"/>
          <w:numId w:val="6"/>
        </w:numPr>
        <w:tabs>
          <w:tab w:val="left" w:pos="1168"/>
        </w:tabs>
        <w:spacing w:before="11" w:after="0" w:line="266" w:lineRule="auto"/>
        <w:ind w:left="115" w:right="114" w:firstLine="561"/>
        <w:jc w:val="left"/>
        <w:rPr>
          <w:sz w:val="28"/>
        </w:rPr>
      </w:pPr>
      <w:r>
        <w:rPr>
          <w:spacing w:val="-12"/>
          <w:sz w:val="28"/>
        </w:rPr>
        <w:t>加快发展养老产业，支持党政机关和国有企事业单位培训疗养机构</w:t>
      </w:r>
      <w:r>
        <w:rPr>
          <w:spacing w:val="-5"/>
          <w:sz w:val="28"/>
        </w:rPr>
        <w:t xml:space="preserve">转型养老服务设施项目建设，用好中央“积极应对人口老龄化工程和托育 </w:t>
      </w:r>
      <w:r>
        <w:rPr>
          <w:spacing w:val="-4"/>
          <w:sz w:val="28"/>
        </w:rPr>
        <w:t xml:space="preserve">建设”预算内专项资金扶持政策，对符合条件的转型社区型和医养结合型 </w:t>
      </w:r>
      <w:r>
        <w:rPr>
          <w:spacing w:val="-9"/>
          <w:sz w:val="28"/>
        </w:rPr>
        <w:t xml:space="preserve">养老服务设施按每张床位 </w:t>
      </w:r>
      <w:r>
        <w:rPr>
          <w:rFonts w:ascii="Times New Roman" w:hAnsi="Times New Roman" w:eastAsia="Times New Roman"/>
          <w:sz w:val="28"/>
        </w:rPr>
        <w:t>2</w:t>
      </w:r>
      <w:r>
        <w:rPr>
          <w:rFonts w:ascii="Times New Roman" w:hAnsi="Times New Roman" w:eastAsia="Times New Roman"/>
          <w:spacing w:val="1"/>
          <w:sz w:val="28"/>
        </w:rPr>
        <w:t xml:space="preserve"> </w:t>
      </w:r>
      <w:r>
        <w:rPr>
          <w:spacing w:val="-7"/>
          <w:sz w:val="28"/>
        </w:rPr>
        <w:t xml:space="preserve">万元、旅居型养老服务设施按每张床位 </w:t>
      </w:r>
      <w:r>
        <w:rPr>
          <w:rFonts w:ascii="Times New Roman" w:hAnsi="Times New Roman" w:eastAsia="Times New Roman"/>
          <w:sz w:val="28"/>
        </w:rPr>
        <w:t>1</w:t>
      </w:r>
      <w:r>
        <w:rPr>
          <w:rFonts w:ascii="Times New Roman" w:hAnsi="Times New Roman" w:eastAsia="Times New Roman"/>
          <w:spacing w:val="1"/>
          <w:sz w:val="28"/>
        </w:rPr>
        <w:t xml:space="preserve"> </w:t>
      </w:r>
      <w:r>
        <w:rPr>
          <w:sz w:val="28"/>
        </w:rPr>
        <w:t>万元</w:t>
      </w:r>
      <w:r>
        <w:rPr>
          <w:spacing w:val="-5"/>
          <w:sz w:val="28"/>
        </w:rPr>
        <w:t>标准给予补助，省级基建资金予以配套支持。</w:t>
      </w:r>
      <w:r>
        <w:rPr>
          <w:sz w:val="28"/>
        </w:rPr>
        <w:t>（</w:t>
      </w:r>
      <w:r>
        <w:rPr>
          <w:spacing w:val="-4"/>
          <w:sz w:val="28"/>
        </w:rPr>
        <w:t xml:space="preserve">牵头单位：省发展改革委； </w:t>
      </w:r>
      <w:r>
        <w:rPr>
          <w:spacing w:val="-3"/>
          <w:sz w:val="28"/>
        </w:rPr>
        <w:t>责任单位：省财政厅、省民政厅、省人力资源社会保障厅、省国资委</w:t>
      </w:r>
      <w:r>
        <w:rPr>
          <w:sz w:val="28"/>
        </w:rPr>
        <w:t>）</w:t>
      </w:r>
    </w:p>
    <w:p>
      <w:pPr>
        <w:pStyle w:val="8"/>
        <w:numPr>
          <w:ilvl w:val="0"/>
          <w:numId w:val="6"/>
        </w:numPr>
        <w:tabs>
          <w:tab w:val="left" w:pos="1168"/>
        </w:tabs>
        <w:spacing w:before="11" w:after="0" w:line="266" w:lineRule="auto"/>
        <w:ind w:left="115" w:right="253" w:firstLine="561"/>
        <w:jc w:val="left"/>
        <w:rPr>
          <w:sz w:val="28"/>
        </w:rPr>
      </w:pPr>
      <w:r>
        <w:rPr>
          <w:spacing w:val="-10"/>
          <w:sz w:val="28"/>
        </w:rPr>
        <w:t>采取流量券补贴等方式，支持企业参加“山东制造网行天下”特色</w:t>
      </w:r>
      <w:r>
        <w:rPr>
          <w:spacing w:val="-4"/>
          <w:sz w:val="28"/>
        </w:rPr>
        <w:t>产品网络销售专项行动，分领域分场次开展直播订货会、采销对接会等活</w:t>
      </w:r>
      <w:r>
        <w:rPr>
          <w:spacing w:val="-12"/>
          <w:sz w:val="28"/>
        </w:rPr>
        <w:t xml:space="preserve">动，每年新培育 </w:t>
      </w:r>
      <w:r>
        <w:rPr>
          <w:rFonts w:ascii="Times New Roman" w:hAnsi="Times New Roman" w:eastAsia="Times New Roman"/>
          <w:sz w:val="28"/>
        </w:rPr>
        <w:t>1</w:t>
      </w:r>
      <w:r>
        <w:rPr>
          <w:rFonts w:ascii="Times New Roman" w:hAnsi="Times New Roman" w:eastAsia="Times New Roman"/>
          <w:spacing w:val="3"/>
          <w:sz w:val="28"/>
        </w:rPr>
        <w:t xml:space="preserve"> </w:t>
      </w:r>
      <w:r>
        <w:rPr>
          <w:spacing w:val="-6"/>
          <w:sz w:val="28"/>
        </w:rPr>
        <w:t xml:space="preserve">万户网络销售应用企业，对企业流量费用最高补贴 </w:t>
      </w:r>
      <w:r>
        <w:rPr>
          <w:rFonts w:ascii="Times New Roman" w:hAnsi="Times New Roman" w:eastAsia="Times New Roman"/>
          <w:sz w:val="28"/>
        </w:rPr>
        <w:t xml:space="preserve">3000 </w:t>
      </w:r>
      <w:r>
        <w:rPr>
          <w:spacing w:val="-2"/>
          <w:sz w:val="28"/>
        </w:rPr>
        <w:t>元。</w:t>
      </w:r>
      <w:r>
        <w:rPr>
          <w:sz w:val="28"/>
        </w:rPr>
        <w:t>（</w:t>
      </w:r>
      <w:r>
        <w:rPr>
          <w:spacing w:val="-3"/>
          <w:sz w:val="28"/>
        </w:rPr>
        <w:t>牵头单位：省工业和信息化厅、省财政厅</w:t>
      </w:r>
      <w:r>
        <w:rPr>
          <w:sz w:val="28"/>
        </w:rPr>
        <w:t>）</w:t>
      </w:r>
    </w:p>
    <w:p>
      <w:pPr>
        <w:pStyle w:val="8"/>
        <w:numPr>
          <w:ilvl w:val="0"/>
          <w:numId w:val="6"/>
        </w:numPr>
        <w:tabs>
          <w:tab w:val="left" w:pos="1168"/>
        </w:tabs>
        <w:spacing w:before="5" w:after="0" w:line="268" w:lineRule="auto"/>
        <w:ind w:left="115" w:right="253" w:firstLine="561"/>
        <w:jc w:val="left"/>
        <w:rPr>
          <w:sz w:val="28"/>
        </w:rPr>
      </w:pPr>
      <w:r>
        <w:rPr>
          <w:spacing w:val="-11"/>
          <w:sz w:val="28"/>
        </w:rPr>
        <w:t>对符合条件的商业综合体、写字楼等用户开展储能峰谷分时电价政</w:t>
      </w:r>
      <w:r>
        <w:rPr>
          <w:spacing w:val="-5"/>
          <w:sz w:val="28"/>
        </w:rPr>
        <w:t>策试点，其电力储能技术装置低谷电价在现行标准基础上，每千瓦时再降</w:t>
      </w:r>
      <w:r>
        <w:rPr>
          <w:spacing w:val="-38"/>
          <w:sz w:val="28"/>
        </w:rPr>
        <w:t xml:space="preserve">低 </w:t>
      </w:r>
      <w:r>
        <w:rPr>
          <w:rFonts w:ascii="Times New Roman" w:eastAsia="Times New Roman"/>
          <w:sz w:val="28"/>
        </w:rPr>
        <w:t xml:space="preserve">3 </w:t>
      </w:r>
      <w:r>
        <w:rPr>
          <w:sz w:val="28"/>
        </w:rPr>
        <w:t>分</w:t>
      </w:r>
      <w:r>
        <w:rPr>
          <w:spacing w:val="-3"/>
          <w:sz w:val="28"/>
        </w:rPr>
        <w:t>（</w:t>
      </w:r>
      <w:r>
        <w:rPr>
          <w:sz w:val="28"/>
        </w:rPr>
        <w:t>含税</w:t>
      </w:r>
      <w:r>
        <w:rPr>
          <w:spacing w:val="-3"/>
          <w:sz w:val="28"/>
        </w:rPr>
        <w:t>）</w:t>
      </w:r>
      <w:r>
        <w:rPr>
          <w:sz w:val="28"/>
        </w:rPr>
        <w:t>。（</w:t>
      </w:r>
      <w:r>
        <w:rPr>
          <w:spacing w:val="-3"/>
          <w:sz w:val="28"/>
        </w:rPr>
        <w:t>牵头单位：省发展改革委</w:t>
      </w:r>
      <w:r>
        <w:rPr>
          <w:sz w:val="28"/>
        </w:rPr>
        <w:t>）</w:t>
      </w:r>
    </w:p>
    <w:p>
      <w:pPr>
        <w:pStyle w:val="8"/>
        <w:numPr>
          <w:ilvl w:val="0"/>
          <w:numId w:val="6"/>
        </w:numPr>
        <w:tabs>
          <w:tab w:val="left" w:pos="1168"/>
        </w:tabs>
        <w:spacing w:before="0" w:after="0" w:line="268" w:lineRule="auto"/>
        <w:ind w:left="115" w:right="253" w:firstLine="561"/>
        <w:jc w:val="both"/>
        <w:rPr>
          <w:sz w:val="28"/>
        </w:rPr>
      </w:pPr>
      <w:r>
        <w:rPr>
          <w:spacing w:val="-9"/>
          <w:sz w:val="28"/>
        </w:rPr>
        <w:t>开展省级步行街改造提升试点，对新列入试点的步行街，每条给予</w:t>
      </w:r>
      <w:r>
        <w:rPr>
          <w:rFonts w:ascii="Times New Roman" w:eastAsia="Times New Roman"/>
          <w:spacing w:val="-9"/>
          <w:sz w:val="28"/>
        </w:rPr>
        <w:t>100</w:t>
      </w:r>
      <w:r>
        <w:rPr>
          <w:rFonts w:ascii="Times New Roman" w:eastAsia="Times New Roman"/>
          <w:spacing w:val="5"/>
          <w:sz w:val="28"/>
        </w:rPr>
        <w:t xml:space="preserve"> </w:t>
      </w:r>
      <w:r>
        <w:rPr>
          <w:spacing w:val="-4"/>
          <w:sz w:val="28"/>
        </w:rPr>
        <w:t>万财政补贴，</w:t>
      </w:r>
      <w:r>
        <w:rPr>
          <w:rFonts w:ascii="Times New Roman" w:eastAsia="Times New Roman"/>
          <w:spacing w:val="-4"/>
          <w:sz w:val="28"/>
        </w:rPr>
        <w:t>2021</w:t>
      </w:r>
      <w:r>
        <w:rPr>
          <w:rFonts w:ascii="Times New Roman" w:eastAsia="Times New Roman"/>
          <w:spacing w:val="5"/>
          <w:sz w:val="28"/>
        </w:rPr>
        <w:t xml:space="preserve"> </w:t>
      </w:r>
      <w:r>
        <w:rPr>
          <w:spacing w:val="-8"/>
          <w:sz w:val="28"/>
        </w:rPr>
        <w:t xml:space="preserve">年底前全省试点步行街数量达到 </w:t>
      </w:r>
      <w:r>
        <w:rPr>
          <w:rFonts w:ascii="Times New Roman" w:eastAsia="Times New Roman"/>
          <w:sz w:val="28"/>
        </w:rPr>
        <w:t>30</w:t>
      </w:r>
      <w:r>
        <w:rPr>
          <w:rFonts w:ascii="Times New Roman" w:eastAsia="Times New Roman"/>
          <w:spacing w:val="2"/>
          <w:sz w:val="28"/>
        </w:rPr>
        <w:t xml:space="preserve"> </w:t>
      </w:r>
      <w:r>
        <w:rPr>
          <w:spacing w:val="-7"/>
          <w:sz w:val="28"/>
        </w:rPr>
        <w:t>条左右。</w:t>
      </w:r>
      <w:r>
        <w:rPr>
          <w:sz w:val="28"/>
        </w:rPr>
        <w:t>（牵头</w:t>
      </w:r>
      <w:r>
        <w:rPr>
          <w:spacing w:val="-3"/>
          <w:sz w:val="28"/>
        </w:rPr>
        <w:t>单位：省商务厅、省财政厅</w:t>
      </w:r>
      <w:r>
        <w:rPr>
          <w:sz w:val="28"/>
        </w:rPr>
        <w:t>）</w:t>
      </w:r>
    </w:p>
    <w:p>
      <w:pPr>
        <w:pStyle w:val="8"/>
        <w:numPr>
          <w:ilvl w:val="0"/>
          <w:numId w:val="6"/>
        </w:numPr>
        <w:tabs>
          <w:tab w:val="left" w:pos="1168"/>
        </w:tabs>
        <w:spacing w:before="0" w:after="0" w:line="268" w:lineRule="auto"/>
        <w:ind w:left="115" w:right="366" w:firstLine="561"/>
        <w:jc w:val="both"/>
        <w:rPr>
          <w:sz w:val="28"/>
        </w:rPr>
      </w:pPr>
      <w:r>
        <w:rPr>
          <w:spacing w:val="-3"/>
          <w:sz w:val="28"/>
        </w:rPr>
        <w:t>实施促进服务性消费正向激励，</w:t>
      </w:r>
      <w:r>
        <w:rPr>
          <w:rFonts w:ascii="Times New Roman" w:eastAsia="Times New Roman"/>
          <w:sz w:val="28"/>
        </w:rPr>
        <w:t>2021</w:t>
      </w:r>
      <w:r>
        <w:rPr>
          <w:rFonts w:ascii="Times New Roman" w:eastAsia="Times New Roman"/>
          <w:spacing w:val="5"/>
          <w:sz w:val="28"/>
        </w:rPr>
        <w:t xml:space="preserve"> </w:t>
      </w:r>
      <w:r>
        <w:rPr>
          <w:spacing w:val="-3"/>
          <w:sz w:val="28"/>
        </w:rPr>
        <w:t xml:space="preserve">年度服务业对经济增长贡献率提高幅度排前五名的市，省财政安排专项资金给予一次性奖励。其中， </w:t>
      </w:r>
      <w:r>
        <w:rPr>
          <w:spacing w:val="-19"/>
          <w:sz w:val="28"/>
        </w:rPr>
        <w:t xml:space="preserve">第一名 </w:t>
      </w:r>
      <w:r>
        <w:rPr>
          <w:rFonts w:ascii="Times New Roman" w:eastAsia="Times New Roman"/>
          <w:sz w:val="28"/>
        </w:rPr>
        <w:t xml:space="preserve">1500 </w:t>
      </w:r>
      <w:r>
        <w:rPr>
          <w:spacing w:val="-13"/>
          <w:sz w:val="28"/>
        </w:rPr>
        <w:t xml:space="preserve">万元，第二名 </w:t>
      </w:r>
      <w:r>
        <w:rPr>
          <w:rFonts w:ascii="Times New Roman" w:eastAsia="Times New Roman"/>
          <w:sz w:val="28"/>
        </w:rPr>
        <w:t>1000</w:t>
      </w:r>
      <w:r>
        <w:rPr>
          <w:rFonts w:ascii="Times New Roman" w:eastAsia="Times New Roman"/>
          <w:spacing w:val="3"/>
          <w:sz w:val="28"/>
        </w:rPr>
        <w:t xml:space="preserve"> </w:t>
      </w:r>
      <w:r>
        <w:rPr>
          <w:spacing w:val="-10"/>
          <w:sz w:val="28"/>
        </w:rPr>
        <w:t xml:space="preserve">万元，第三至五名各 </w:t>
      </w:r>
      <w:r>
        <w:rPr>
          <w:rFonts w:ascii="Times New Roman" w:eastAsia="Times New Roman"/>
          <w:sz w:val="28"/>
        </w:rPr>
        <w:t xml:space="preserve">500 </w:t>
      </w:r>
      <w:r>
        <w:rPr>
          <w:spacing w:val="-3"/>
          <w:sz w:val="28"/>
        </w:rPr>
        <w:t>万元，统筹用于支持服务业转型升级和重点项目建设。</w:t>
      </w:r>
      <w:r>
        <w:rPr>
          <w:sz w:val="28"/>
        </w:rPr>
        <w:t>（</w:t>
      </w:r>
      <w:r>
        <w:rPr>
          <w:spacing w:val="-3"/>
          <w:sz w:val="28"/>
        </w:rPr>
        <w:t>牵头单位：省发展改革委、省财政厅</w:t>
      </w:r>
      <w:r>
        <w:rPr>
          <w:sz w:val="28"/>
        </w:rPr>
        <w:t>）</w:t>
      </w:r>
    </w:p>
    <w:p>
      <w:pPr>
        <w:spacing w:after="0" w:line="268" w:lineRule="auto"/>
        <w:jc w:val="both"/>
        <w:rPr>
          <w:sz w:val="28"/>
        </w:rPr>
        <w:sectPr>
          <w:pgSz w:w="11910" w:h="16840"/>
          <w:pgMar w:top="1580" w:right="1160" w:bottom="1160" w:left="1300" w:header="0" w:footer="978" w:gutter="0"/>
          <w:cols w:space="720" w:num="1"/>
        </w:sectPr>
      </w:pPr>
    </w:p>
    <w:p>
      <w:pPr>
        <w:pStyle w:val="3"/>
        <w:spacing w:before="144" w:line="266" w:lineRule="auto"/>
        <w:ind w:right="253"/>
      </w:pPr>
      <w:r>
        <w:rPr>
          <w:spacing w:val="-3"/>
        </w:rPr>
        <w:t>以上政策，除已明确政策执行起始时间的条款，以及由国家统一出台</w:t>
      </w:r>
      <w:r>
        <w:rPr>
          <w:spacing w:val="-11"/>
        </w:rPr>
        <w:t xml:space="preserve">的政策外，其余政策均自 </w:t>
      </w:r>
      <w:r>
        <w:rPr>
          <w:rFonts w:ascii="Times New Roman" w:eastAsia="Times New Roman"/>
        </w:rPr>
        <w:t xml:space="preserve">2021 </w:t>
      </w:r>
      <w:r>
        <w:rPr>
          <w:spacing w:val="-36"/>
        </w:rPr>
        <w:t xml:space="preserve">年 </w:t>
      </w:r>
      <w:r>
        <w:rPr>
          <w:rFonts w:ascii="Times New Roman" w:eastAsia="Times New Roman"/>
        </w:rPr>
        <w:t xml:space="preserve">6 </w:t>
      </w:r>
      <w:r>
        <w:rPr>
          <w:spacing w:val="-35"/>
        </w:rPr>
        <w:t xml:space="preserve">月 </w:t>
      </w:r>
      <w:r>
        <w:rPr>
          <w:rFonts w:ascii="Times New Roman" w:eastAsia="Times New Roman"/>
        </w:rPr>
        <w:t xml:space="preserve">1 </w:t>
      </w:r>
      <w:r>
        <w:rPr>
          <w:spacing w:val="-5"/>
        </w:rPr>
        <w:t>日起实施。各项政策牵头单位会同</w:t>
      </w:r>
      <w:r>
        <w:rPr>
          <w:spacing w:val="-3"/>
        </w:rPr>
        <w:t>相关责任单位</w:t>
      </w:r>
      <w:r>
        <w:rPr>
          <w:rFonts w:ascii="Times New Roman" w:eastAsia="Times New Roman"/>
        </w:rPr>
        <w:t>,</w:t>
      </w:r>
      <w:r>
        <w:rPr>
          <w:spacing w:val="-3"/>
        </w:rPr>
        <w:t>逐条研究制定具体实施细则，确保与政策清单同步出台。同时制定考核办法，对各部门落实情况进行考核。</w:t>
      </w:r>
    </w:p>
    <w:p>
      <w:pPr>
        <w:pStyle w:val="3"/>
        <w:spacing w:before="7"/>
        <w:ind w:left="677" w:right="0" w:firstLine="0"/>
      </w:pPr>
      <w:r>
        <w:t xml:space="preserve">山东省人民政府办公厅 </w:t>
      </w:r>
      <w:r>
        <w:rPr>
          <w:rFonts w:ascii="Times New Roman" w:eastAsia="Times New Roman"/>
        </w:rPr>
        <w:t xml:space="preserve">2021 </w:t>
      </w:r>
      <w:r>
        <w:t xml:space="preserve">年 </w:t>
      </w:r>
      <w:r>
        <w:rPr>
          <w:rFonts w:ascii="Times New Roman" w:eastAsia="Times New Roman"/>
        </w:rPr>
        <w:t xml:space="preserve">5 </w:t>
      </w:r>
      <w:r>
        <w:t xml:space="preserve">月 </w:t>
      </w:r>
      <w:r>
        <w:rPr>
          <w:rFonts w:ascii="Times New Roman" w:eastAsia="Times New Roman"/>
        </w:rPr>
        <w:t xml:space="preserve">28 </w:t>
      </w:r>
      <w:r>
        <w:t>日印发</w:t>
      </w:r>
    </w:p>
    <w:sectPr>
      <w:pgSz w:w="11910" w:h="16840"/>
      <w:pgMar w:top="1580" w:right="1160" w:bottom="1160" w:left="1300" w:header="0" w:footer="97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ight="0" w:firstLine="0"/>
      <w:rPr>
        <w:sz w:val="20"/>
      </w:rPr>
    </w:pPr>
    <w:r>
      <w:pict>
        <v:shape id="_x0000_s2049" o:spid="_x0000_s2049" o:spt="202" type="#_x0000_t202" style="position:absolute;left:0pt;margin-left:275.6pt;margin-top:782pt;height:16.5pt;width:44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0" w:line="329" w:lineRule="exact"/>
                  <w:ind w:left="20" w:right="0" w:firstLine="0"/>
                  <w:jc w:val="left"/>
                  <w:rPr>
                    <w:rFonts w:ascii="Arial Unicode MS" w:hAnsi="Arial Unicode MS"/>
                    <w:sz w:val="24"/>
                  </w:rPr>
                </w:pPr>
                <w:r>
                  <w:rPr>
                    <w:rFonts w:ascii="Arial Unicode MS" w:hAnsi="Arial Unicode MS"/>
                    <w:sz w:val="24"/>
                  </w:rPr>
                  <w:t xml:space="preserve">— </w:t>
                </w:r>
                <w:r>
                  <w:fldChar w:fldCharType="begin"/>
                </w:r>
                <w:r>
                  <w:rPr>
                    <w:rFonts w:ascii="Times New Roman" w:hAnsi="Times New Roman"/>
                    <w:sz w:val="24"/>
                  </w:rPr>
                  <w:instrText xml:space="preserve"> PAGE </w:instrText>
                </w:r>
                <w:r>
                  <w:fldChar w:fldCharType="separate"/>
                </w:r>
                <w:r>
                  <w:t>1</w:t>
                </w:r>
                <w:r>
                  <w:fldChar w:fldCharType="end"/>
                </w:r>
                <w:r>
                  <w:rPr>
                    <w:rFonts w:ascii="Times New Roman" w:hAnsi="Times New Roman"/>
                    <w:sz w:val="24"/>
                  </w:rPr>
                  <w:t xml:space="preserve"> </w:t>
                </w:r>
                <w:r>
                  <w:rPr>
                    <w:rFonts w:ascii="Arial Unicode MS" w:hAnsi="Arial Unicode MS"/>
                    <w:sz w:val="2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ight="0" w:firstLine="0"/>
      <w:rPr>
        <w:sz w:val="20"/>
      </w:rPr>
    </w:pPr>
    <w:r>
      <w:pict>
        <v:shape id="_x0000_s2050" o:spid="_x0000_s2050" o:spt="202" type="#_x0000_t202" style="position:absolute;left:0pt;margin-left:272.6pt;margin-top:782pt;height:16.5pt;width:50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spacing w:before="0" w:line="329" w:lineRule="exact"/>
                  <w:ind w:left="20" w:right="0" w:firstLine="0"/>
                  <w:jc w:val="left"/>
                  <w:rPr>
                    <w:rFonts w:ascii="Arial Unicode MS" w:hAnsi="Arial Unicode MS"/>
                    <w:sz w:val="24"/>
                  </w:rPr>
                </w:pPr>
                <w:r>
                  <w:rPr>
                    <w:rFonts w:ascii="Arial Unicode MS" w:hAnsi="Arial Unicode MS"/>
                    <w:sz w:val="24"/>
                  </w:rPr>
                  <w:t xml:space="preserve">— </w:t>
                </w:r>
                <w:r>
                  <w:fldChar w:fldCharType="begin"/>
                </w:r>
                <w:r>
                  <w:rPr>
                    <w:rFonts w:ascii="Times New Roman" w:hAnsi="Times New Roman"/>
                    <w:sz w:val="24"/>
                  </w:rPr>
                  <w:instrText xml:space="preserve"> PAGE </w:instrText>
                </w:r>
                <w:r>
                  <w:fldChar w:fldCharType="separate"/>
                </w:r>
                <w:r>
                  <w:t>10</w:t>
                </w:r>
                <w:r>
                  <w:fldChar w:fldCharType="end"/>
                </w:r>
                <w:r>
                  <w:rPr>
                    <w:rFonts w:ascii="Times New Roman" w:hAnsi="Times New Roman"/>
                    <w:sz w:val="24"/>
                  </w:rPr>
                  <w:t xml:space="preserve"> </w:t>
                </w:r>
                <w:r>
                  <w:rPr>
                    <w:rFonts w:ascii="Arial Unicode MS" w:hAnsi="Arial Unicode MS"/>
                    <w:sz w:val="24"/>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ight="0" w:firstLine="0"/>
      <w:rPr>
        <w:sz w:val="20"/>
      </w:rPr>
    </w:pPr>
    <w:r>
      <w:pict>
        <v:shape id="_x0000_s2051" o:spid="_x0000_s2051" o:spt="202" type="#_x0000_t202" style="position:absolute;left:0pt;margin-left:272.6pt;margin-top:782pt;height:16.5pt;width:50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before="0" w:line="329" w:lineRule="exact"/>
                  <w:ind w:left="20" w:right="0" w:firstLine="0"/>
                  <w:jc w:val="left"/>
                  <w:rPr>
                    <w:rFonts w:ascii="Arial Unicode MS" w:hAnsi="Arial Unicode MS"/>
                    <w:sz w:val="24"/>
                  </w:rPr>
                </w:pPr>
                <w:r>
                  <w:rPr>
                    <w:rFonts w:ascii="Arial Unicode MS" w:hAnsi="Arial Unicode MS"/>
                    <w:sz w:val="24"/>
                  </w:rPr>
                  <w:t xml:space="preserve">— </w:t>
                </w:r>
                <w:r>
                  <w:fldChar w:fldCharType="begin"/>
                </w:r>
                <w:r>
                  <w:rPr>
                    <w:rFonts w:ascii="Times New Roman" w:hAnsi="Times New Roman"/>
                    <w:sz w:val="24"/>
                  </w:rPr>
                  <w:instrText xml:space="preserve"> PAGE </w:instrText>
                </w:r>
                <w:r>
                  <w:fldChar w:fldCharType="separate"/>
                </w:r>
                <w:r>
                  <w:t>20</w:t>
                </w:r>
                <w:r>
                  <w:fldChar w:fldCharType="end"/>
                </w:r>
                <w:r>
                  <w:rPr>
                    <w:rFonts w:ascii="Times New Roman" w:hAnsi="Times New Roman"/>
                    <w:sz w:val="24"/>
                  </w:rPr>
                  <w:t xml:space="preserve"> </w:t>
                </w:r>
                <w:r>
                  <w:rPr>
                    <w:rFonts w:ascii="Arial Unicode MS" w:hAnsi="Arial Unicode MS"/>
                    <w:sz w:val="24"/>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ight="0" w:firstLine="0"/>
      <w:rPr>
        <w:sz w:val="20"/>
      </w:rPr>
    </w:pPr>
    <w:r>
      <w:pict>
        <v:shape id="_x0000_s2052" o:spid="_x0000_s2052" o:spt="202" type="#_x0000_t202" style="position:absolute;left:0pt;margin-left:272.6pt;margin-top:782pt;height:16.5pt;width:50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0" w:line="329" w:lineRule="exact"/>
                  <w:ind w:left="20" w:right="0" w:firstLine="0"/>
                  <w:jc w:val="left"/>
                  <w:rPr>
                    <w:rFonts w:ascii="Arial Unicode MS" w:hAnsi="Arial Unicode MS"/>
                    <w:sz w:val="24"/>
                  </w:rPr>
                </w:pPr>
                <w:r>
                  <w:rPr>
                    <w:rFonts w:ascii="Arial Unicode MS" w:hAnsi="Arial Unicode MS"/>
                    <w:sz w:val="24"/>
                  </w:rPr>
                  <w:t xml:space="preserve">— </w:t>
                </w:r>
                <w:r>
                  <w:fldChar w:fldCharType="begin"/>
                </w:r>
                <w:r>
                  <w:rPr>
                    <w:rFonts w:ascii="Times New Roman" w:hAnsi="Times New Roman"/>
                    <w:sz w:val="24"/>
                  </w:rPr>
                  <w:instrText xml:space="preserve"> PAGE </w:instrText>
                </w:r>
                <w:r>
                  <w:fldChar w:fldCharType="separate"/>
                </w:r>
                <w:r>
                  <w:t>30</w:t>
                </w:r>
                <w:r>
                  <w:fldChar w:fldCharType="end"/>
                </w:r>
                <w:r>
                  <w:rPr>
                    <w:rFonts w:ascii="Times New Roman" w:hAnsi="Times New Roman"/>
                    <w:sz w:val="24"/>
                  </w:rPr>
                  <w:t xml:space="preserve"> </w:t>
                </w:r>
                <w:r>
                  <w:rPr>
                    <w:rFonts w:ascii="Arial Unicode MS" w:hAnsi="Arial Unicode MS"/>
                    <w:sz w:val="24"/>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20"/>
      <w:numFmt w:val="decimal"/>
      <w:lvlText w:val="%1."/>
      <w:lvlJc w:val="left"/>
      <w:pPr>
        <w:ind w:left="116" w:hanging="561"/>
        <w:jc w:val="left"/>
      </w:pPr>
      <w:rPr>
        <w:rFonts w:hint="default" w:ascii="Times New Roman" w:hAnsi="Times New Roman" w:eastAsia="Times New Roman" w:cs="Times New Roman"/>
        <w:spacing w:val="-10"/>
        <w:w w:val="100"/>
        <w:sz w:val="26"/>
        <w:szCs w:val="26"/>
        <w:lang w:val="zh-CN" w:eastAsia="zh-CN" w:bidi="zh-CN"/>
      </w:rPr>
    </w:lvl>
    <w:lvl w:ilvl="1" w:tentative="0">
      <w:start w:val="0"/>
      <w:numFmt w:val="bullet"/>
      <w:lvlText w:val="•"/>
      <w:lvlJc w:val="left"/>
      <w:pPr>
        <w:ind w:left="1052" w:hanging="561"/>
      </w:pPr>
      <w:rPr>
        <w:rFonts w:hint="default"/>
        <w:lang w:val="zh-CN" w:eastAsia="zh-CN" w:bidi="zh-CN"/>
      </w:rPr>
    </w:lvl>
    <w:lvl w:ilvl="2" w:tentative="0">
      <w:start w:val="0"/>
      <w:numFmt w:val="bullet"/>
      <w:lvlText w:val="•"/>
      <w:lvlJc w:val="left"/>
      <w:pPr>
        <w:ind w:left="1985" w:hanging="561"/>
      </w:pPr>
      <w:rPr>
        <w:rFonts w:hint="default"/>
        <w:lang w:val="zh-CN" w:eastAsia="zh-CN" w:bidi="zh-CN"/>
      </w:rPr>
    </w:lvl>
    <w:lvl w:ilvl="3" w:tentative="0">
      <w:start w:val="0"/>
      <w:numFmt w:val="bullet"/>
      <w:lvlText w:val="•"/>
      <w:lvlJc w:val="left"/>
      <w:pPr>
        <w:ind w:left="2917" w:hanging="561"/>
      </w:pPr>
      <w:rPr>
        <w:rFonts w:hint="default"/>
        <w:lang w:val="zh-CN" w:eastAsia="zh-CN" w:bidi="zh-CN"/>
      </w:rPr>
    </w:lvl>
    <w:lvl w:ilvl="4" w:tentative="0">
      <w:start w:val="0"/>
      <w:numFmt w:val="bullet"/>
      <w:lvlText w:val="•"/>
      <w:lvlJc w:val="left"/>
      <w:pPr>
        <w:ind w:left="3850" w:hanging="561"/>
      </w:pPr>
      <w:rPr>
        <w:rFonts w:hint="default"/>
        <w:lang w:val="zh-CN" w:eastAsia="zh-CN" w:bidi="zh-CN"/>
      </w:rPr>
    </w:lvl>
    <w:lvl w:ilvl="5" w:tentative="0">
      <w:start w:val="0"/>
      <w:numFmt w:val="bullet"/>
      <w:lvlText w:val="•"/>
      <w:lvlJc w:val="left"/>
      <w:pPr>
        <w:ind w:left="4783" w:hanging="561"/>
      </w:pPr>
      <w:rPr>
        <w:rFonts w:hint="default"/>
        <w:lang w:val="zh-CN" w:eastAsia="zh-CN" w:bidi="zh-CN"/>
      </w:rPr>
    </w:lvl>
    <w:lvl w:ilvl="6" w:tentative="0">
      <w:start w:val="0"/>
      <w:numFmt w:val="bullet"/>
      <w:lvlText w:val="•"/>
      <w:lvlJc w:val="left"/>
      <w:pPr>
        <w:ind w:left="5715" w:hanging="561"/>
      </w:pPr>
      <w:rPr>
        <w:rFonts w:hint="default"/>
        <w:lang w:val="zh-CN" w:eastAsia="zh-CN" w:bidi="zh-CN"/>
      </w:rPr>
    </w:lvl>
    <w:lvl w:ilvl="7" w:tentative="0">
      <w:start w:val="0"/>
      <w:numFmt w:val="bullet"/>
      <w:lvlText w:val="•"/>
      <w:lvlJc w:val="left"/>
      <w:pPr>
        <w:ind w:left="6648" w:hanging="561"/>
      </w:pPr>
      <w:rPr>
        <w:rFonts w:hint="default"/>
        <w:lang w:val="zh-CN" w:eastAsia="zh-CN" w:bidi="zh-CN"/>
      </w:rPr>
    </w:lvl>
    <w:lvl w:ilvl="8" w:tentative="0">
      <w:start w:val="0"/>
      <w:numFmt w:val="bullet"/>
      <w:lvlText w:val="•"/>
      <w:lvlJc w:val="left"/>
      <w:pPr>
        <w:ind w:left="7580" w:hanging="561"/>
      </w:pPr>
      <w:rPr>
        <w:rFonts w:hint="default"/>
        <w:lang w:val="zh-CN" w:eastAsia="zh-CN" w:bidi="zh-CN"/>
      </w:rPr>
    </w:lvl>
  </w:abstractNum>
  <w:abstractNum w:abstractNumId="1">
    <w:nsid w:val="9288B902"/>
    <w:multiLevelType w:val="multilevel"/>
    <w:tmpl w:val="9288B902"/>
    <w:lvl w:ilvl="0" w:tentative="0">
      <w:start w:val="6"/>
      <w:numFmt w:val="decimal"/>
      <w:lvlText w:val="%1."/>
      <w:lvlJc w:val="left"/>
      <w:pPr>
        <w:ind w:left="116" w:hanging="422"/>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422"/>
      </w:pPr>
      <w:rPr>
        <w:rFonts w:hint="default"/>
        <w:lang w:val="zh-CN" w:eastAsia="zh-CN" w:bidi="zh-CN"/>
      </w:rPr>
    </w:lvl>
    <w:lvl w:ilvl="2" w:tentative="0">
      <w:start w:val="0"/>
      <w:numFmt w:val="bullet"/>
      <w:lvlText w:val="•"/>
      <w:lvlJc w:val="left"/>
      <w:pPr>
        <w:ind w:left="1985" w:hanging="422"/>
      </w:pPr>
      <w:rPr>
        <w:rFonts w:hint="default"/>
        <w:lang w:val="zh-CN" w:eastAsia="zh-CN" w:bidi="zh-CN"/>
      </w:rPr>
    </w:lvl>
    <w:lvl w:ilvl="3" w:tentative="0">
      <w:start w:val="0"/>
      <w:numFmt w:val="bullet"/>
      <w:lvlText w:val="•"/>
      <w:lvlJc w:val="left"/>
      <w:pPr>
        <w:ind w:left="2917" w:hanging="422"/>
      </w:pPr>
      <w:rPr>
        <w:rFonts w:hint="default"/>
        <w:lang w:val="zh-CN" w:eastAsia="zh-CN" w:bidi="zh-CN"/>
      </w:rPr>
    </w:lvl>
    <w:lvl w:ilvl="4" w:tentative="0">
      <w:start w:val="0"/>
      <w:numFmt w:val="bullet"/>
      <w:lvlText w:val="•"/>
      <w:lvlJc w:val="left"/>
      <w:pPr>
        <w:ind w:left="3850" w:hanging="422"/>
      </w:pPr>
      <w:rPr>
        <w:rFonts w:hint="default"/>
        <w:lang w:val="zh-CN" w:eastAsia="zh-CN" w:bidi="zh-CN"/>
      </w:rPr>
    </w:lvl>
    <w:lvl w:ilvl="5" w:tentative="0">
      <w:start w:val="0"/>
      <w:numFmt w:val="bullet"/>
      <w:lvlText w:val="•"/>
      <w:lvlJc w:val="left"/>
      <w:pPr>
        <w:ind w:left="4783" w:hanging="422"/>
      </w:pPr>
      <w:rPr>
        <w:rFonts w:hint="default"/>
        <w:lang w:val="zh-CN" w:eastAsia="zh-CN" w:bidi="zh-CN"/>
      </w:rPr>
    </w:lvl>
    <w:lvl w:ilvl="6" w:tentative="0">
      <w:start w:val="0"/>
      <w:numFmt w:val="bullet"/>
      <w:lvlText w:val="•"/>
      <w:lvlJc w:val="left"/>
      <w:pPr>
        <w:ind w:left="5715" w:hanging="422"/>
      </w:pPr>
      <w:rPr>
        <w:rFonts w:hint="default"/>
        <w:lang w:val="zh-CN" w:eastAsia="zh-CN" w:bidi="zh-CN"/>
      </w:rPr>
    </w:lvl>
    <w:lvl w:ilvl="7" w:tentative="0">
      <w:start w:val="0"/>
      <w:numFmt w:val="bullet"/>
      <w:lvlText w:val="•"/>
      <w:lvlJc w:val="left"/>
      <w:pPr>
        <w:ind w:left="6648" w:hanging="422"/>
      </w:pPr>
      <w:rPr>
        <w:rFonts w:hint="default"/>
        <w:lang w:val="zh-CN" w:eastAsia="zh-CN" w:bidi="zh-CN"/>
      </w:rPr>
    </w:lvl>
    <w:lvl w:ilvl="8" w:tentative="0">
      <w:start w:val="0"/>
      <w:numFmt w:val="bullet"/>
      <w:lvlText w:val="•"/>
      <w:lvlJc w:val="left"/>
      <w:pPr>
        <w:ind w:left="7580" w:hanging="422"/>
      </w:pPr>
      <w:rPr>
        <w:rFonts w:hint="default"/>
        <w:lang w:val="zh-CN" w:eastAsia="zh-CN" w:bidi="zh-CN"/>
      </w:rPr>
    </w:lvl>
  </w:abstractNum>
  <w:abstractNum w:abstractNumId="2">
    <w:nsid w:val="39A0D9AC"/>
    <w:multiLevelType w:val="multilevel"/>
    <w:tmpl w:val="39A0D9AC"/>
    <w:lvl w:ilvl="0" w:tentative="0">
      <w:start w:val="12"/>
      <w:numFmt w:val="decimal"/>
      <w:lvlText w:val="%1."/>
      <w:lvlJc w:val="left"/>
      <w:pPr>
        <w:ind w:left="116" w:hanging="56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561"/>
      </w:pPr>
      <w:rPr>
        <w:rFonts w:hint="default"/>
        <w:lang w:val="zh-CN" w:eastAsia="zh-CN" w:bidi="zh-CN"/>
      </w:rPr>
    </w:lvl>
    <w:lvl w:ilvl="2" w:tentative="0">
      <w:start w:val="0"/>
      <w:numFmt w:val="bullet"/>
      <w:lvlText w:val="•"/>
      <w:lvlJc w:val="left"/>
      <w:pPr>
        <w:ind w:left="1985" w:hanging="561"/>
      </w:pPr>
      <w:rPr>
        <w:rFonts w:hint="default"/>
        <w:lang w:val="zh-CN" w:eastAsia="zh-CN" w:bidi="zh-CN"/>
      </w:rPr>
    </w:lvl>
    <w:lvl w:ilvl="3" w:tentative="0">
      <w:start w:val="0"/>
      <w:numFmt w:val="bullet"/>
      <w:lvlText w:val="•"/>
      <w:lvlJc w:val="left"/>
      <w:pPr>
        <w:ind w:left="2917" w:hanging="561"/>
      </w:pPr>
      <w:rPr>
        <w:rFonts w:hint="default"/>
        <w:lang w:val="zh-CN" w:eastAsia="zh-CN" w:bidi="zh-CN"/>
      </w:rPr>
    </w:lvl>
    <w:lvl w:ilvl="4" w:tentative="0">
      <w:start w:val="0"/>
      <w:numFmt w:val="bullet"/>
      <w:lvlText w:val="•"/>
      <w:lvlJc w:val="left"/>
      <w:pPr>
        <w:ind w:left="3850" w:hanging="561"/>
      </w:pPr>
      <w:rPr>
        <w:rFonts w:hint="default"/>
        <w:lang w:val="zh-CN" w:eastAsia="zh-CN" w:bidi="zh-CN"/>
      </w:rPr>
    </w:lvl>
    <w:lvl w:ilvl="5" w:tentative="0">
      <w:start w:val="0"/>
      <w:numFmt w:val="bullet"/>
      <w:lvlText w:val="•"/>
      <w:lvlJc w:val="left"/>
      <w:pPr>
        <w:ind w:left="4783" w:hanging="561"/>
      </w:pPr>
      <w:rPr>
        <w:rFonts w:hint="default"/>
        <w:lang w:val="zh-CN" w:eastAsia="zh-CN" w:bidi="zh-CN"/>
      </w:rPr>
    </w:lvl>
    <w:lvl w:ilvl="6" w:tentative="0">
      <w:start w:val="0"/>
      <w:numFmt w:val="bullet"/>
      <w:lvlText w:val="•"/>
      <w:lvlJc w:val="left"/>
      <w:pPr>
        <w:ind w:left="5715" w:hanging="561"/>
      </w:pPr>
      <w:rPr>
        <w:rFonts w:hint="default"/>
        <w:lang w:val="zh-CN" w:eastAsia="zh-CN" w:bidi="zh-CN"/>
      </w:rPr>
    </w:lvl>
    <w:lvl w:ilvl="7" w:tentative="0">
      <w:start w:val="0"/>
      <w:numFmt w:val="bullet"/>
      <w:lvlText w:val="•"/>
      <w:lvlJc w:val="left"/>
      <w:pPr>
        <w:ind w:left="6648" w:hanging="561"/>
      </w:pPr>
      <w:rPr>
        <w:rFonts w:hint="default"/>
        <w:lang w:val="zh-CN" w:eastAsia="zh-CN" w:bidi="zh-CN"/>
      </w:rPr>
    </w:lvl>
    <w:lvl w:ilvl="8" w:tentative="0">
      <w:start w:val="0"/>
      <w:numFmt w:val="bullet"/>
      <w:lvlText w:val="•"/>
      <w:lvlJc w:val="left"/>
      <w:pPr>
        <w:ind w:left="7580" w:hanging="561"/>
      </w:pPr>
      <w:rPr>
        <w:rFonts w:hint="default"/>
        <w:lang w:val="zh-CN" w:eastAsia="zh-CN" w:bidi="zh-CN"/>
      </w:rPr>
    </w:lvl>
  </w:abstractNum>
  <w:abstractNum w:abstractNumId="3">
    <w:nsid w:val="58765686"/>
    <w:multiLevelType w:val="multilevel"/>
    <w:tmpl w:val="58765686"/>
    <w:lvl w:ilvl="0" w:tentative="0">
      <w:start w:val="36"/>
      <w:numFmt w:val="decimal"/>
      <w:lvlText w:val="%1."/>
      <w:lvlJc w:val="left"/>
      <w:pPr>
        <w:ind w:left="116" w:hanging="561"/>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561"/>
      </w:pPr>
      <w:rPr>
        <w:rFonts w:hint="default"/>
        <w:lang w:val="zh-CN" w:eastAsia="zh-CN" w:bidi="zh-CN"/>
      </w:rPr>
    </w:lvl>
    <w:lvl w:ilvl="2" w:tentative="0">
      <w:start w:val="0"/>
      <w:numFmt w:val="bullet"/>
      <w:lvlText w:val="•"/>
      <w:lvlJc w:val="left"/>
      <w:pPr>
        <w:ind w:left="1985" w:hanging="561"/>
      </w:pPr>
      <w:rPr>
        <w:rFonts w:hint="default"/>
        <w:lang w:val="zh-CN" w:eastAsia="zh-CN" w:bidi="zh-CN"/>
      </w:rPr>
    </w:lvl>
    <w:lvl w:ilvl="3" w:tentative="0">
      <w:start w:val="0"/>
      <w:numFmt w:val="bullet"/>
      <w:lvlText w:val="•"/>
      <w:lvlJc w:val="left"/>
      <w:pPr>
        <w:ind w:left="2917" w:hanging="561"/>
      </w:pPr>
      <w:rPr>
        <w:rFonts w:hint="default"/>
        <w:lang w:val="zh-CN" w:eastAsia="zh-CN" w:bidi="zh-CN"/>
      </w:rPr>
    </w:lvl>
    <w:lvl w:ilvl="4" w:tentative="0">
      <w:start w:val="0"/>
      <w:numFmt w:val="bullet"/>
      <w:lvlText w:val="•"/>
      <w:lvlJc w:val="left"/>
      <w:pPr>
        <w:ind w:left="3850" w:hanging="561"/>
      </w:pPr>
      <w:rPr>
        <w:rFonts w:hint="default"/>
        <w:lang w:val="zh-CN" w:eastAsia="zh-CN" w:bidi="zh-CN"/>
      </w:rPr>
    </w:lvl>
    <w:lvl w:ilvl="5" w:tentative="0">
      <w:start w:val="0"/>
      <w:numFmt w:val="bullet"/>
      <w:lvlText w:val="•"/>
      <w:lvlJc w:val="left"/>
      <w:pPr>
        <w:ind w:left="4783" w:hanging="561"/>
      </w:pPr>
      <w:rPr>
        <w:rFonts w:hint="default"/>
        <w:lang w:val="zh-CN" w:eastAsia="zh-CN" w:bidi="zh-CN"/>
      </w:rPr>
    </w:lvl>
    <w:lvl w:ilvl="6" w:tentative="0">
      <w:start w:val="0"/>
      <w:numFmt w:val="bullet"/>
      <w:lvlText w:val="•"/>
      <w:lvlJc w:val="left"/>
      <w:pPr>
        <w:ind w:left="5715" w:hanging="561"/>
      </w:pPr>
      <w:rPr>
        <w:rFonts w:hint="default"/>
        <w:lang w:val="zh-CN" w:eastAsia="zh-CN" w:bidi="zh-CN"/>
      </w:rPr>
    </w:lvl>
    <w:lvl w:ilvl="7" w:tentative="0">
      <w:start w:val="0"/>
      <w:numFmt w:val="bullet"/>
      <w:lvlText w:val="•"/>
      <w:lvlJc w:val="left"/>
      <w:pPr>
        <w:ind w:left="6648" w:hanging="561"/>
      </w:pPr>
      <w:rPr>
        <w:rFonts w:hint="default"/>
        <w:lang w:val="zh-CN" w:eastAsia="zh-CN" w:bidi="zh-CN"/>
      </w:rPr>
    </w:lvl>
    <w:lvl w:ilvl="8" w:tentative="0">
      <w:start w:val="0"/>
      <w:numFmt w:val="bullet"/>
      <w:lvlText w:val="•"/>
      <w:lvlJc w:val="left"/>
      <w:pPr>
        <w:ind w:left="7580" w:hanging="561"/>
      </w:pPr>
      <w:rPr>
        <w:rFonts w:hint="default"/>
        <w:lang w:val="zh-CN" w:eastAsia="zh-CN" w:bidi="zh-CN"/>
      </w:rPr>
    </w:lvl>
  </w:abstractNum>
  <w:abstractNum w:abstractNumId="4">
    <w:nsid w:val="629F7852"/>
    <w:multiLevelType w:val="multilevel"/>
    <w:tmpl w:val="629F7852"/>
    <w:lvl w:ilvl="0" w:tentative="0">
      <w:start w:val="1"/>
      <w:numFmt w:val="decimal"/>
      <w:lvlText w:val="%1."/>
      <w:lvlJc w:val="left"/>
      <w:pPr>
        <w:ind w:left="116" w:hanging="422"/>
        <w:jc w:val="left"/>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052" w:hanging="422"/>
      </w:pPr>
      <w:rPr>
        <w:rFonts w:hint="default"/>
        <w:lang w:val="zh-CN" w:eastAsia="zh-CN" w:bidi="zh-CN"/>
      </w:rPr>
    </w:lvl>
    <w:lvl w:ilvl="2" w:tentative="0">
      <w:start w:val="0"/>
      <w:numFmt w:val="bullet"/>
      <w:lvlText w:val="•"/>
      <w:lvlJc w:val="left"/>
      <w:pPr>
        <w:ind w:left="1985" w:hanging="422"/>
      </w:pPr>
      <w:rPr>
        <w:rFonts w:hint="default"/>
        <w:lang w:val="zh-CN" w:eastAsia="zh-CN" w:bidi="zh-CN"/>
      </w:rPr>
    </w:lvl>
    <w:lvl w:ilvl="3" w:tentative="0">
      <w:start w:val="0"/>
      <w:numFmt w:val="bullet"/>
      <w:lvlText w:val="•"/>
      <w:lvlJc w:val="left"/>
      <w:pPr>
        <w:ind w:left="2917" w:hanging="422"/>
      </w:pPr>
      <w:rPr>
        <w:rFonts w:hint="default"/>
        <w:lang w:val="zh-CN" w:eastAsia="zh-CN" w:bidi="zh-CN"/>
      </w:rPr>
    </w:lvl>
    <w:lvl w:ilvl="4" w:tentative="0">
      <w:start w:val="0"/>
      <w:numFmt w:val="bullet"/>
      <w:lvlText w:val="•"/>
      <w:lvlJc w:val="left"/>
      <w:pPr>
        <w:ind w:left="3850" w:hanging="422"/>
      </w:pPr>
      <w:rPr>
        <w:rFonts w:hint="default"/>
        <w:lang w:val="zh-CN" w:eastAsia="zh-CN" w:bidi="zh-CN"/>
      </w:rPr>
    </w:lvl>
    <w:lvl w:ilvl="5" w:tentative="0">
      <w:start w:val="0"/>
      <w:numFmt w:val="bullet"/>
      <w:lvlText w:val="•"/>
      <w:lvlJc w:val="left"/>
      <w:pPr>
        <w:ind w:left="4783" w:hanging="422"/>
      </w:pPr>
      <w:rPr>
        <w:rFonts w:hint="default"/>
        <w:lang w:val="zh-CN" w:eastAsia="zh-CN" w:bidi="zh-CN"/>
      </w:rPr>
    </w:lvl>
    <w:lvl w:ilvl="6" w:tentative="0">
      <w:start w:val="0"/>
      <w:numFmt w:val="bullet"/>
      <w:lvlText w:val="•"/>
      <w:lvlJc w:val="left"/>
      <w:pPr>
        <w:ind w:left="5715" w:hanging="422"/>
      </w:pPr>
      <w:rPr>
        <w:rFonts w:hint="default"/>
        <w:lang w:val="zh-CN" w:eastAsia="zh-CN" w:bidi="zh-CN"/>
      </w:rPr>
    </w:lvl>
    <w:lvl w:ilvl="7" w:tentative="0">
      <w:start w:val="0"/>
      <w:numFmt w:val="bullet"/>
      <w:lvlText w:val="•"/>
      <w:lvlJc w:val="left"/>
      <w:pPr>
        <w:ind w:left="6648" w:hanging="422"/>
      </w:pPr>
      <w:rPr>
        <w:rFonts w:hint="default"/>
        <w:lang w:val="zh-CN" w:eastAsia="zh-CN" w:bidi="zh-CN"/>
      </w:rPr>
    </w:lvl>
    <w:lvl w:ilvl="8" w:tentative="0">
      <w:start w:val="0"/>
      <w:numFmt w:val="bullet"/>
      <w:lvlText w:val="•"/>
      <w:lvlJc w:val="left"/>
      <w:pPr>
        <w:ind w:left="7580" w:hanging="422"/>
      </w:pPr>
      <w:rPr>
        <w:rFonts w:hint="default"/>
        <w:lang w:val="zh-CN" w:eastAsia="zh-CN" w:bidi="zh-CN"/>
      </w:rPr>
    </w:lvl>
  </w:abstractNum>
  <w:abstractNum w:abstractNumId="5">
    <w:nsid w:val="7DEC2089"/>
    <w:multiLevelType w:val="multilevel"/>
    <w:tmpl w:val="7DEC2089"/>
    <w:lvl w:ilvl="0" w:tentative="0">
      <w:start w:val="1"/>
      <w:numFmt w:val="decimal"/>
      <w:lvlText w:val="%1."/>
      <w:lvlJc w:val="left"/>
      <w:pPr>
        <w:ind w:left="116" w:hanging="351"/>
        <w:jc w:val="left"/>
      </w:pPr>
      <w:rPr>
        <w:rFonts w:hint="default" w:ascii="Times New Roman" w:hAnsi="Times New Roman" w:eastAsia="Times New Roman" w:cs="Times New Roman"/>
        <w:spacing w:val="-2"/>
        <w:w w:val="100"/>
        <w:sz w:val="28"/>
        <w:szCs w:val="28"/>
        <w:lang w:val="zh-CN" w:eastAsia="zh-CN" w:bidi="zh-CN"/>
      </w:rPr>
    </w:lvl>
    <w:lvl w:ilvl="1" w:tentative="0">
      <w:start w:val="0"/>
      <w:numFmt w:val="bullet"/>
      <w:lvlText w:val="•"/>
      <w:lvlJc w:val="left"/>
      <w:pPr>
        <w:ind w:left="1052" w:hanging="351"/>
      </w:pPr>
      <w:rPr>
        <w:rFonts w:hint="default"/>
        <w:lang w:val="zh-CN" w:eastAsia="zh-CN" w:bidi="zh-CN"/>
      </w:rPr>
    </w:lvl>
    <w:lvl w:ilvl="2" w:tentative="0">
      <w:start w:val="0"/>
      <w:numFmt w:val="bullet"/>
      <w:lvlText w:val="•"/>
      <w:lvlJc w:val="left"/>
      <w:pPr>
        <w:ind w:left="1985" w:hanging="351"/>
      </w:pPr>
      <w:rPr>
        <w:rFonts w:hint="default"/>
        <w:lang w:val="zh-CN" w:eastAsia="zh-CN" w:bidi="zh-CN"/>
      </w:rPr>
    </w:lvl>
    <w:lvl w:ilvl="3" w:tentative="0">
      <w:start w:val="0"/>
      <w:numFmt w:val="bullet"/>
      <w:lvlText w:val="•"/>
      <w:lvlJc w:val="left"/>
      <w:pPr>
        <w:ind w:left="2917" w:hanging="351"/>
      </w:pPr>
      <w:rPr>
        <w:rFonts w:hint="default"/>
        <w:lang w:val="zh-CN" w:eastAsia="zh-CN" w:bidi="zh-CN"/>
      </w:rPr>
    </w:lvl>
    <w:lvl w:ilvl="4" w:tentative="0">
      <w:start w:val="0"/>
      <w:numFmt w:val="bullet"/>
      <w:lvlText w:val="•"/>
      <w:lvlJc w:val="left"/>
      <w:pPr>
        <w:ind w:left="3850" w:hanging="351"/>
      </w:pPr>
      <w:rPr>
        <w:rFonts w:hint="default"/>
        <w:lang w:val="zh-CN" w:eastAsia="zh-CN" w:bidi="zh-CN"/>
      </w:rPr>
    </w:lvl>
    <w:lvl w:ilvl="5" w:tentative="0">
      <w:start w:val="0"/>
      <w:numFmt w:val="bullet"/>
      <w:lvlText w:val="•"/>
      <w:lvlJc w:val="left"/>
      <w:pPr>
        <w:ind w:left="4783" w:hanging="351"/>
      </w:pPr>
      <w:rPr>
        <w:rFonts w:hint="default"/>
        <w:lang w:val="zh-CN" w:eastAsia="zh-CN" w:bidi="zh-CN"/>
      </w:rPr>
    </w:lvl>
    <w:lvl w:ilvl="6" w:tentative="0">
      <w:start w:val="0"/>
      <w:numFmt w:val="bullet"/>
      <w:lvlText w:val="•"/>
      <w:lvlJc w:val="left"/>
      <w:pPr>
        <w:ind w:left="5715" w:hanging="351"/>
      </w:pPr>
      <w:rPr>
        <w:rFonts w:hint="default"/>
        <w:lang w:val="zh-CN" w:eastAsia="zh-CN" w:bidi="zh-CN"/>
      </w:rPr>
    </w:lvl>
    <w:lvl w:ilvl="7" w:tentative="0">
      <w:start w:val="0"/>
      <w:numFmt w:val="bullet"/>
      <w:lvlText w:val="•"/>
      <w:lvlJc w:val="left"/>
      <w:pPr>
        <w:ind w:left="6648" w:hanging="351"/>
      </w:pPr>
      <w:rPr>
        <w:rFonts w:hint="default"/>
        <w:lang w:val="zh-CN" w:eastAsia="zh-CN" w:bidi="zh-CN"/>
      </w:rPr>
    </w:lvl>
    <w:lvl w:ilvl="8" w:tentative="0">
      <w:start w:val="0"/>
      <w:numFmt w:val="bullet"/>
      <w:lvlText w:val="•"/>
      <w:lvlJc w:val="left"/>
      <w:pPr>
        <w:ind w:left="7580" w:hanging="351"/>
      </w:pPr>
      <w:rPr>
        <w:rFonts w:hint="default"/>
        <w:lang w:val="zh-CN" w:eastAsia="zh-CN" w:bidi="zh-CN"/>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ZTViY2FjNzlkZDdlYTZjYTU3YmM5MDQwM2RjZTdmZDgifQ=="/>
  </w:docVars>
  <w:rsids>
    <w:rsidRoot w:val="00000000"/>
    <w:rsid w:val="0E96085B"/>
    <w:rsid w:val="51936B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right="140"/>
      <w:jc w:val="center"/>
      <w:outlineLvl w:val="1"/>
    </w:pPr>
    <w:rPr>
      <w:rFonts w:ascii="Arial Unicode MS" w:hAnsi="Arial Unicode MS" w:eastAsia="Arial Unicode MS" w:cs="Arial Unicode MS"/>
      <w:sz w:val="32"/>
      <w:szCs w:val="32"/>
      <w:lang w:val="zh-CN" w:eastAsia="zh-CN" w:bidi="zh-CN"/>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15" w:right="366" w:firstLine="561"/>
    </w:pPr>
    <w:rPr>
      <w:rFonts w:ascii="宋体" w:hAnsi="宋体" w:eastAsia="宋体" w:cs="宋体"/>
      <w:sz w:val="28"/>
      <w:szCs w:val="28"/>
      <w:lang w:val="zh-CN" w:eastAsia="zh-CN" w:bidi="zh-CN"/>
    </w:rPr>
  </w:style>
  <w:style w:type="paragraph" w:styleId="4">
    <w:name w:val="toc 1"/>
    <w:basedOn w:val="1"/>
    <w:next w:val="1"/>
    <w:qFormat/>
    <w:uiPriority w:val="1"/>
    <w:pPr>
      <w:spacing w:before="4"/>
      <w:ind w:left="115" w:right="256"/>
    </w:pPr>
    <w:rPr>
      <w:rFonts w:ascii="华文细黑" w:hAnsi="华文细黑" w:eastAsia="华文细黑" w:cs="华文细黑"/>
      <w:sz w:val="32"/>
      <w:szCs w:val="32"/>
      <w:lang w:val="zh-CN" w:eastAsia="zh-CN" w:bidi="zh-CN"/>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15" w:right="114" w:firstLine="561"/>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30055</Words>
  <Characters>30618</Characters>
  <TotalTime>0</TotalTime>
  <ScaleCrop>false</ScaleCrop>
  <LinksUpToDate>false</LinksUpToDate>
  <CharactersWithSpaces>31418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2021-10-17T11:06:00Z</dcterms:created>
  <dc:creator>Administrator</dc:creator>
  <cp:lastModifiedBy>李国</cp:lastModifiedBy>
  <dcterms:modified xsi:type="dcterms:W3CDTF">2022-09-16T03:43:49Z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2021-07-02T00:00:00Z</vt:filetime>
  </property>
  <property fmtid="{D5CDD505-2E9C-101B-9397-08002B2CF9AE}" pid="3" name="Creator">
    <vt:lpwstr>WPS 文字</vt:lpwstr>
  </property>
  <property fmtid="{D5CDD505-2E9C-101B-9397-08002B2CF9AE}" pid="4" name="LastSaved">
    <vt:filetime>2021-10-17T00:00:00Z</vt:filetime>
  </property>
  <property fmtid="{D5CDD505-2E9C-101B-9397-08002B2CF9AE}" pid="5" name="KSOProductBuildVer">
    <vt:lpwstr>2052-11.1.0.12302</vt:lpwstr>
  </property>
  <property fmtid="{D5CDD505-2E9C-101B-9397-08002B2CF9AE}" pid="6" name="ICV">
    <vt:lpwstr>C5EFAD2668B34F7AAA4667996C34BB77</vt:lpwstr>
  </property>
</Properties>
</file>