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文星标宋" w:hAnsi="文星标宋" w:eastAsia="文星标宋"/>
          <w:b/>
          <w:color w:val="000000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/>
          <w:b/>
          <w:color w:val="000000"/>
          <w:sz w:val="44"/>
          <w:szCs w:val="44"/>
        </w:rPr>
        <w:t>县市场监管局2020年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  <w:lang w:eastAsia="zh-CN"/>
        </w:rPr>
        <w:t>民生实事</w:t>
      </w:r>
      <w:r>
        <w:rPr>
          <w:rFonts w:hint="eastAsia" w:ascii="文星标宋" w:hAnsi="文星标宋" w:eastAsia="文星标宋"/>
          <w:b/>
          <w:color w:val="000000"/>
          <w:sz w:val="44"/>
          <w:szCs w:val="44"/>
        </w:rPr>
        <w:t>执行措施与监督</w:t>
      </w:r>
      <w:bookmarkEnd w:id="0"/>
    </w:p>
    <w:tbl>
      <w:tblPr>
        <w:tblStyle w:val="5"/>
        <w:tblW w:w="135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782"/>
        <w:gridCol w:w="2835"/>
        <w:gridCol w:w="2410"/>
        <w:gridCol w:w="5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  <w:jc w:val="center"/>
        </w:trPr>
        <w:tc>
          <w:tcPr>
            <w:tcW w:w="560" w:type="dxa"/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序号</w:t>
            </w:r>
          </w:p>
        </w:tc>
        <w:tc>
          <w:tcPr>
            <w:tcW w:w="1782" w:type="dxa"/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工作任务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措施步骤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责任分工</w:t>
            </w:r>
          </w:p>
        </w:tc>
        <w:tc>
          <w:tcPr>
            <w:tcW w:w="5950" w:type="dxa"/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监督方式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560" w:type="dxa"/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ahoma" w:eastAsia="仿宋_GB2312" w:cs="Tahoma"/>
                <w:b/>
                <w:color w:val="000000"/>
                <w:sz w:val="24"/>
              </w:rPr>
            </w:pPr>
            <w:r>
              <w:rPr>
                <w:rFonts w:hint="eastAsia" w:ascii="仿宋_GB2312" w:hAnsi="Tahoma" w:eastAsia="仿宋_GB2312" w:cs="Tahoma"/>
                <w:b/>
                <w:color w:val="000000"/>
                <w:sz w:val="24"/>
              </w:rPr>
              <w:t>1</w:t>
            </w:r>
          </w:p>
        </w:tc>
        <w:tc>
          <w:tcPr>
            <w:tcW w:w="1782" w:type="dxa"/>
            <w:noWrap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4"/>
              </w:rPr>
              <w:t>新增马德里商标国际注册2件以上。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黑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4"/>
              </w:rPr>
              <w:t>加大工作力度，强化措施，力争新增马德里商标国际注册申请2件。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/>
                <w:b/>
                <w:color w:val="000000"/>
                <w:w w:val="8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w w:val="80"/>
                <w:sz w:val="24"/>
              </w:rPr>
              <w:t>分管负责人：亓树田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color w:val="000000"/>
                <w:w w:val="8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w w:val="80"/>
                <w:sz w:val="24"/>
              </w:rPr>
              <w:t>责任科室：商标广告科</w:t>
            </w:r>
          </w:p>
        </w:tc>
        <w:tc>
          <w:tcPr>
            <w:tcW w:w="5950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黑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4"/>
              </w:rPr>
              <w:t>1.加大宣传力度，加强与各镇街区沟通协调，深入调查研究，确定工作重点。2.强化服务，加强调度，精准指导，推动重点商标企业国际申请工作开展，指导各镇街区开展国内商标申请。3.及时帮助解决企业申请工作中的疑难问题，加快申请进度。4.查漏补缺，及时了解工作进度，强化协调服务，力争全年目标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60" w:type="dxa"/>
            <w:noWrap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Tahoma" w:eastAsia="仿宋_GB2312" w:cs="Tahoma"/>
                <w:b/>
                <w:color w:val="000000"/>
                <w:sz w:val="24"/>
              </w:rPr>
            </w:pPr>
            <w:r>
              <w:rPr>
                <w:rFonts w:hint="eastAsia" w:ascii="仿宋_GB2312" w:hAnsi="Tahoma" w:eastAsia="仿宋_GB2312" w:cs="Tahoma"/>
                <w:b/>
                <w:color w:val="000000"/>
                <w:sz w:val="24"/>
              </w:rPr>
              <w:t>2</w:t>
            </w:r>
          </w:p>
        </w:tc>
        <w:tc>
          <w:tcPr>
            <w:tcW w:w="1782" w:type="dxa"/>
            <w:noWrap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4"/>
              </w:rPr>
              <w:t>严格药品零售单位分级分类监管，开展食品安全放心工程建设攻坚行动，通过省食品安全先进县复审。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24"/>
              </w:rPr>
              <w:t>完成上级药品抽样及药械化不良反应监测工作任务目标；严格药品零售企业分级分类管理标准，有序推进药品零售环节新开办及换证工作。加大食品安全监督抽检力度，全年抽检不少于3200批次，达到千人每年5批次以上；通过省食品安全先进县复审。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4"/>
              </w:rPr>
              <w:t>分管负责人：马宁</w:t>
            </w:r>
          </w:p>
          <w:p>
            <w:pPr>
              <w:spacing w:line="32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4"/>
              </w:rPr>
              <w:t>孙希宝</w:t>
            </w:r>
          </w:p>
          <w:p>
            <w:pPr>
              <w:spacing w:line="320" w:lineRule="exact"/>
              <w:jc w:val="left"/>
              <w:rPr>
                <w:rFonts w:hint="eastAsia" w:ascii="仿宋_GB2312" w:hAnsi="黑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4"/>
              </w:rPr>
              <w:t>责任科室：协调科</w:t>
            </w:r>
          </w:p>
          <w:p>
            <w:pPr>
              <w:spacing w:line="320" w:lineRule="exact"/>
              <w:jc w:val="left"/>
              <w:rPr>
                <w:rFonts w:ascii="仿宋_GB2312" w:hAnsi="黑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4"/>
              </w:rPr>
              <w:t>食品监管科、药械科</w:t>
            </w:r>
          </w:p>
        </w:tc>
        <w:tc>
          <w:tcPr>
            <w:tcW w:w="5950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hAnsi="黑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24"/>
              </w:rPr>
              <w:t>1.将食品及食用农产品监督抽检工作列为全局年度重点工作，重点部署推进。年初，紧紧围绕上级要求，结合监管工作需要，制定并印发了《昌乐县市场监督管理局2020年食品安全抽检监测计划》，确定了3200批次的年度抽检计划，抽检批次数量达到达到千人每年5批次，明确了抽检工作计划下达、组织实施、抽样送检、信息公示、不合格后处理等各个环节职责分工和具体操作要求，使抽检工作做到目标明晰、分工明确、方法科学。2.严格按照国家总局《食品安全抽样检验管理办法》等规定规范开展抽检工作。通过公开招标的方式选定了15家规模大、检测能力强、价格适宜的检验机构纳入“备选承检机构名录库”，并对检测时限、问题发现率、服务质量等作出了要求；全县所有获证食品生产经营者全部纳入“被抽检单位库”，重点领域、重点品种针对性抽检与“双随机”抽检相结合，扩大抽检覆盖率，提高抽检工作效果。3.坚持把省级食品安全县巩固提升作为食品安全工作的总抓手，持续开展创建行动，借势借力提升全县食品安全基础保障能力，着力打造食品安全放心区，顺利通过了省、市工作检查和年度检查。起草了《县委常委会委员食品安全工作责任清单》、《县政府领导班子成员食品安全工作责任清单》，分别呈报县委常委会议、县政府常务会议研究并以县委办公室、县政府办公室文件印发，以制度文件形式将食品安全工作提升到党政同责、领导主抓的高度。持续强化责任落实，编印了《迎接食品安全市、县复审现场检查业态点位责任分工表》，建立完善了相关工作机制，进一步明确了各部门职责，压实了工作责任。4.制定了《2020年全县药品市场监督检查工作计划》、《关于2019年度全县药械化安全性监测工作情况和2020年度工作安排的通知》、《昌乐县药械化领域“利剑2020”行动实施方案》、《巩固深化食品药品方面漠视侵害群众利益问题专项整治工作方案》；摸清2020年换证药品零售企业情况，按照山东省药品零售企业分级分类管理办法，有序开展药品零售企业开办及换证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AFF"/>
    <w:rsid w:val="00052E3A"/>
    <w:rsid w:val="001F444F"/>
    <w:rsid w:val="00226CA3"/>
    <w:rsid w:val="004F728E"/>
    <w:rsid w:val="00AA7AFF"/>
    <w:rsid w:val="00B24AF8"/>
    <w:rsid w:val="00B262F4"/>
    <w:rsid w:val="00B5449F"/>
    <w:rsid w:val="26246C21"/>
    <w:rsid w:val="27EE4F83"/>
    <w:rsid w:val="4BB35A08"/>
    <w:rsid w:val="4EE46A2C"/>
    <w:rsid w:val="55180864"/>
    <w:rsid w:val="5A8B0976"/>
    <w:rsid w:val="7C6A0177"/>
    <w:rsid w:val="7E442C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1099</Characters>
  <Lines>9</Lines>
  <Paragraphs>2</Paragraphs>
  <TotalTime>12</TotalTime>
  <ScaleCrop>false</ScaleCrop>
  <LinksUpToDate>false</LinksUpToDate>
  <CharactersWithSpaces>1289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2020-12-28T03:04:37Z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