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609B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16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44"/>
          <w:szCs w:val="44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44"/>
          <w:szCs w:val="44"/>
          <w:shd w:val="clear" w:fill="FFFFFF"/>
          <w:lang w:val="en-US" w:eastAsia="zh-CN"/>
        </w:rPr>
        <w:t>昌乐县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44"/>
          <w:szCs w:val="44"/>
          <w:shd w:val="clear" w:fill="FFFFFF"/>
        </w:rPr>
        <w:t>市场监督管理局</w:t>
      </w:r>
    </w:p>
    <w:p w14:paraId="3FC5E7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16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03133"/>
          <w:spacing w:val="0"/>
          <w:sz w:val="44"/>
          <w:szCs w:val="44"/>
          <w:shd w:val="clear" w:fill="FFFFFF"/>
        </w:rPr>
        <w:t>药品零售经营监督检查制度</w:t>
      </w:r>
    </w:p>
    <w:p w14:paraId="768AF9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完善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药品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监管体系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。深入贯彻法律法规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，结合《药品管理法》《药品经营和使用质量监督管理办法》等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具体内容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，进一步完善药品监管各项工作规范，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执行上级有关规定，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推行实施基层检查标准化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完善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药品监管体系。 </w:t>
      </w:r>
    </w:p>
    <w:p w14:paraId="5756BE1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优化协同监管机制。加强与卫健、医保、审批等部门协同配合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强化上下联动，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筑牢好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省、市、区县“三级联动”风险防控体系，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运用好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告诫、约谈、限期整改、暂停销售使用、立案查处等后处置措施，形成监管闭环。</w:t>
      </w:r>
    </w:p>
    <w:p w14:paraId="3F2E9C2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强化日常监督检查。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农村地区、城乡接合部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重点区域，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出租出借证照、挂靠走票、非法渠道购进药品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重点问题，对购销渠道、冷链储存等重点环节，持续加大监督检查力度。按照“线上线下一体化监管”的原则，加强药品网络销售监管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及时处置涉嫌违法违规线索，妥善处理苗头性、潜在性、系统性风险，严厉打击违法违规行为。 </w:t>
      </w:r>
    </w:p>
    <w:p w14:paraId="1FEFA0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推行分级分类监管。建立实施基于药品安全信用风险分级分类管理基础上的精准化、差异化监管，重点关注新开办、新迁建等企业，对低风险企业合理降低抽查比例和频次，对高风险或有不良记录的企业加大监督检查和抽检等频次和力度，不断提升监管效能。 </w:t>
      </w:r>
    </w:p>
    <w:p w14:paraId="034382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7AFC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提升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药品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抽检效能。优化抽检模式，突出监督抽检的靶向性、风险监测抽检的前瞻性，按照省、市、县三级抽检统筹联动要求，加大药品经营环节使用量大、社会关注度高等品种抽检力度，对集采中选品种、儿童用药、中药饮片、中药配方颗粒等进行重点抽检。</w:t>
      </w:r>
    </w:p>
    <w:p w14:paraId="56E038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提升监管人员检查能力。加大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对监管人员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培训力度。充分采取线下与线上结合、理论培训与实训结合等方式，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结合具体问题开展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针对性培训，不断提升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基层监管人员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发现问题、处置问题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能力。 </w:t>
      </w:r>
    </w:p>
    <w:p w14:paraId="5756B34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推进企业主体责任落实。督促企业严格落实主体责任清单与负面清单，实施主体责任公开承诺制。组织企业定期开展风险自查报告，及时排查化解风险隐患。加强对企业警示教育和培训指导，用好企业考试系统，加强现场抽查测试，监督企业遵规守法。 </w:t>
      </w:r>
    </w:p>
    <w:p w14:paraId="647117A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8" w:lineRule="atLeast"/>
        <w:ind w:left="0" w:firstLine="516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提升风险防控能力。完善常态化风险隐患排查治理机制，统筹运用监督检查、抽样检验、投诉举报、稽查办案、舆情监测等信息，定期排查风险隐患。严格落实风险清单制，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风险动态管理、闭环处置，及时防范化解安全风险。 </w:t>
      </w:r>
    </w:p>
    <w:p w14:paraId="66730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TZlOTg3NWQ0Y2MwNGMxOTEzMWViMzdmZWY0OGIifQ=="/>
  </w:docVars>
  <w:rsids>
    <w:rsidRoot w:val="20EB77E1"/>
    <w:rsid w:val="20EB77E1"/>
    <w:rsid w:val="71E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912</Characters>
  <Lines>0</Lines>
  <Paragraphs>0</Paragraphs>
  <TotalTime>40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2025-12-02T01:33:00Z</dcterms:created>
  <dc:creator>橙</dc:creator>
  <cp:lastModifiedBy>qzuser</cp:lastModifiedBy>
  <dcterms:modified xsi:type="dcterms:W3CDTF">2025-12-02T06:25:26Z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3FBABEB964AF4DA2B69705E6A18C75D0_13</vt:lpwstr>
  </property>
</Properties>
</file>