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9A93DE">
      <w:pPr>
        <w:keepNext w:val="0"/>
        <w:keepLines w:val="0"/>
        <w:pageBreakBefore w:val="0"/>
        <w:tabs>
          <w:tab w:val="left" w:pos="1425"/>
          <w:tab w:val="center" w:pos="4153"/>
        </w:tabs>
        <w:kinsoku/>
        <w:wordWrap/>
        <w:overflowPunct/>
        <w:topLinePunct w:val="0"/>
        <w:autoSpaceDE/>
        <w:autoSpaceDN/>
        <w:bidi w:val="0"/>
        <w:spacing w:beforeLines="0" w:line="600" w:lineRule="exact"/>
        <w:jc w:val="center"/>
        <w:textAlignment w:val="auto"/>
        <w:rPr>
          <w:rFonts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2026年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昌乐县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药品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安全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监督检查计划</w:t>
      </w:r>
    </w:p>
    <w:p w14:paraId="7BFFEC4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</w:p>
    <w:p w14:paraId="2E34157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进一步加强药品质量监督检查工作，</w:t>
      </w: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切实保障药品质量安全，依据药品监管相关法律法规</w:t>
      </w:r>
      <w:bookmarkStart w:id="0" w:name="_GoBack"/>
      <w:bookmarkEnd w:id="0"/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规定，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根据潍坊市市场监督管理局工作计划和我县实际，特</w:t>
      </w: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制定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2026年昌乐县</w:t>
      </w: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药品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安全</w:t>
      </w: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监督检查计划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。</w:t>
      </w:r>
    </w:p>
    <w:p w14:paraId="08234D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黑体" w:cs="Times New Roman"/>
          <w:color w:val="auto"/>
          <w:sz w:val="32"/>
          <w:szCs w:val="32"/>
        </w:rPr>
        <w:t>一、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eastAsia="zh-CN"/>
        </w:rPr>
        <w:t>工作目标</w:t>
      </w:r>
    </w:p>
    <w:p w14:paraId="20C62D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shd w:val="clear" w:color="auto" w:fill="auto"/>
        </w:rPr>
        <w:t>（一）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shd w:val="clear" w:color="auto" w:fill="auto"/>
          <w:lang w:eastAsia="zh-CN"/>
        </w:rPr>
        <w:t>坚持规范监管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shd w:val="clear" w:color="auto" w:fill="auto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依职责全面加强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eastAsia="zh-CN"/>
        </w:rPr>
        <w:t>药品经营使用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环节监管，保障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《药品管理法》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《疫苗管理法》《药品管理法实施条例》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  <w:t>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麻醉药品和精神药品管理条例》《山东省药品使用条例》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《药品经营和使用质量监督管理办法》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eastAsia="zh-CN"/>
        </w:rPr>
        <w:t>《药品检查管理办法（试行）》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eastAsia="zh-CN"/>
        </w:rPr>
        <w:t>药品经营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质量管理规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eastAsia="zh-CN"/>
        </w:rPr>
        <w:t>范》《医疗机构制剂配制质量管理规范（试行）》《疫苗储存和运输管理规范》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eastAsia="zh-CN"/>
        </w:rPr>
        <w:t>法律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法规规范得到有效执行。严格执行《山东省药品经营监督管理办法》《山东省药品零售连锁企业管理办法》《山东省药品零售企业分级分类管理办法》《山东省药品网络销售监督管理办法》和《山东省药品使用质量管理规范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eastAsia="zh-CN"/>
        </w:rPr>
        <w:t>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相关要求，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  <w:lang w:eastAsia="zh-CN"/>
        </w:rPr>
        <w:t>进一步规范检查行为，提升检查质量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。</w:t>
      </w:r>
    </w:p>
    <w:p w14:paraId="67B8F5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楷体_GB2312" w:cs="Times New Roman"/>
          <w:color w:val="auto"/>
          <w:sz w:val="32"/>
          <w:szCs w:val="32"/>
        </w:rPr>
        <w:t>（二）坚持严字当头。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坚持问题导向，围绕重点区域、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重点企业、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重点品种，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严格落实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“四个最严”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要求，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  <w:t>结合既往监督检查、投诉举报、抽样检验、不良反应监测等发现的问题，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推动信用风险分类管理与日常监管、重点监管等有机融合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  <w:t>综合常规检查、专项检查、联合检查和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暗查暗访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  <w:t>方式，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提高风险问题发现能力和处置能力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eastAsia="zh-CN"/>
        </w:rPr>
        <w:t>。运用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限期整改、告诫、约谈、暂停销售使用、依法查处等后处置措施，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依法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严厉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打击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违法违规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行为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适时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向社会公布检查结果，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夯实药品从业单位的药品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质量安全主体责任。</w:t>
      </w:r>
    </w:p>
    <w:p w14:paraId="35A24E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楷体_GB2312" w:cs="Times New Roman"/>
          <w:color w:val="auto"/>
          <w:sz w:val="32"/>
          <w:szCs w:val="32"/>
        </w:rPr>
        <w:t>（三）坚持协作配合。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落实规范涉企行政检查要求，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按照统一组织、分级负责、协调配合的原则，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eastAsia="zh-CN"/>
        </w:rPr>
        <w:t>提升检查协同性，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配合上级部门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eastAsia="zh-CN"/>
        </w:rPr>
        <w:t>探索完善省市县三级协同检查工作模式，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统筹发挥监督检查、抽查检验和执法办案的作用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，提升监督检查质效，推进智慧监管赋能，推动监管从“经验驱动”向“数据驱动”转型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。强化检查工作的调度和研究，及时研判处置检查过程中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eastAsia="zh-CN"/>
        </w:rPr>
        <w:t>发现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的问题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eastAsia="zh-CN"/>
        </w:rPr>
        <w:t>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风险，积极采取防控措施，形成监管闭环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。将执法普法融入检查全过程，严格落实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eastAsia="zh-CN"/>
        </w:rPr>
        <w:t>“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谁检查、谁签名、谁负责”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持续强化监管人员和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行政相对人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的法律意识和责任意识。</w:t>
      </w:r>
    </w:p>
    <w:p w14:paraId="6E195A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黑体" w:cs="Times New Roman"/>
          <w:color w:val="auto"/>
          <w:sz w:val="32"/>
          <w:szCs w:val="32"/>
        </w:rPr>
        <w:t>二、检查重点</w:t>
      </w:r>
    </w:p>
    <w:p w14:paraId="6BE3ED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楷体_GB2312" w:hAnsi="宋体" w:eastAsia="楷体_GB2312" w:cs="Times New Roman"/>
          <w:color w:val="auto"/>
          <w:kern w:val="0"/>
          <w:sz w:val="32"/>
          <w:szCs w:val="32"/>
        </w:rPr>
      </w:pPr>
      <w:r>
        <w:rPr>
          <w:rFonts w:hint="eastAsia" w:ascii="楷体_GB2312" w:hAnsi="宋体" w:eastAsia="楷体_GB2312" w:cs="Times New Roman"/>
          <w:color w:val="auto"/>
          <w:kern w:val="0"/>
          <w:sz w:val="32"/>
          <w:szCs w:val="32"/>
        </w:rPr>
        <w:t>（一）药品零售企业</w:t>
      </w:r>
    </w:p>
    <w:p w14:paraId="0EF539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</w:rPr>
        <w:t>以集采中选药品、中药饮片、含麻黄碱类复方制剂等有特殊管理要求的药品、冷链储运药品为重点品种，以农村地区、城乡接合部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eastAsia="zh-CN"/>
        </w:rPr>
        <w:t>、学校周边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</w:rPr>
        <w:t>等为重点区域，重点检查经营品种与经营范围一致性、药品购进渠道、储存条件、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eastAsia="zh-CN"/>
        </w:rPr>
        <w:t>处方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</w:rPr>
        <w:t>药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eastAsia="zh-CN"/>
        </w:rPr>
        <w:t>销售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</w:rPr>
        <w:t>、执业药师在岗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eastAsia="zh-CN"/>
        </w:rPr>
        <w:t>履职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</w:rPr>
        <w:t>和药品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eastAsia="zh-CN"/>
        </w:rPr>
        <w:t>网络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</w:rPr>
        <w:t>销售情况以及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eastAsia="zh-CN"/>
        </w:rPr>
        <w:t>药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</w:rPr>
        <w:t>品追溯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/>
        </w:rPr>
        <w:t>体系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</w:rPr>
        <w:t>等内容</w:t>
      </w:r>
      <w:r>
        <w:rPr>
          <w:rFonts w:hint="eastAsia" w:ascii="仿宋_GB2312" w:hAnsi="Calibri" w:eastAsia="仿宋_GB2312" w:cs="仿宋_GB2312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严厉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</w:rPr>
        <w:t>打击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lang w:eastAsia="zh-CN"/>
        </w:rPr>
        <w:t>出租出借证照、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</w:rPr>
        <w:t>非法渠道购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lang w:eastAsia="zh-CN"/>
        </w:rPr>
        <w:t>销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</w:rPr>
        <w:t>、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lang w:eastAsia="zh-CN"/>
        </w:rPr>
        <w:t>医保药品回流、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药品违法网络销售、执业药师“挂靠”、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</w:rPr>
        <w:t>超方式经营、销售过期药品和假劣药品等违法违规行为</w:t>
      </w:r>
      <w:r>
        <w:rPr>
          <w:rFonts w:hint="eastAsia" w:ascii="仿宋_GB2312" w:hAnsi="仿宋_GB2312" w:eastAsia="仿宋_GB2312" w:cs="Times New Roman"/>
          <w:color w:val="auto"/>
          <w:sz w:val="32"/>
          <w:szCs w:val="32"/>
          <w:lang w:eastAsia="zh-CN"/>
        </w:rPr>
        <w:t>。</w:t>
      </w:r>
    </w:p>
    <w:p w14:paraId="056745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楷体_GB2312" w:hAnsi="宋体" w:eastAsia="楷体_GB2312" w:cs="Times New Roman"/>
          <w:color w:val="auto"/>
          <w:kern w:val="0"/>
          <w:sz w:val="32"/>
          <w:szCs w:val="32"/>
        </w:rPr>
      </w:pPr>
      <w:r>
        <w:rPr>
          <w:rFonts w:hint="eastAsia" w:ascii="楷体_GB2312" w:hAnsi="宋体" w:eastAsia="楷体_GB2312" w:cs="Times New Roman"/>
          <w:color w:val="auto"/>
          <w:kern w:val="0"/>
          <w:sz w:val="32"/>
          <w:szCs w:val="32"/>
        </w:rPr>
        <w:t>（</w:t>
      </w:r>
      <w:r>
        <w:rPr>
          <w:rFonts w:hint="eastAsia" w:ascii="楷体_GB2312" w:hAnsi="宋体" w:eastAsia="楷体_GB2312" w:cs="Times New Roman"/>
          <w:color w:val="auto"/>
          <w:kern w:val="0"/>
          <w:sz w:val="32"/>
          <w:szCs w:val="32"/>
          <w:lang w:eastAsia="zh-CN"/>
        </w:rPr>
        <w:t>二</w:t>
      </w:r>
      <w:r>
        <w:rPr>
          <w:rFonts w:hint="eastAsia" w:ascii="楷体_GB2312" w:hAnsi="宋体" w:eastAsia="楷体_GB2312" w:cs="Times New Roman"/>
          <w:color w:val="auto"/>
          <w:kern w:val="0"/>
          <w:sz w:val="32"/>
          <w:szCs w:val="32"/>
        </w:rPr>
        <w:t>）药品使用单位</w:t>
      </w:r>
    </w:p>
    <w:p w14:paraId="260237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仿宋_GB2312" w:hAnsi="宋体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</w:rPr>
        <w:t>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血液制品、中药注射剂、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</w:rPr>
        <w:t>集采中选药品、基本药物、麻醉药品、精神药品、放射性药品等有特殊管理要求的药品，冷链储运药品及中药饮片（含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/>
        </w:rPr>
        <w:t>中药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</w:rPr>
        <w:t>配方颗粒）为重点品种，农村地区、城乡接合部等为重点区域，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乡镇卫生院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村卫生室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和个体诊所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为重点单位，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</w:rPr>
        <w:t>重点检查是否具有与所使用药品相适应的场所、设备、仓储设施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eastAsia="zh-CN"/>
        </w:rPr>
        <w:t>和药品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</w:rPr>
        <w:t>追溯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val="en-US" w:eastAsia="zh-CN"/>
        </w:rPr>
        <w:t>体系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eastAsia="zh-CN"/>
        </w:rPr>
        <w:t>等情况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</w:rPr>
        <w:t>；是否存在从非法渠道购进药品、</w:t>
      </w:r>
      <w:r>
        <w:rPr>
          <w:rFonts w:hint="eastAsia" w:ascii="仿宋_GB2312" w:hAnsi="黑体" w:eastAsia="仿宋_GB2312" w:cs="Times New Roman"/>
          <w:color w:val="auto"/>
          <w:sz w:val="32"/>
          <w:szCs w:val="32"/>
        </w:rPr>
        <w:t>不按要求储存药品、</w:t>
      </w:r>
      <w:r>
        <w:rPr>
          <w:rFonts w:hint="eastAsia" w:ascii="仿宋_GB2312" w:hAnsi="黑体" w:eastAsia="仿宋_GB2312" w:cs="Times New Roman"/>
          <w:color w:val="auto"/>
          <w:sz w:val="32"/>
          <w:szCs w:val="32"/>
          <w:lang w:eastAsia="zh-CN"/>
        </w:rPr>
        <w:t>非法销售药品、</w:t>
      </w:r>
      <w:r>
        <w:rPr>
          <w:rFonts w:hint="eastAsia" w:ascii="仿宋_GB2312" w:hAnsi="黑体" w:eastAsia="仿宋_GB2312" w:cs="Times New Roman"/>
          <w:color w:val="auto"/>
          <w:sz w:val="32"/>
          <w:szCs w:val="32"/>
        </w:rPr>
        <w:t>使用过期药品</w:t>
      </w:r>
      <w:r>
        <w:rPr>
          <w:rFonts w:hint="eastAsia" w:ascii="仿宋_GB2312" w:hAnsi="黑体" w:eastAsia="仿宋_GB2312" w:cs="Times New Roman"/>
          <w:color w:val="auto"/>
          <w:sz w:val="32"/>
          <w:szCs w:val="32"/>
          <w:lang w:eastAsia="zh-CN"/>
        </w:rPr>
        <w:t>、假劣药品和</w:t>
      </w:r>
      <w:r>
        <w:rPr>
          <w:rFonts w:hint="eastAsia" w:ascii="仿宋_GB2312" w:hAnsi="黑体" w:eastAsia="仿宋_GB2312" w:cs="Times New Roman"/>
          <w:color w:val="auto"/>
          <w:sz w:val="32"/>
          <w:szCs w:val="32"/>
        </w:rPr>
        <w:t>回收药品等违法</w:t>
      </w:r>
      <w:r>
        <w:rPr>
          <w:rFonts w:hint="eastAsia" w:ascii="仿宋_GB2312" w:hAnsi="黑体" w:eastAsia="仿宋_GB2312" w:cs="Times New Roman"/>
          <w:color w:val="auto"/>
          <w:sz w:val="32"/>
          <w:szCs w:val="32"/>
          <w:lang w:eastAsia="zh-CN"/>
        </w:rPr>
        <w:t>违规</w:t>
      </w:r>
      <w:r>
        <w:rPr>
          <w:rFonts w:hint="eastAsia" w:ascii="仿宋_GB2312" w:hAnsi="黑体" w:eastAsia="仿宋_GB2312" w:cs="Times New Roman"/>
          <w:color w:val="auto"/>
          <w:sz w:val="32"/>
          <w:szCs w:val="32"/>
        </w:rPr>
        <w:t>行为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</w:rPr>
        <w:t>。</w:t>
      </w:r>
    </w:p>
    <w:p w14:paraId="534037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楷体_GB2312" w:hAnsi="宋体" w:eastAsia="楷体_GB2312" w:cs="Times New Roman"/>
          <w:color w:val="auto"/>
          <w:kern w:val="0"/>
          <w:sz w:val="32"/>
          <w:szCs w:val="32"/>
        </w:rPr>
      </w:pPr>
      <w:r>
        <w:rPr>
          <w:rFonts w:hint="eastAsia" w:ascii="楷体_GB2312" w:hAnsi="宋体" w:eastAsia="楷体_GB2312" w:cs="Times New Roman"/>
          <w:color w:val="auto"/>
          <w:kern w:val="0"/>
          <w:sz w:val="32"/>
          <w:szCs w:val="32"/>
        </w:rPr>
        <w:t>（</w:t>
      </w:r>
      <w:r>
        <w:rPr>
          <w:rFonts w:hint="eastAsia" w:ascii="楷体_GB2312" w:hAnsi="宋体" w:eastAsia="楷体_GB2312" w:cs="Times New Roman"/>
          <w:color w:val="auto"/>
          <w:kern w:val="0"/>
          <w:sz w:val="32"/>
          <w:szCs w:val="32"/>
          <w:lang w:eastAsia="zh-CN"/>
        </w:rPr>
        <w:t>三</w:t>
      </w:r>
      <w:r>
        <w:rPr>
          <w:rFonts w:hint="eastAsia" w:ascii="楷体_GB2312" w:hAnsi="宋体" w:eastAsia="楷体_GB2312" w:cs="Times New Roman"/>
          <w:color w:val="auto"/>
          <w:kern w:val="0"/>
          <w:sz w:val="32"/>
          <w:szCs w:val="32"/>
        </w:rPr>
        <w:t>）疾控机构、预防接种单位</w:t>
      </w:r>
    </w:p>
    <w:p w14:paraId="368778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仿宋_GB2312" w:hAnsi="宋体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</w:rPr>
        <w:t>重点检查冷链设备设施是否完备、运行是否良好，储运温度是否正常、定时监测是否落实，出入库台账记录是否完整、账物数量是否一致，批签发证明文件或检验报告是否齐全有效，定期检查制度是否落实，入库出库是否按规定上传追溯信息，发现冷链温度异常是否及时有效处置，报废疫苗是否按规定处置等。</w:t>
      </w:r>
    </w:p>
    <w:p w14:paraId="2900C0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仿宋_GB2312" w:hAnsi="宋体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楷体_GB2312" w:hAnsi="宋体" w:eastAsia="楷体_GB2312" w:cs="Times New Roman"/>
          <w:color w:val="auto"/>
          <w:kern w:val="0"/>
          <w:sz w:val="32"/>
          <w:szCs w:val="32"/>
        </w:rPr>
        <w:t>（</w:t>
      </w:r>
      <w:r>
        <w:rPr>
          <w:rFonts w:hint="eastAsia" w:ascii="楷体_GB2312" w:hAnsi="宋体" w:eastAsia="楷体_GB2312" w:cs="Times New Roman"/>
          <w:color w:val="auto"/>
          <w:kern w:val="0"/>
          <w:sz w:val="32"/>
          <w:szCs w:val="32"/>
          <w:lang w:eastAsia="zh-CN"/>
        </w:rPr>
        <w:t>四</w:t>
      </w:r>
      <w:r>
        <w:rPr>
          <w:rFonts w:hint="eastAsia" w:ascii="楷体_GB2312" w:hAnsi="宋体" w:eastAsia="楷体_GB2312" w:cs="Times New Roman"/>
          <w:color w:val="auto"/>
          <w:kern w:val="0"/>
          <w:sz w:val="32"/>
          <w:szCs w:val="32"/>
        </w:rPr>
        <w:t>）</w:t>
      </w:r>
      <w:r>
        <w:rPr>
          <w:rFonts w:hint="eastAsia" w:ascii="楷体_GB2312" w:hAnsi="宋体" w:eastAsia="楷体_GB2312" w:cs="Times New Roman"/>
          <w:color w:val="auto"/>
          <w:kern w:val="0"/>
          <w:sz w:val="32"/>
          <w:szCs w:val="32"/>
          <w:lang w:eastAsia="zh-CN"/>
        </w:rPr>
        <w:t>药品网络</w:t>
      </w:r>
      <w:r>
        <w:rPr>
          <w:rFonts w:hint="eastAsia" w:ascii="楷体_GB2312" w:hAnsi="宋体" w:eastAsia="楷体_GB2312" w:cs="Times New Roman"/>
          <w:color w:val="auto"/>
          <w:kern w:val="0"/>
          <w:sz w:val="32"/>
          <w:szCs w:val="32"/>
        </w:rPr>
        <w:t>销售企业</w:t>
      </w:r>
    </w:p>
    <w:p w14:paraId="57402F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/>
          <w:color w:val="auto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</w:rPr>
        <w:t>重点检查是否按规定向监管部门报告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</w:rPr>
        <w:t>是否存在违反《药品网络销售监督管理办法》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eastAsia="zh-CN"/>
        </w:rPr>
        <w:t>《山东省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</w:rPr>
        <w:t>药品网络销售监督管理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eastAsia="zh-CN"/>
        </w:rPr>
        <w:t>实施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</w:rPr>
        <w:t>办法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  <w:lang w:eastAsia="zh-CN"/>
        </w:rPr>
        <w:t>》等</w:t>
      </w:r>
      <w:r>
        <w:rPr>
          <w:rFonts w:hint="eastAsia" w:ascii="仿宋_GB2312" w:hAnsi="宋体" w:eastAsia="仿宋_GB2312" w:cs="Times New Roman"/>
          <w:color w:val="auto"/>
          <w:kern w:val="0"/>
          <w:sz w:val="32"/>
          <w:szCs w:val="32"/>
        </w:rPr>
        <w:t>有关规定的情形。</w:t>
      </w:r>
    </w:p>
    <w:p w14:paraId="0B3AD5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黑体" w:cs="Times New Roman"/>
          <w:color w:val="auto"/>
          <w:sz w:val="32"/>
          <w:szCs w:val="32"/>
        </w:rPr>
        <w:t>三、检查安排</w:t>
      </w:r>
    </w:p>
    <w:p w14:paraId="0B3456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检查类型</w:t>
      </w:r>
    </w:p>
    <w:p w14:paraId="23EB3E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根据检查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性质和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目的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药品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安全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监督检查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分为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常规检查、有因检查和其他检查。其中常规检查包括日常检查、重点检查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GSP符合性检查，其他检查包括专项检查、抽查、延伸检查等。</w:t>
      </w:r>
    </w:p>
    <w:p w14:paraId="661BFD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据检查开展形式，可分为现场检查和非现场检查。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现场检查为药品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监督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检查的主要方式。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现场检查通过现场询问相关人员，实地查看场所、质量管理体系相关资料等方式开展。非现场检查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采用资料审核、远程视频、网络巡查、监测检查等方式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开展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。有因检查、重点监督检查对象以及法律法规规章等明确需要现场检查的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不适用非现场检查方式。</w:t>
      </w:r>
    </w:p>
    <w:p w14:paraId="7BDB8C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检查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安排</w:t>
      </w:r>
    </w:p>
    <w:p w14:paraId="18FBF45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、</w:t>
      </w: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日常检查。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严格按照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eastAsia="zh-CN"/>
        </w:rPr>
        <w:t>《药品管理法》《药品管理法实施条例》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《药品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eastAsia="zh-CN"/>
        </w:rPr>
        <w:t>经营和使用质量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监督管理办法》</w:t>
      </w:r>
      <w:r>
        <w:rPr>
          <w:rFonts w:hint="eastAsia" w:ascii="仿宋_GB2312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《药品检查管理办法（试行）》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eastAsia="zh-CN"/>
        </w:rPr>
        <w:t>等法律法规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规定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的检查程序、检查频次等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eastAsia="zh-CN"/>
        </w:rPr>
        <w:t>要求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开展检查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lang w:val="en-US" w:eastAsia="zh-CN"/>
        </w:rPr>
        <w:t>。</w:t>
      </w:r>
      <w:r>
        <w:rPr>
          <w:rFonts w:hint="eastAsia" w:ascii="仿宋_GB2312" w:hAnsi="Times New Roman" w:eastAsia="仿宋_GB2312" w:cs="Times New Roman"/>
          <w:bCs/>
          <w:color w:val="auto"/>
          <w:sz w:val="32"/>
          <w:szCs w:val="32"/>
        </w:rPr>
        <w:t>对疾控机构、预防接种单位每年检查不少于2次</w:t>
      </w: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（含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省、市级</w:t>
      </w: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检查）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对经营冷藏冷冻药品、血液制品、细胞治疗类生物制品、第二类精神药品、医疗用毒性药品的药品零售企业和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D级评价单位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年度检查不少于1次</w:t>
      </w:r>
      <w:r>
        <w:rPr>
          <w:rFonts w:hint="eastAsia" w:ascii="仿宋_GB2312" w:hAnsi="Times New Roman" w:eastAsia="仿宋_GB2312" w:cs="Times New Roman"/>
          <w:bCs/>
          <w:color w:val="auto"/>
          <w:sz w:val="32"/>
          <w:szCs w:val="32"/>
        </w:rPr>
        <w:t>。</w:t>
      </w:r>
      <w:r>
        <w:rPr>
          <w:rFonts w:hint="eastAsia" w:ascii="仿宋_GB2312" w:hAnsi="Times New Roman" w:eastAsia="仿宋_GB2312" w:cs="Times New Roman"/>
          <w:bCs/>
          <w:color w:val="auto"/>
          <w:sz w:val="32"/>
          <w:szCs w:val="32"/>
          <w:lang w:val="en-US" w:eastAsia="zh-CN"/>
        </w:rPr>
        <w:t>年内对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药品零售企业、医疗机构的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  <w:t>检查覆盖率（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2025年以来累计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应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  <w:t>达到80%以上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，</w:t>
      </w:r>
      <w:r>
        <w:rPr>
          <w:rFonts w:hint="eastAsia" w:ascii="Times New Roman" w:hAnsi="Times New Roman" w:eastAsia="仿宋_GB2312" w:cs="Times New Roman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确保自2025年起三年内对行政区域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内药品零售企业、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  <w:t>医疗机构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全部进行检查。</w:t>
      </w:r>
    </w:p>
    <w:p w14:paraId="290DA4F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2、GSP符合性检查。对本辖区上年度新开办的药品零售企业实施</w:t>
      </w: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GSP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符合性</w:t>
      </w: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检查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，对其他零售企业确定适当比例开展符合性检查</w:t>
      </w: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。</w:t>
      </w:r>
    </w:p>
    <w:p w14:paraId="68EDC26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i w:val="0"/>
          <w:caps w:val="0"/>
          <w:color w:val="FF0000"/>
          <w:spacing w:val="0"/>
          <w:kern w:val="2"/>
          <w:sz w:val="32"/>
          <w:szCs w:val="32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3、</w:t>
      </w: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有因检查。根据各类风险信息和工作需要，组织开展有因检查。涉及重大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风险隐</w:t>
      </w: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患的，在做好风险管控的同时，及时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上报潍坊市局</w:t>
      </w: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。</w:t>
      </w:r>
    </w:p>
    <w:p w14:paraId="1D9AD85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四、检查要求</w:t>
      </w:r>
    </w:p>
    <w:p w14:paraId="48F8D5E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楷体_GB2312" w:cs="Times New Roman"/>
          <w:color w:val="auto"/>
          <w:kern w:val="0"/>
          <w:sz w:val="32"/>
          <w:szCs w:val="32"/>
          <w:lang w:val="en-US" w:eastAsia="zh-CN"/>
        </w:rPr>
        <w:t>（一）明确检查重点，完成监管闭环。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各相关单位应根据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</w:rPr>
        <w:t>检查频次和检查重点，组织开展检查及复查，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做好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</w:rPr>
        <w:t>风险会商，采取相应后处置措施，及时录入检查信息、企业整改报告及复查处置情况，形成检查闭环。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对国家、省药监局和市局临时部署的紧急检查、专项检查等事项，同步核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减合并后续检查计划。</w:t>
      </w:r>
    </w:p>
    <w:p w14:paraId="2CCED3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楷体_GB2312" w:cs="Times New Roman"/>
          <w:color w:val="auto"/>
          <w:kern w:val="0"/>
          <w:sz w:val="32"/>
          <w:szCs w:val="32"/>
        </w:rPr>
        <w:t>（二）强化风险研判，加大查处力度。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密切联系许可审批、检验监测、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执法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办案等工作，加大对重点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单位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、重点品种和关键环节的检查力度，检查工作引入稽查思维，对发现的问题线索，一追到底，注意索取并留存相关证据材料，对违法违规行为依法进行严厉查处。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同时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加大监管信息公开力度，及时向社会公布检查结果。对发现严重违法违规行为作出吊销许可证处罚的，要及时上报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市局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。</w:t>
      </w:r>
    </w:p>
    <w:p w14:paraId="688FB7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仿宋_GB2312" w:hAnsi="仿宋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楷体_GB2312" w:cs="Times New Roman"/>
          <w:color w:val="auto"/>
          <w:kern w:val="0"/>
          <w:sz w:val="32"/>
          <w:szCs w:val="32"/>
        </w:rPr>
        <w:t>（三）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加强协同联动，创新监管方式。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按照《关于加强跨区域跨层级药品监管协同的实施意见》（鲁药监法〔2024〕17号）要求，强化条块结合、区域联动，完善协同监管机制，切实消除监管盲区，切实提升监管的统一性、协调性、精准性和有效性。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各相关科室、队、所要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将药品追溯工作纳入日常检查内容，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全面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应用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药品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追溯监管模块、“码上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放心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”APP等，提高检查靶向性和问题发现率。要将信用风险分类与日常监管紧密结合，加大对C、D级企业检查频次和力度，切实防控风险隐患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538F80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楷体_GB2312" w:cs="Times New Roman"/>
          <w:color w:val="auto"/>
          <w:kern w:val="0"/>
          <w:sz w:val="32"/>
          <w:szCs w:val="32"/>
          <w:highlight w:val="none"/>
        </w:rPr>
        <w:t>（四）规范检查工作，</w:t>
      </w:r>
      <w:r>
        <w:rPr>
          <w:rFonts w:hint="eastAsia" w:ascii="Times New Roman" w:hAnsi="Times New Roman" w:eastAsia="楷体_GB2312" w:cs="Times New Roman"/>
          <w:color w:val="auto"/>
          <w:kern w:val="0"/>
          <w:sz w:val="32"/>
          <w:szCs w:val="32"/>
          <w:highlight w:val="none"/>
          <w:lang w:eastAsia="zh-CN"/>
        </w:rPr>
        <w:t>提升监管效能</w:t>
      </w:r>
      <w:r>
        <w:rPr>
          <w:rFonts w:hint="eastAsia" w:ascii="Times New Roman" w:hAnsi="Times New Roman" w:eastAsia="楷体_GB2312" w:cs="Times New Roman"/>
          <w:color w:val="auto"/>
          <w:kern w:val="0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规范涉企行政检查行为，避免重复、多头、随意检查，切实减轻企业负担，持续优化营商环境。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highlight w:val="none"/>
        </w:rPr>
        <w:t>检查记录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需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在检查后5日内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highlight w:val="none"/>
        </w:rPr>
        <w:t>录入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智慧市场监管一体化平台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highlight w:val="none"/>
        </w:rPr>
        <w:t>、疫苗追溯监管系统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按实际选择检查类别，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highlight w:val="none"/>
        </w:rPr>
        <w:t>确保药品监管统计数据真实、准确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，做到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highlight w:val="none"/>
        </w:rPr>
        <w:t>数出有源、数出有据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要充分利用省药监局培训考试系统加强对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企业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关键岗位人员质量安全知识的培训和考核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，督促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企业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按要求填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风险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自查报告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 w14:paraId="4DD5FF1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C176CF2-E927-4E34-AE58-00BB5EC0E23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285A8C0-070D-463C-970B-682C08406C9C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3499823A-829A-4BA8-91D2-CBA18F9C527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014CB3A3-02A8-4666-90DA-013125FDC6EB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7580ABC3-F416-4C92-BD60-E04A3A83759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ECFEB62D-D2DA-4058-BE6E-62CD6F30CE5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C20A6D"/>
    <w:rsid w:val="6EC20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0"/>
    <w:pPr>
      <w:ind w:firstLine="420" w:firstLineChars="100"/>
    </w:pPr>
  </w:style>
  <w:style w:type="paragraph" w:styleId="3">
    <w:name w:val="Body Text"/>
    <w:basedOn w:val="1"/>
    <w:next w:val="4"/>
    <w:unhideWhenUsed/>
    <w:qFormat/>
    <w:uiPriority w:val="1"/>
    <w:pPr>
      <w:autoSpaceDE w:val="0"/>
      <w:autoSpaceDN w:val="0"/>
    </w:pPr>
    <w:rPr>
      <w:rFonts w:ascii="宋体" w:hAnsi="宋体"/>
      <w:kern w:val="0"/>
      <w:szCs w:val="32"/>
      <w:lang w:eastAsia="en-US"/>
    </w:rPr>
  </w:style>
  <w:style w:type="paragraph" w:customStyle="1" w:styleId="4">
    <w:name w:val="toc 41"/>
    <w:next w:val="1"/>
    <w:qFormat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52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2026-08-31T01:17:00Z</dcterms:created>
  <dc:creator>橙</dc:creator>
  <cp:lastModifiedBy>橙</cp:lastModifiedBy>
  <dcterms:modified xsi:type="dcterms:W3CDTF">2026-08-31T02:13:23Z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9A2DDDB832734ACC8A1D78941256D087_11</vt:lpwstr>
  </property>
  <property fmtid="{D5CDD505-2E9C-101B-9397-08002B2CF9AE}" pid="4" name="KSOTemplateDocerSaveRecord">
    <vt:lpwstr>eyJoZGlkIjoiN2M0NTZlOTg3NWQ0Y2MwNGMxOTEzMWViMzdmZWY0OGIiLCJ1c2VySWQiOiIyOTA1NDM4ODAifQ==</vt:lpwstr>
  </property>
</Properties>
</file>