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  <w:lang w:val="en-US" w:eastAsia="zh-CN"/>
        </w:rPr>
        <w:t>昌乐县统计局</w:t>
      </w:r>
      <w:r>
        <w:rPr>
          <w:rFonts w:hint="eastAsia" w:ascii="文星标宋" w:hAnsi="文星标宋" w:eastAsia="文星标宋" w:cs="文星标宋"/>
          <w:sz w:val="44"/>
          <w:szCs w:val="44"/>
        </w:rPr>
        <w:t>行政处罚服务指</w:t>
      </w:r>
      <w:bookmarkStart w:id="0" w:name="_GoBack"/>
      <w:bookmarkEnd w:id="0"/>
      <w:r>
        <w:rPr>
          <w:rFonts w:hint="eastAsia" w:ascii="文星标宋" w:hAnsi="文星标宋" w:eastAsia="文星标宋" w:cs="文星标宋"/>
          <w:sz w:val="44"/>
          <w:szCs w:val="44"/>
        </w:rPr>
        <w:t>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640"/>
        <w:jc w:val="left"/>
        <w:rPr>
          <w:rFonts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一、执法事项名称及适用范围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本指南适用于办理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统计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行政处罚案件。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二、办理依据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45"/>
        <w:jc w:val="left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1.《中华人民共和国统计法》第二十七条、第三十三条；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15"/>
        <w:jc w:val="left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2.《中华人民共和国统计法实施细则》第六条；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15"/>
        <w:jc w:val="left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3.《全国人口普查条例》第三条；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15"/>
        <w:jc w:val="left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4.《全国经济普查条例》第十六条；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15"/>
        <w:jc w:val="left"/>
        <w:textAlignment w:val="center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5.《全国农业普查条例》第三条。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三、承办机构</w:t>
      </w:r>
    </w:p>
    <w:p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昌乐县统计局。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left="0" w:right="0" w:firstLine="64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四、执法程序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行政处罚：受理-立案-调查-做出处理决定（答复投诉举报人）-送达文书-处罚决定公开-结案。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行政检查：制定监督检查工作计划-下发检查通知-组织实施检查-汇总检查结果。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right="0" w:firstLine="640" w:firstLineChars="20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五、监督途径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（一）监督和投诉渠道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40"/>
        <w:jc w:val="both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监督部门：昌乐县统计局统计办公室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40"/>
        <w:jc w:val="both"/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投诉电话：0536-6222680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40"/>
        <w:jc w:val="both"/>
        <w:rPr>
          <w:rFonts w:hint="default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信函投诉：昌乐县统计局办公室收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  <w:lang w:val="en-US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邮编：262400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64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（二）救济途径：公民、法人或者其他组织认为执法工作中，有侵犯其合法权益的行为，可以按照《行政复议法》第二条、第九条，《行政诉讼法》第二条、第四十四、四十五、四十六条规定，向潍坊市人民政府申请行政复议或向人民法院提起行政诉讼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办公电话、地址和时间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办公时间：工作日，上午8:30-11:30，下午13:30-17:30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办公电话：0536-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6222680</w:t>
      </w:r>
    </w:p>
    <w:p>
      <w:pPr>
        <w:spacing w:line="56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>办公地址：昌乐县城关商务社区1号楼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80" w:lineRule="atLeast"/>
        <w:ind w:right="0" w:firstLine="640" w:firstLineChars="200"/>
        <w:jc w:val="left"/>
        <w:rPr>
          <w:rFonts w:hint="default" w:ascii="Calibri" w:hAnsi="Calibri" w:cs="Calibri"/>
          <w:sz w:val="21"/>
          <w:szCs w:val="21"/>
        </w:rPr>
      </w:pPr>
      <w:r>
        <w:rPr>
          <w:rFonts w:hint="eastAsia" w:ascii="仿宋_GB2312" w:hAnsi="Calibri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电子邮箱：clxtjj@wf.shandong.cn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B07A7"/>
    <w:rsid w:val="007211CF"/>
    <w:rsid w:val="13D967A6"/>
    <w:rsid w:val="1A4B0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2020-01-02T09:36:00Z</dcterms:created>
  <dc:creator>丛蓉</dc:creator>
  <cp:lastModifiedBy>丛蓉</cp:lastModifiedBy>
  <dcterms:modified xsi:type="dcterms:W3CDTF">2020-01-02T09:44:01Z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