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文星标宋" w:eastAsia="方正小标宋简体" w:cs="文星标宋"/>
          <w:sz w:val="44"/>
          <w:szCs w:val="44"/>
          <w:lang w:val="en-US" w:eastAsia="zh-CN"/>
        </w:rPr>
        <w:t>昌乐县文化和旅游局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202</w:t>
      </w:r>
      <w:r>
        <w:rPr>
          <w:rFonts w:hint="eastAsia" w:ascii="方正小标宋简体" w:hAnsi="黑体" w:eastAsia="方正小标宋简体" w:cs="仿宋_GB2312"/>
          <w:sz w:val="44"/>
          <w:szCs w:val="44"/>
          <w:lang w:val="en-US" w:eastAsia="zh-CN"/>
        </w:rPr>
        <w:t>3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年度行政执法数据统计表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1．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昌乐县文化和旅游局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2023年度行政许可情况统计表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6"/>
        <w:gridCol w:w="2184"/>
        <w:gridCol w:w="2126"/>
        <w:gridCol w:w="2044"/>
        <w:gridCol w:w="3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736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单位名称</w:t>
            </w:r>
          </w:p>
        </w:tc>
        <w:tc>
          <w:tcPr>
            <w:tcW w:w="635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行政许可实施数量</w:t>
            </w:r>
          </w:p>
        </w:tc>
        <w:tc>
          <w:tcPr>
            <w:tcW w:w="341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736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218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受理数量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许可数量</w:t>
            </w:r>
          </w:p>
        </w:tc>
        <w:tc>
          <w:tcPr>
            <w:tcW w:w="204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不予许可数量</w:t>
            </w:r>
          </w:p>
        </w:tc>
        <w:tc>
          <w:tcPr>
            <w:tcW w:w="341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736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昌乐县文化和旅游局</w:t>
            </w:r>
          </w:p>
        </w:tc>
        <w:tc>
          <w:tcPr>
            <w:tcW w:w="2184" w:type="dxa"/>
          </w:tcPr>
          <w:p>
            <w:pPr>
              <w:spacing w:line="480" w:lineRule="exact"/>
              <w:jc w:val="center"/>
              <w:rPr>
                <w:rFonts w:hint="eastAsia" w:ascii="文星标宋" w:hAnsi="文星标宋" w:eastAsia="文星标宋" w:cs="文星标宋"/>
                <w:sz w:val="44"/>
                <w:szCs w:val="44"/>
                <w:lang w:val="en-US" w:eastAsia="zh-CN"/>
              </w:rPr>
            </w:pPr>
            <w:r>
              <w:rPr>
                <w:rFonts w:hint="eastAsia" w:ascii="文星标宋" w:hAnsi="文星标宋" w:eastAsia="文星标宋" w:cs="文星标宋"/>
                <w:sz w:val="44"/>
                <w:szCs w:val="44"/>
                <w:lang w:val="en-US" w:eastAsia="zh-CN"/>
              </w:rPr>
              <w:t>0</w:t>
            </w:r>
          </w:p>
        </w:tc>
        <w:tc>
          <w:tcPr>
            <w:tcW w:w="2126" w:type="dxa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2044" w:type="dxa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3410" w:type="dxa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736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2184" w:type="dxa"/>
          </w:tcPr>
          <w:p>
            <w:pPr>
              <w:spacing w:line="480" w:lineRule="exact"/>
              <w:jc w:val="center"/>
              <w:rPr>
                <w:rFonts w:hint="eastAsia" w:ascii="文星标宋" w:hAnsi="文星标宋" w:eastAsia="文星标宋" w:cs="文星标宋"/>
                <w:sz w:val="44"/>
                <w:szCs w:val="44"/>
                <w:lang w:val="en-US" w:eastAsia="zh-CN"/>
              </w:rPr>
            </w:pPr>
            <w:r>
              <w:rPr>
                <w:rFonts w:hint="eastAsia" w:ascii="文星标宋" w:hAnsi="文星标宋" w:eastAsia="文星标宋" w:cs="文星标宋"/>
                <w:sz w:val="44"/>
                <w:szCs w:val="44"/>
                <w:lang w:val="en-US" w:eastAsia="zh-CN"/>
              </w:rPr>
              <w:t>0</w:t>
            </w:r>
          </w:p>
        </w:tc>
        <w:tc>
          <w:tcPr>
            <w:tcW w:w="2126" w:type="dxa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2044" w:type="dxa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3410" w:type="dxa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</w:tr>
    </w:tbl>
    <w:p>
      <w:pPr>
        <w:spacing w:line="320" w:lineRule="exact"/>
        <w:rPr>
          <w:rFonts w:hint="eastAsia" w:ascii="黑体" w:hAnsi="黑体" w:eastAsia="黑体" w:cs="黑体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黑体"/>
        </w:rPr>
        <w:t>填表说明</w:t>
      </w:r>
      <w:r>
        <w:rPr>
          <w:rFonts w:hint="eastAsia" w:ascii="黑体" w:hAnsi="黑体" w:eastAsia="黑体" w:cs="黑体"/>
          <w:sz w:val="22"/>
          <w:szCs w:val="22"/>
        </w:rPr>
        <w:t xml:space="preserve">： </w:t>
      </w:r>
      <w:r>
        <w:rPr>
          <w:rFonts w:hint="eastAsia" w:ascii="仿宋_GB2312" w:hAnsi="仿宋_GB2312" w:eastAsia="仿宋_GB2312" w:cs="仿宋_GB2312"/>
          <w:sz w:val="24"/>
        </w:rPr>
        <w:t>1.统计范围为2023年度1月1日至12月31日。</w:t>
      </w:r>
    </w:p>
    <w:p>
      <w:pPr>
        <w:spacing w:line="320" w:lineRule="exact"/>
        <w:ind w:firstLine="1200" w:firstLineChars="5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2.准予变更、延续和不予变更、延续的数量，分别计入“许可数量、不予许可数量”。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2．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昌乐县文化和旅游局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2023年度行政处罚情况统计表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802" w:type="dxa"/>
        <w:tblInd w:w="-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539"/>
        <w:gridCol w:w="462"/>
        <w:gridCol w:w="340"/>
        <w:gridCol w:w="447"/>
        <w:gridCol w:w="447"/>
        <w:gridCol w:w="593"/>
        <w:gridCol w:w="301"/>
        <w:gridCol w:w="447"/>
        <w:gridCol w:w="447"/>
        <w:gridCol w:w="695"/>
        <w:gridCol w:w="695"/>
        <w:gridCol w:w="694"/>
        <w:gridCol w:w="695"/>
        <w:gridCol w:w="695"/>
        <w:gridCol w:w="570"/>
        <w:gridCol w:w="550"/>
        <w:gridCol w:w="802"/>
        <w:gridCol w:w="444"/>
        <w:gridCol w:w="694"/>
        <w:gridCol w:w="695"/>
        <w:gridCol w:w="696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20" w:type="dxa"/>
            <w:vMerge w:val="restar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8617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行政处罚实施数量</w:t>
            </w:r>
          </w:p>
        </w:tc>
        <w:tc>
          <w:tcPr>
            <w:tcW w:w="80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罚没金额（万元）</w:t>
            </w:r>
          </w:p>
        </w:tc>
        <w:tc>
          <w:tcPr>
            <w:tcW w:w="25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被行政复议应诉数量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移送司法机关数量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020" w:type="dxa"/>
            <w:vMerge w:val="continue"/>
          </w:tcPr>
          <w:p>
            <w:pPr>
              <w:spacing w:line="480" w:lineRule="exact"/>
              <w:jc w:val="center"/>
            </w:pPr>
          </w:p>
        </w:tc>
        <w:tc>
          <w:tcPr>
            <w:tcW w:w="539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立案数量</w:t>
            </w:r>
          </w:p>
        </w:tc>
        <w:tc>
          <w:tcPr>
            <w:tcW w:w="462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结案数量</w:t>
            </w:r>
          </w:p>
        </w:tc>
        <w:tc>
          <w:tcPr>
            <w:tcW w:w="34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警告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通报批评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罚款</w:t>
            </w:r>
          </w:p>
        </w:tc>
        <w:tc>
          <w:tcPr>
            <w:tcW w:w="593" w:type="dxa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11"/>
              </w:rPr>
              <w:t>没收违法所得</w:t>
            </w:r>
          </w:p>
        </w:tc>
        <w:tc>
          <w:tcPr>
            <w:tcW w:w="301" w:type="dxa"/>
            <w:vAlign w:val="center"/>
          </w:tcPr>
          <w:p>
            <w:pPr>
              <w:spacing w:line="200" w:lineRule="exact"/>
              <w:jc w:val="center"/>
              <w:rPr>
                <w:rFonts w:hint="default" w:ascii="黑体" w:hAnsi="黑体" w:eastAsia="黑体" w:cs="黑体"/>
                <w:spacing w:val="-1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lang w:val="en-US" w:eastAsia="zh-CN"/>
              </w:rPr>
              <w:t>没收非法财物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暂扣许可证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降低资质等级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吊销许可证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限制开展生产经营活动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责令停产停业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责令关闭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限制从业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行政拘留</w:t>
            </w:r>
          </w:p>
        </w:tc>
        <w:tc>
          <w:tcPr>
            <w:tcW w:w="55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其他行政处罚</w:t>
            </w:r>
          </w:p>
        </w:tc>
        <w:tc>
          <w:tcPr>
            <w:tcW w:w="80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</w:p>
        </w:tc>
        <w:tc>
          <w:tcPr>
            <w:tcW w:w="444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被行政复议数量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被行政复议纠错数量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被行政诉讼数量</w:t>
            </w:r>
          </w:p>
        </w:tc>
        <w:tc>
          <w:tcPr>
            <w:tcW w:w="69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行政诉讼败诉数量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昌乐县文化和旅游局</w:t>
            </w:r>
          </w:p>
        </w:tc>
        <w:tc>
          <w:tcPr>
            <w:tcW w:w="539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462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340" w:type="dxa"/>
          </w:tcPr>
          <w:p>
            <w:pPr>
              <w:spacing w:line="300" w:lineRule="exact"/>
              <w:jc w:val="center"/>
              <w:rPr>
                <w:rFonts w:hint="eastAsia" w:ascii="文星标宋" w:hAnsi="文星标宋" w:eastAsia="文星标宋" w:cs="文星标宋"/>
                <w:sz w:val="24"/>
                <w:szCs w:val="24"/>
                <w:lang w:val="en-US" w:eastAsia="zh-CN"/>
              </w:rPr>
            </w:pPr>
            <w:r>
              <w:rPr>
                <w:rFonts w:hint="eastAsia" w:ascii="文星标宋" w:hAnsi="文星标宋" w:eastAsia="文星标宋" w:cs="文星标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7" w:type="dxa"/>
          </w:tcPr>
          <w:p>
            <w:pPr>
              <w:spacing w:line="300" w:lineRule="exact"/>
              <w:rPr>
                <w:rFonts w:hint="default" w:ascii="文星标宋" w:hAnsi="文星标宋" w:eastAsia="文星标宋" w:cs="文星标宋"/>
                <w:sz w:val="44"/>
                <w:szCs w:val="44"/>
                <w:lang w:val="en-US" w:eastAsia="zh-CN"/>
              </w:rPr>
            </w:pPr>
          </w:p>
        </w:tc>
        <w:tc>
          <w:tcPr>
            <w:tcW w:w="447" w:type="dxa"/>
          </w:tcPr>
          <w:p>
            <w:pPr>
              <w:spacing w:line="300" w:lineRule="exact"/>
              <w:rPr>
                <w:rFonts w:hint="default" w:ascii="文星标宋" w:hAnsi="文星标宋" w:eastAsia="文星标宋" w:cs="文星标宋"/>
                <w:sz w:val="24"/>
                <w:szCs w:val="24"/>
                <w:lang w:val="en-US" w:eastAsia="zh-CN"/>
              </w:rPr>
            </w:pPr>
            <w:r>
              <w:rPr>
                <w:rFonts w:hint="eastAsia" w:ascii="文星标宋" w:hAnsi="文星标宋" w:eastAsia="文星标宋" w:cs="文星标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93" w:type="dxa"/>
          </w:tcPr>
          <w:p>
            <w:pPr>
              <w:spacing w:line="300" w:lineRule="exact"/>
              <w:rPr>
                <w:rFonts w:hint="default" w:ascii="文星标宋" w:hAnsi="文星标宋" w:eastAsia="文星标宋" w:cs="文星标宋"/>
                <w:sz w:val="24"/>
                <w:szCs w:val="24"/>
                <w:lang w:val="en-US" w:eastAsia="zh-CN"/>
              </w:rPr>
            </w:pPr>
            <w:r>
              <w:rPr>
                <w:rFonts w:hint="eastAsia" w:ascii="文星标宋" w:hAnsi="文星标宋" w:eastAsia="文星标宋" w:cs="文星标宋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301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24"/>
                <w:szCs w:val="24"/>
              </w:rPr>
            </w:pPr>
          </w:p>
        </w:tc>
        <w:tc>
          <w:tcPr>
            <w:tcW w:w="447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24"/>
                <w:szCs w:val="24"/>
              </w:rPr>
            </w:pPr>
          </w:p>
        </w:tc>
        <w:tc>
          <w:tcPr>
            <w:tcW w:w="447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24"/>
                <w:szCs w:val="24"/>
              </w:rPr>
            </w:pPr>
          </w:p>
        </w:tc>
        <w:tc>
          <w:tcPr>
            <w:tcW w:w="695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24"/>
                <w:szCs w:val="24"/>
              </w:rPr>
            </w:pPr>
          </w:p>
        </w:tc>
        <w:tc>
          <w:tcPr>
            <w:tcW w:w="695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24"/>
                <w:szCs w:val="24"/>
              </w:rPr>
            </w:pPr>
          </w:p>
        </w:tc>
        <w:tc>
          <w:tcPr>
            <w:tcW w:w="694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24"/>
                <w:szCs w:val="24"/>
              </w:rPr>
            </w:pPr>
          </w:p>
        </w:tc>
        <w:tc>
          <w:tcPr>
            <w:tcW w:w="695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24"/>
                <w:szCs w:val="24"/>
              </w:rPr>
            </w:pPr>
          </w:p>
        </w:tc>
        <w:tc>
          <w:tcPr>
            <w:tcW w:w="695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24"/>
                <w:szCs w:val="24"/>
              </w:rPr>
            </w:pPr>
          </w:p>
        </w:tc>
        <w:tc>
          <w:tcPr>
            <w:tcW w:w="570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24"/>
                <w:szCs w:val="24"/>
              </w:rPr>
            </w:pPr>
          </w:p>
        </w:tc>
        <w:tc>
          <w:tcPr>
            <w:tcW w:w="550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24"/>
                <w:szCs w:val="24"/>
              </w:rPr>
            </w:pPr>
          </w:p>
        </w:tc>
        <w:tc>
          <w:tcPr>
            <w:tcW w:w="802" w:type="dxa"/>
          </w:tcPr>
          <w:p>
            <w:pPr>
              <w:spacing w:line="300" w:lineRule="exact"/>
              <w:rPr>
                <w:rFonts w:hint="default" w:ascii="文星标宋" w:hAnsi="文星标宋" w:eastAsia="文星标宋" w:cs="文星标宋"/>
                <w:sz w:val="24"/>
                <w:szCs w:val="24"/>
                <w:lang w:val="en-US" w:eastAsia="zh-CN"/>
              </w:rPr>
            </w:pPr>
            <w:r>
              <w:rPr>
                <w:rFonts w:hint="eastAsia" w:ascii="文星标宋" w:hAnsi="文星标宋" w:eastAsia="文星标宋" w:cs="文星标宋"/>
                <w:sz w:val="24"/>
                <w:szCs w:val="24"/>
                <w:lang w:val="en-US" w:eastAsia="zh-CN"/>
              </w:rPr>
              <w:t>4.7778</w:t>
            </w:r>
          </w:p>
        </w:tc>
        <w:tc>
          <w:tcPr>
            <w:tcW w:w="444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694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695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696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834" w:type="dxa"/>
          </w:tcPr>
          <w:p>
            <w:pPr>
              <w:spacing w:line="30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020" w:type="dxa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539" w:type="dxa"/>
          </w:tcPr>
          <w:p>
            <w:pPr>
              <w:spacing w:line="480" w:lineRule="exact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462" w:type="dxa"/>
          </w:tcPr>
          <w:p>
            <w:pPr>
              <w:spacing w:line="480" w:lineRule="exact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340" w:type="dxa"/>
          </w:tcPr>
          <w:p>
            <w:pPr>
              <w:spacing w:line="480" w:lineRule="exact"/>
              <w:jc w:val="center"/>
              <w:rPr>
                <w:rFonts w:hint="eastAsia" w:ascii="文星标宋" w:hAnsi="文星标宋" w:eastAsia="文星标宋" w:cs="文星标宋"/>
                <w:sz w:val="24"/>
                <w:szCs w:val="24"/>
                <w:lang w:val="en-US" w:eastAsia="zh-CN"/>
              </w:rPr>
            </w:pPr>
            <w:r>
              <w:rPr>
                <w:rFonts w:hint="eastAsia" w:ascii="文星标宋" w:hAnsi="文星标宋" w:eastAsia="文星标宋" w:cs="文星标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7" w:type="dxa"/>
          </w:tcPr>
          <w:p>
            <w:pPr>
              <w:spacing w:line="48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447" w:type="dxa"/>
          </w:tcPr>
          <w:p>
            <w:pPr>
              <w:spacing w:line="480" w:lineRule="exact"/>
              <w:rPr>
                <w:rFonts w:hint="default" w:ascii="文星标宋" w:hAnsi="文星标宋" w:eastAsia="文星标宋" w:cs="文星标宋"/>
                <w:sz w:val="24"/>
                <w:szCs w:val="24"/>
                <w:lang w:val="en-US" w:eastAsia="zh-CN"/>
              </w:rPr>
            </w:pPr>
            <w:r>
              <w:rPr>
                <w:rFonts w:hint="eastAsia" w:ascii="文星标宋" w:hAnsi="文星标宋" w:eastAsia="文星标宋" w:cs="文星标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93" w:type="dxa"/>
          </w:tcPr>
          <w:p>
            <w:pPr>
              <w:spacing w:line="480" w:lineRule="exact"/>
              <w:rPr>
                <w:rFonts w:hint="default" w:ascii="文星标宋" w:hAnsi="文星标宋" w:eastAsia="文星标宋" w:cs="文星标宋"/>
                <w:sz w:val="24"/>
                <w:szCs w:val="24"/>
                <w:lang w:val="en-US" w:eastAsia="zh-CN"/>
              </w:rPr>
            </w:pPr>
            <w:r>
              <w:rPr>
                <w:rFonts w:hint="eastAsia" w:ascii="文星标宋" w:hAnsi="文星标宋" w:eastAsia="文星标宋" w:cs="文星标宋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301" w:type="dxa"/>
          </w:tcPr>
          <w:p>
            <w:pPr>
              <w:spacing w:line="480" w:lineRule="exact"/>
              <w:rPr>
                <w:rFonts w:ascii="文星标宋" w:hAnsi="文星标宋" w:eastAsia="文星标宋" w:cs="文星标宋"/>
                <w:sz w:val="24"/>
                <w:szCs w:val="24"/>
              </w:rPr>
            </w:pPr>
          </w:p>
        </w:tc>
        <w:tc>
          <w:tcPr>
            <w:tcW w:w="447" w:type="dxa"/>
          </w:tcPr>
          <w:p>
            <w:pPr>
              <w:spacing w:line="480" w:lineRule="exact"/>
              <w:rPr>
                <w:rFonts w:ascii="文星标宋" w:hAnsi="文星标宋" w:eastAsia="文星标宋" w:cs="文星标宋"/>
                <w:sz w:val="24"/>
                <w:szCs w:val="24"/>
              </w:rPr>
            </w:pPr>
          </w:p>
        </w:tc>
        <w:tc>
          <w:tcPr>
            <w:tcW w:w="447" w:type="dxa"/>
          </w:tcPr>
          <w:p>
            <w:pPr>
              <w:spacing w:line="480" w:lineRule="exact"/>
              <w:rPr>
                <w:rFonts w:ascii="文星标宋" w:hAnsi="文星标宋" w:eastAsia="文星标宋" w:cs="文星标宋"/>
                <w:sz w:val="24"/>
                <w:szCs w:val="24"/>
              </w:rPr>
            </w:pPr>
          </w:p>
        </w:tc>
        <w:tc>
          <w:tcPr>
            <w:tcW w:w="695" w:type="dxa"/>
          </w:tcPr>
          <w:p>
            <w:pPr>
              <w:spacing w:line="480" w:lineRule="exact"/>
              <w:rPr>
                <w:rFonts w:ascii="文星标宋" w:hAnsi="文星标宋" w:eastAsia="文星标宋" w:cs="文星标宋"/>
                <w:sz w:val="24"/>
                <w:szCs w:val="24"/>
              </w:rPr>
            </w:pPr>
          </w:p>
        </w:tc>
        <w:tc>
          <w:tcPr>
            <w:tcW w:w="695" w:type="dxa"/>
          </w:tcPr>
          <w:p>
            <w:pPr>
              <w:spacing w:line="480" w:lineRule="exact"/>
              <w:rPr>
                <w:rFonts w:ascii="文星标宋" w:hAnsi="文星标宋" w:eastAsia="文星标宋" w:cs="文星标宋"/>
                <w:sz w:val="24"/>
                <w:szCs w:val="24"/>
              </w:rPr>
            </w:pPr>
          </w:p>
        </w:tc>
        <w:tc>
          <w:tcPr>
            <w:tcW w:w="694" w:type="dxa"/>
          </w:tcPr>
          <w:p>
            <w:pPr>
              <w:spacing w:line="480" w:lineRule="exact"/>
              <w:rPr>
                <w:rFonts w:ascii="文星标宋" w:hAnsi="文星标宋" w:eastAsia="文星标宋" w:cs="文星标宋"/>
                <w:sz w:val="24"/>
                <w:szCs w:val="24"/>
              </w:rPr>
            </w:pPr>
          </w:p>
        </w:tc>
        <w:tc>
          <w:tcPr>
            <w:tcW w:w="695" w:type="dxa"/>
          </w:tcPr>
          <w:p>
            <w:pPr>
              <w:spacing w:line="480" w:lineRule="exact"/>
              <w:rPr>
                <w:rFonts w:ascii="文星标宋" w:hAnsi="文星标宋" w:eastAsia="文星标宋" w:cs="文星标宋"/>
                <w:sz w:val="24"/>
                <w:szCs w:val="24"/>
              </w:rPr>
            </w:pPr>
          </w:p>
        </w:tc>
        <w:tc>
          <w:tcPr>
            <w:tcW w:w="695" w:type="dxa"/>
          </w:tcPr>
          <w:p>
            <w:pPr>
              <w:spacing w:line="480" w:lineRule="exact"/>
              <w:rPr>
                <w:rFonts w:ascii="文星标宋" w:hAnsi="文星标宋" w:eastAsia="文星标宋" w:cs="文星标宋"/>
                <w:sz w:val="24"/>
                <w:szCs w:val="24"/>
              </w:rPr>
            </w:pPr>
          </w:p>
        </w:tc>
        <w:tc>
          <w:tcPr>
            <w:tcW w:w="570" w:type="dxa"/>
          </w:tcPr>
          <w:p>
            <w:pPr>
              <w:spacing w:line="480" w:lineRule="exact"/>
              <w:rPr>
                <w:rFonts w:ascii="文星标宋" w:hAnsi="文星标宋" w:eastAsia="文星标宋" w:cs="文星标宋"/>
                <w:sz w:val="24"/>
                <w:szCs w:val="24"/>
              </w:rPr>
            </w:pPr>
          </w:p>
        </w:tc>
        <w:tc>
          <w:tcPr>
            <w:tcW w:w="550" w:type="dxa"/>
          </w:tcPr>
          <w:p>
            <w:pPr>
              <w:spacing w:line="480" w:lineRule="exact"/>
              <w:rPr>
                <w:rFonts w:ascii="文星标宋" w:hAnsi="文星标宋" w:eastAsia="文星标宋" w:cs="文星标宋"/>
                <w:sz w:val="24"/>
                <w:szCs w:val="24"/>
              </w:rPr>
            </w:pPr>
          </w:p>
        </w:tc>
        <w:tc>
          <w:tcPr>
            <w:tcW w:w="802" w:type="dxa"/>
          </w:tcPr>
          <w:p>
            <w:pPr>
              <w:spacing w:line="480" w:lineRule="exact"/>
              <w:rPr>
                <w:rFonts w:hint="default" w:ascii="文星标宋" w:hAnsi="文星标宋" w:eastAsia="文星标宋" w:cs="文星标宋"/>
                <w:sz w:val="24"/>
                <w:szCs w:val="24"/>
                <w:lang w:val="en-US" w:eastAsia="zh-CN"/>
              </w:rPr>
            </w:pPr>
            <w:r>
              <w:rPr>
                <w:rFonts w:hint="eastAsia" w:ascii="文星标宋" w:hAnsi="文星标宋" w:eastAsia="文星标宋" w:cs="文星标宋"/>
                <w:sz w:val="24"/>
                <w:szCs w:val="24"/>
                <w:lang w:val="en-US" w:eastAsia="zh-CN"/>
              </w:rPr>
              <w:t>4.7778</w:t>
            </w:r>
          </w:p>
        </w:tc>
        <w:tc>
          <w:tcPr>
            <w:tcW w:w="444" w:type="dxa"/>
          </w:tcPr>
          <w:p>
            <w:pPr>
              <w:spacing w:line="48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694" w:type="dxa"/>
          </w:tcPr>
          <w:p>
            <w:pPr>
              <w:spacing w:line="48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695" w:type="dxa"/>
          </w:tcPr>
          <w:p>
            <w:pPr>
              <w:spacing w:line="48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696" w:type="dxa"/>
          </w:tcPr>
          <w:p>
            <w:pPr>
              <w:spacing w:line="48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  <w:tc>
          <w:tcPr>
            <w:tcW w:w="834" w:type="dxa"/>
          </w:tcPr>
          <w:p>
            <w:pPr>
              <w:spacing w:line="480" w:lineRule="exact"/>
              <w:rPr>
                <w:rFonts w:ascii="文星标宋" w:hAnsi="文星标宋" w:eastAsia="文星标宋" w:cs="文星标宋"/>
                <w:sz w:val="44"/>
                <w:szCs w:val="44"/>
              </w:rPr>
            </w:pPr>
          </w:p>
        </w:tc>
      </w:tr>
    </w:tbl>
    <w:p>
      <w:pPr>
        <w:spacing w:line="260" w:lineRule="exact"/>
        <w:ind w:left="1050" w:hanging="1050" w:hangingChars="500"/>
        <w:jc w:val="left"/>
        <w:rPr>
          <w:rFonts w:hint="eastAsia" w:ascii="黑体" w:hAnsi="黑体" w:eastAsia="黑体" w:cs="黑体"/>
        </w:rPr>
      </w:pPr>
    </w:p>
    <w:p>
      <w:pPr>
        <w:spacing w:line="260" w:lineRule="exact"/>
        <w:ind w:left="1050" w:hanging="1050" w:hanging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统计范围为本年度1月1日至12月31日。</w:t>
      </w: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3．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昌乐县文化和旅游局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2023年度行政强制情况统计表</w:t>
      </w: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tbl>
      <w:tblPr>
        <w:tblStyle w:val="4"/>
        <w:tblW w:w="13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771"/>
        <w:gridCol w:w="771"/>
        <w:gridCol w:w="770"/>
        <w:gridCol w:w="771"/>
        <w:gridCol w:w="771"/>
        <w:gridCol w:w="802"/>
        <w:gridCol w:w="802"/>
        <w:gridCol w:w="802"/>
        <w:gridCol w:w="802"/>
        <w:gridCol w:w="802"/>
        <w:gridCol w:w="801"/>
        <w:gridCol w:w="781"/>
        <w:gridCol w:w="858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8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3854" w:type="dxa"/>
            <w:gridSpan w:val="5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行政强制措施实施数量</w:t>
            </w:r>
          </w:p>
        </w:tc>
        <w:tc>
          <w:tcPr>
            <w:tcW w:w="645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行政强制执行实施数量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2381" w:type="dxa"/>
            <w:vMerge w:val="continue"/>
          </w:tcPr>
          <w:p>
            <w:pPr>
              <w:spacing w:line="480" w:lineRule="exact"/>
              <w:jc w:val="center"/>
            </w:pP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="黑体"/>
                <w:sz w:val="20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查封场所、设施或者财物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扣押财物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0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冻结存款、汇款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其他行政强制措施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加处罚款或者滞纳金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划拨存款、汇款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11"/>
                <w:sz w:val="18"/>
                <w:szCs w:val="18"/>
              </w:rPr>
              <w:t>拍卖或者依法处理查封、扣押的场所、设施或者财物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排除妨碍、恢复原状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代履行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其他强制执行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8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5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申请法院强制执行数量</w:t>
            </w:r>
          </w:p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381" w:type="dxa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昌乐县文化和旅游局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770" w:type="dxa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13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38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771" w:type="dxa"/>
          </w:tcPr>
          <w:p>
            <w:pPr>
              <w:spacing w:line="480" w:lineRule="exact"/>
              <w:jc w:val="center"/>
            </w:pPr>
          </w:p>
        </w:tc>
        <w:tc>
          <w:tcPr>
            <w:tcW w:w="771" w:type="dxa"/>
          </w:tcPr>
          <w:p>
            <w:pPr>
              <w:spacing w:line="48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770" w:type="dxa"/>
          </w:tcPr>
          <w:p>
            <w:pPr>
              <w:spacing w:line="480" w:lineRule="exact"/>
              <w:jc w:val="center"/>
            </w:pPr>
          </w:p>
        </w:tc>
        <w:tc>
          <w:tcPr>
            <w:tcW w:w="771" w:type="dxa"/>
          </w:tcPr>
          <w:p>
            <w:pPr>
              <w:spacing w:line="480" w:lineRule="exact"/>
              <w:jc w:val="center"/>
            </w:pPr>
          </w:p>
        </w:tc>
        <w:tc>
          <w:tcPr>
            <w:tcW w:w="771" w:type="dxa"/>
          </w:tcPr>
          <w:p>
            <w:pPr>
              <w:spacing w:line="480" w:lineRule="exact"/>
              <w:jc w:val="center"/>
            </w:pPr>
          </w:p>
        </w:tc>
        <w:tc>
          <w:tcPr>
            <w:tcW w:w="802" w:type="dxa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802" w:type="dxa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802" w:type="dxa"/>
          </w:tcPr>
          <w:p>
            <w:pPr>
              <w:spacing w:line="30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13</w:t>
            </w:r>
          </w:p>
        </w:tc>
        <w:tc>
          <w:tcPr>
            <w:tcW w:w="802" w:type="dxa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802" w:type="dxa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801" w:type="dxa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781" w:type="dxa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858" w:type="dxa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95" w:type="dxa"/>
          </w:tcPr>
          <w:p>
            <w:pPr>
              <w:spacing w:line="48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13</w:t>
            </w:r>
            <w:bookmarkStart w:id="0" w:name="_GoBack"/>
            <w:bookmarkEnd w:id="0"/>
          </w:p>
        </w:tc>
      </w:tr>
    </w:tbl>
    <w:p>
      <w:pPr>
        <w:spacing w:line="280" w:lineRule="exact"/>
        <w:jc w:val="left"/>
        <w:rPr>
          <w:rFonts w:hint="eastAsia" w:ascii="黑体" w:hAnsi="黑体" w:eastAsia="黑体" w:cs="黑体"/>
        </w:rPr>
      </w:pPr>
    </w:p>
    <w:p>
      <w:pPr>
        <w:spacing w:line="28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1.统计范围为本年度1月1日至12月31日。</w:t>
      </w:r>
    </w:p>
    <w:p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2.行政强制措施实施数量是指作出“查封场所、设施或者财物、扣押财物、冻结存款、汇款或者其他行政强制措施”决定的数量。</w:t>
      </w:r>
    </w:p>
    <w:p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3.行政强制执行实施数量是指“加处罚款或者滞纳金、划拨存款、汇款、拍卖或者依法处理查封、扣押的场所、设施或者财物、 排除妨碍、恢复原状、代履行和其他强制执行方式”等执行完毕或者终结执行的数量。</w:t>
      </w:r>
    </w:p>
    <w:p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4.其他强制执行方式，如《城乡规划法》规定的强制拆除；《煤炭法》规定的强制停产、强制消除安全隐患；《金银管理条例》规 定的强制收购；《外汇管理条例》规定的回兑等。</w:t>
      </w:r>
    </w:p>
    <w:p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5.申请法院强制执行数量是指向法院申请强制执行的数量，时间以申请日期为准。</w:t>
      </w:r>
    </w:p>
    <w:p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4．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昌乐县文化和旅游局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2023年度行政征收征用情况统计表</w:t>
      </w:r>
    </w:p>
    <w:p>
      <w:pPr>
        <w:spacing w:line="480" w:lineRule="exact"/>
        <w:rPr>
          <w:rFonts w:ascii="仿宋_GB2312" w:hAnsi="仿宋_GB2312" w:eastAsia="仿宋_GB2312" w:cs="仿宋_GB2312"/>
          <w:szCs w:val="32"/>
        </w:rPr>
      </w:pPr>
    </w:p>
    <w:tbl>
      <w:tblPr>
        <w:tblStyle w:val="4"/>
        <w:tblW w:w="13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7"/>
        <w:gridCol w:w="1980"/>
        <w:gridCol w:w="2488"/>
        <w:gridCol w:w="3453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437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792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行政征收数量</w:t>
            </w:r>
          </w:p>
        </w:tc>
        <w:tc>
          <w:tcPr>
            <w:tcW w:w="2602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行政征用数量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3437" w:type="dxa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行政收费（次）</w:t>
            </w:r>
          </w:p>
        </w:tc>
        <w:tc>
          <w:tcPr>
            <w:tcW w:w="2488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行政收费数额（万元）</w:t>
            </w:r>
          </w:p>
        </w:tc>
        <w:tc>
          <w:tcPr>
            <w:tcW w:w="345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土地、房屋征收数量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  <w:tc>
          <w:tcPr>
            <w:tcW w:w="260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43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昌乐县文化和旅游局</w:t>
            </w:r>
          </w:p>
        </w:tc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5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0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3437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5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0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280" w:lineRule="exact"/>
        <w:ind w:left="840" w:leftChars="400"/>
        <w:jc w:val="left"/>
        <w:rPr>
          <w:rFonts w:hint="eastAsia" w:ascii="黑体" w:hAnsi="黑体" w:eastAsia="黑体" w:cs="黑体"/>
        </w:rPr>
      </w:pPr>
    </w:p>
    <w:p>
      <w:pPr>
        <w:spacing w:line="280" w:lineRule="exact"/>
        <w:ind w:left="840" w:leftChars="4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>
      <w:pPr>
        <w:spacing w:line="280" w:lineRule="exact"/>
        <w:ind w:left="2100" w:leftChars="400" w:hanging="1260" w:hangingChars="6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                 2.行政征收主要是指行政机关行政收费及土地、房产征收等情况。土地、房屋征收数量的统计，以政府正式批文为准。 （因征税属于中央垂直管理，不列入我省统计范围）。行政征用数量是指因抢险、救灾、反恐等公共利益需要而作出的行政征用决定的数量。</w:t>
      </w:r>
    </w:p>
    <w:p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</w:t>
      </w: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5．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昌乐县文化和旅游局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2023年度行政检查情况统计表</w:t>
      </w: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tbl>
      <w:tblPr>
        <w:tblStyle w:val="4"/>
        <w:tblW w:w="1304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2"/>
        <w:gridCol w:w="6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6199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行政检查实施次数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昌乐县文化和旅游局</w:t>
            </w:r>
          </w:p>
        </w:tc>
        <w:tc>
          <w:tcPr>
            <w:tcW w:w="6199" w:type="dxa"/>
          </w:tcPr>
          <w:p>
            <w:pPr>
              <w:spacing w:line="480" w:lineRule="exac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84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6199" w:type="dxa"/>
          </w:tcPr>
          <w:p>
            <w:pPr>
              <w:spacing w:line="480" w:lineRule="exac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1875</w:t>
            </w:r>
          </w:p>
        </w:tc>
      </w:tr>
    </w:tbl>
    <w:p>
      <w:pPr>
        <w:spacing w:line="320" w:lineRule="exact"/>
        <w:ind w:firstLine="1050" w:firstLineChars="500"/>
        <w:rPr>
          <w:rFonts w:hint="eastAsia" w:ascii="黑体" w:hAnsi="黑体" w:eastAsia="黑体" w:cs="黑体"/>
        </w:rPr>
      </w:pPr>
    </w:p>
    <w:p>
      <w:pPr>
        <w:spacing w:line="320" w:lineRule="exact"/>
        <w:ind w:firstLine="1050" w:firstLineChars="500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>
      <w:pPr>
        <w:spacing w:line="320" w:lineRule="exact"/>
        <w:ind w:left="2310" w:leftChars="1000" w:hanging="210" w:hangingChars="1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2.行政检查的次数是指检查1个检查对象，有完整、详细的检查记录，计为检查1次。无特定检查对象的巡查、巡逻，无完整、详细检查记录，检查后作出行政处罚等其他行政执法行为的，均不计为检查次数。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spacing w:line="660" w:lineRule="exact"/>
        <w:rPr>
          <w:rFonts w:ascii="方正小标宋简体" w:hAnsi="仿宋" w:eastAsia="方正小标宋简体" w:cs="仿宋_GB2312"/>
          <w:bCs/>
          <w:sz w:val="44"/>
          <w:szCs w:val="44"/>
        </w:rPr>
      </w:pPr>
    </w:p>
    <w:p/>
    <w:sectPr>
      <w:headerReference r:id="rId3" w:type="default"/>
      <w:footerReference r:id="rId4" w:type="default"/>
      <w:pgSz w:w="16838" w:h="11906" w:orient="landscape"/>
      <w:pgMar w:top="1588" w:right="2098" w:bottom="1474" w:left="1985" w:header="851" w:footer="992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OWMwMzEzZmIwMWNkZDEyMDEzNmI5NDlmNDQ3M2MifQ=="/>
  </w:docVars>
  <w:rsids>
    <w:rsidRoot w:val="00CC55A7"/>
    <w:rsid w:val="003A0C3B"/>
    <w:rsid w:val="007B3A14"/>
    <w:rsid w:val="00CC55A7"/>
    <w:rsid w:val="094C4888"/>
    <w:rsid w:val="0CE104BA"/>
    <w:rsid w:val="14E438E4"/>
    <w:rsid w:val="217B2971"/>
    <w:rsid w:val="21EC5688"/>
    <w:rsid w:val="2922407E"/>
    <w:rsid w:val="2ED33660"/>
    <w:rsid w:val="418A6EEC"/>
    <w:rsid w:val="43B47115"/>
    <w:rsid w:val="48AD43C9"/>
    <w:rsid w:val="50382A6C"/>
    <w:rsid w:val="51B46372"/>
    <w:rsid w:val="620F372C"/>
    <w:rsid w:val="64B26D6B"/>
    <w:rsid w:val="76EC6123"/>
    <w:rsid w:val="7E11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303</Words>
  <Characters>1732</Characters>
  <Lines>14</Lines>
  <Paragraphs>4</Paragraphs>
  <TotalTime>4</TotalTime>
  <ScaleCrop>false</ScaleCrop>
  <LinksUpToDate>false</LinksUpToDate>
  <CharactersWithSpaces>2031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静静</cp:lastModifiedBy>
  <cp:lastPrinted>2021-01-11T05:56:00Z</cp:lastPrinted>
  <dcterms:modified xsi:type="dcterms:W3CDTF">2024-01-18T03:10:44Z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196CA91648C245EABDDCED9DA6B49309_13</vt:lpwstr>
  </property>
</Properties>
</file>