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4" w:lineRule="exact"/>
        <w:ind w:right="0"/>
        <w:jc w:val="center"/>
        <w:textAlignment w:val="auto"/>
        <w:rPr>
          <w:rFonts w:hint="eastAsia" w:ascii="文星标宋" w:hAnsi="文星标宋" w:eastAsia="文星标宋" w:cs="文星标宋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4" w:lineRule="exact"/>
        <w:ind w:right="0"/>
        <w:jc w:val="center"/>
        <w:textAlignment w:val="auto"/>
        <w:rPr>
          <w:rFonts w:hint="eastAsia" w:ascii="文星标宋" w:hAnsi="文星标宋" w:eastAsia="文星标宋" w:cs="文星标宋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文星标宋" w:hAnsi="文星标宋" w:eastAsia="文星标宋" w:cs="文星标宋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昌乐首阳山旅游度假区管理服务中心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4" w:lineRule="exact"/>
        <w:ind w:right="0"/>
        <w:jc w:val="center"/>
        <w:textAlignment w:val="auto"/>
        <w:rPr>
          <w:rFonts w:hint="eastAsia" w:ascii="文星标宋" w:hAnsi="文星标宋" w:eastAsia="文星标宋" w:cs="文星标宋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文星标宋" w:hAnsi="文星标宋" w:eastAsia="文星标宋" w:cs="文星标宋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文星标宋" w:hAnsi="文星标宋" w:eastAsia="文星标宋" w:cs="文星标宋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文星标宋" w:hAnsi="文星标宋" w:eastAsia="文星标宋" w:cs="文星标宋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/>
        <w:jc w:val="both"/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/>
        <w:jc w:val="both"/>
        <w:rPr>
          <w:rFonts w:ascii="微软雅黑" w:hAnsi="微软雅黑" w:eastAsia="微软雅黑" w:cs="微软雅黑"/>
          <w:i w:val="0"/>
          <w:iCs w:val="0"/>
          <w:caps w:val="0"/>
          <w:color w:val="60606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《中华人民共和国政府信息公开工作年度报告格式》（国办公开办函〔2021〕30号）、《政府信息公开工作年度报告编发指南》（办公厅便函〔2021〕477号）和《DB37/T 4539-2022 政府信息公开工作年度报告编制规范》等要求，结合昌乐首阳山旅游度假区管理服务中心实际，编制并向社会公布昌乐首阳山旅游度假区管理服务中心202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年政府信息公开工作年度报告。本年度报告中所列数据的统计期限自202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年1月1日起，至202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年12月31日止。如对本报告有疑问，请联系昌乐首阳山旅游度假区管理服务中心办公室，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06060"/>
          <w:spacing w:val="0"/>
          <w:sz w:val="32"/>
          <w:szCs w:val="32"/>
          <w:shd w:val="clear" w:fill="FFFFFF"/>
        </w:rPr>
        <w:t>联系电话:6753106。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首阳山旅游度假区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高度重视信息公开工作，认真按照上级部门的要求，积极、有序、稳妥地推进政府信息公开的各项工作。坚持“以公开为常态，不公开为例外”原则，全面落实信息公开条例，夯实重点公开工作基础，规范依申请公开办理流程，细化公开内容，拓展公开渠道，切实加强信息发布和回应，全力推进政府信息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/>
        <w:jc w:val="both"/>
        <w:rPr>
          <w:rFonts w:hint="eastAsia" w:ascii="楷体_GB2312" w:hAnsi="楷体_GB2312" w:eastAsia="楷体_GB2312" w:cs="楷体_GB2312"/>
          <w:i w:val="0"/>
          <w:iCs w:val="0"/>
          <w:caps w:val="0"/>
          <w:color w:val="60606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（一）主动公开情况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依托昌乐县政府网站共主动公开政府信息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条。其他渠道：村务公开栏、微信公众号等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1020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条，共计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1026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0606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06060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首阳山旅游度假区及时公开机构概况，根据《政府信息公开条例》第二十条第（二）款要求，更新机关职能、机构设置、办公地址、办公时间、联系方式、负责人姓名，并在市政府信息公开专栏和机关网站公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576" w:lineRule="atLeast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结合工作职责，就疫情防控、大气污染整治、河长制、应急管理、科普、社会保障、卫生健康、行政执法、法制宣传教育等各项工作全面开展教育宣传活动，通过街道微信公众平台、制作固定标语牌、户外墙体广告、宣传展板、海报、悬挂横幅、设立现场咨询台等多种形式，在街道范围内达到宣传政府信息公开工作全覆盖，保障公众知情权、监督权和参与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/>
        <w:jc w:val="both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（二）依申请公开情况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年共收到政府信息公开申请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件。全年未发生因政府信息公开被行政复议、提起行政诉讼情况。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1"/>
          <w:szCs w:val="21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（三）政府信息管理情况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年，首阳山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旅游度假区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根据《中华人民共和国政府信息公开条例》，及时完善更新《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首阳山旅游度假区管理服务中心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信息公开指南》、《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首阳山旅游度假区管理服务中心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信息公开目录》等内容，方便公众及时、准确、有效地获得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首阳山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的政府信息。并印发《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昌乐县首阳山旅游度假区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年政务公开重点工作台账》，推动全年政府信息公开工作稳妥有序开展。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1"/>
          <w:szCs w:val="21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（四）政府信息公开平台建设情况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首阳山积极拓展公开渠道和公开方式，不仅在县政府门户网站主动公开政务信息，还通过“生态首阳山”公众号和昌乐融媒体平台公开政务信息动态。以更加契合群众的渠道、形式，及时、全面公开政务信息，更好的服务群众。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1"/>
          <w:szCs w:val="21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（五）监督保障情况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为提升度假区信息公开工作水平，党委、管理服务中心高度重视，成立了由党委专职副书记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王志鹏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为组长，管理服务中心副主任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黄斌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（挂职）为副组长的政府信息公开工作领导小组，领导小组下设办公室在党政办，落实专人负责统筹协调编制政府信息公开内容。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将政务公开工作考核纳入工作目标考核。年初制定政务公开年度重点工作安排情况，每月开展自查对政务公开工作问题及时整改，对县上级发现的问题及时整改；政府信息公开工作年报形式、内容符合要求，按规定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78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06060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73"/>
        <w:gridCol w:w="1919"/>
        <w:gridCol w:w="1830"/>
        <w:gridCol w:w="1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87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本年制发件数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本年废止件数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eastAsia="宋体" w:cs="宋体" w:asciiTheme="minorAscii" w:hAns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eastAsia="宋体" w:cs="宋体" w:asciiTheme="minorAscii" w:hAns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eastAsia="宋体" w:cs="宋体" w:asciiTheme="minorAscii" w:hAns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行政规范性文件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eastAsia="宋体" w:cs="宋体" w:asciiTheme="minorAscii" w:hAns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eastAsia="宋体" w:cs="宋体" w:asciiTheme="minorAscii" w:hAns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  <w:rPr>
                <w:rFonts w:hint="default" w:asciiTheme="minorAscii" w:hAnsiTheme="minorAscii"/>
                <w:sz w:val="21"/>
                <w:szCs w:val="21"/>
              </w:rPr>
            </w:pPr>
            <w:r>
              <w:rPr>
                <w:rFonts w:hint="default" w:eastAsia="宋体" w:cs="宋体" w:asciiTheme="minorAscii" w:hAns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7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56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87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56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78" w:lineRule="atLeast"/>
        <w:ind w:left="0" w:right="0" w:firstLine="320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06060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6"/>
        <w:gridCol w:w="1399"/>
        <w:gridCol w:w="2614"/>
        <w:gridCol w:w="819"/>
        <w:gridCol w:w="564"/>
        <w:gridCol w:w="564"/>
        <w:gridCol w:w="564"/>
        <w:gridCol w:w="564"/>
        <w:gridCol w:w="539"/>
        <w:gridCol w:w="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20" w:lineRule="atLeast"/>
              <w:ind w:left="-106" w:right="-107" w:hanging="1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20" w:lineRule="atLeast"/>
              <w:ind w:right="-107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20" w:lineRule="atLeast"/>
              <w:ind w:right="-107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20" w:lineRule="atLeast"/>
              <w:ind w:right="-107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20" w:lineRule="atLeast"/>
              <w:ind w:left="-106" w:right="-107" w:hanging="1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60" w:lineRule="atLeast"/>
              <w:ind w:right="-134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18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/>
              <w:jc w:val="left"/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/>
              <w:jc w:val="left"/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/>
              <w:jc w:val="left"/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/>
              <w:jc w:val="left"/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/>
              <w:jc w:val="left"/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/>
              <w:jc w:val="left"/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/>
              <w:jc w:val="left"/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/>
              <w:jc w:val="left"/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/>
              <w:jc w:val="left"/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left="-107" w:right="0" w:firstLine="420"/>
              <w:jc w:val="left"/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/>
              <w:jc w:val="left"/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/>
              <w:jc w:val="left"/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/>
              <w:jc w:val="left"/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left="-107" w:right="0" w:firstLine="420"/>
              <w:jc w:val="left"/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/>
              <w:jc w:val="left"/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/>
              <w:jc w:val="left"/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/>
              <w:jc w:val="left"/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/>
              <w:jc w:val="left"/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00" w:lineRule="atLeast"/>
              <w:ind w:right="0"/>
              <w:jc w:val="left"/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left="0" w:right="0" w:firstLine="420"/>
              <w:jc w:val="left"/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/>
              <w:jc w:val="left"/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5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/>
              <w:jc w:val="left"/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50" w:type="dxa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left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left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left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left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left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left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right="0"/>
              <w:jc w:val="left"/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850" w:type="dxa"/>
            <w:tcBorders>
              <w:top w:val="outset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outset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outset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outset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outset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outset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outset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200" w:lineRule="atLeast"/>
              <w:ind w:left="0" w:right="0" w:firstLine="420"/>
              <w:jc w:val="left"/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 w:firstLine="210" w:firstLineChars="100"/>
              <w:jc w:val="both"/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78" w:lineRule="atLeast"/>
        <w:ind w:left="0" w:right="0" w:firstLine="320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06060"/>
          <w:spacing w:val="0"/>
          <w:sz w:val="32"/>
          <w:szCs w:val="32"/>
          <w:shd w:val="clear" w:fill="FFFFFF"/>
        </w:rPr>
        <w:t>四、政府信息公开行</w:t>
      </w:r>
      <w:bookmarkStart w:id="0" w:name="_GoBack"/>
      <w:r>
        <w:rPr>
          <w:rFonts w:hint="eastAsia" w:ascii="黑体" w:hAnsi="宋体" w:eastAsia="黑体" w:cs="黑体"/>
          <w:i w:val="0"/>
          <w:iCs w:val="0"/>
          <w:caps w:val="0"/>
          <w:color w:val="606060"/>
          <w:spacing w:val="0"/>
          <w:sz w:val="32"/>
          <w:szCs w:val="32"/>
          <w:shd w:val="clear" w:fill="FFFFFF"/>
        </w:rPr>
        <w:t>政复议、行</w:t>
      </w:r>
      <w:bookmarkEnd w:id="0"/>
      <w:r>
        <w:rPr>
          <w:rFonts w:hint="eastAsia" w:ascii="黑体" w:hAnsi="宋体" w:eastAsia="黑体" w:cs="黑体"/>
          <w:i w:val="0"/>
          <w:iCs w:val="0"/>
          <w:caps w:val="0"/>
          <w:color w:val="606060"/>
          <w:spacing w:val="0"/>
          <w:sz w:val="32"/>
          <w:szCs w:val="32"/>
          <w:shd w:val="clear" w:fill="FFFFFF"/>
        </w:rPr>
        <w:t>政诉讼情况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28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682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-126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-126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-126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-126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-126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-126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20" w:lineRule="atLeast"/>
              <w:ind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320" w:lineRule="atLeast"/>
              <w:ind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  <w:tc>
          <w:tcPr>
            <w:tcW w:w="28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8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42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  <w:jc w:val="center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-126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-88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-136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-136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-153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-153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-78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-124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-124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-173" w:right="-134" w:hanging="1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-173" w:right="-134" w:hanging="1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-67" w:right="-105" w:hanging="2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Theme="minorAscii" w:hAnsiTheme="minorAsci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Ascii" w:hAnsiTheme="minorAsci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Theme="minorAscii" w:hAnsiTheme="minorAsci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Ascii" w:hAnsiTheme="minorAsci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Theme="minorAscii" w:hAnsiTheme="minorAsci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Ascii" w:hAnsiTheme="minorAsci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Theme="minorAscii" w:hAnsiTheme="minorAsci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Ascii" w:hAnsiTheme="minorAsci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Theme="minorAscii" w:hAnsiTheme="minorAsci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Ascii" w:hAnsiTheme="minorAsci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-126"/>
              <w:jc w:val="center"/>
              <w:rPr>
                <w:rFonts w:hint="default" w:eastAsia="宋体" w:cs="宋体" w:asciiTheme="minorAscii" w:hAnsiTheme="minorAsci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-88"/>
              <w:jc w:val="center"/>
              <w:rPr>
                <w:rFonts w:hint="default" w:eastAsia="宋体" w:cs="宋体" w:asciiTheme="minorAscii" w:hAnsiTheme="minorAsci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-136"/>
              <w:jc w:val="center"/>
              <w:rPr>
                <w:rFonts w:hint="default" w:eastAsia="宋体" w:cs="宋体" w:asciiTheme="minorAscii" w:hAnsiTheme="minorAsci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-153"/>
              <w:jc w:val="center"/>
              <w:rPr>
                <w:rFonts w:hint="default" w:eastAsia="宋体" w:cs="宋体" w:asciiTheme="minorAscii" w:hAnsiTheme="minorAsci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/>
              <w:jc w:val="center"/>
              <w:rPr>
                <w:rFonts w:hint="default" w:eastAsia="宋体" w:cs="宋体" w:asciiTheme="minorAscii" w:hAnsiTheme="minorAscii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-78"/>
              <w:jc w:val="center"/>
              <w:rPr>
                <w:rFonts w:hint="default" w:eastAsia="宋体" w:cs="宋体" w:asciiTheme="minorAscii" w:hAnsiTheme="minorAsci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-124"/>
              <w:jc w:val="center"/>
              <w:rPr>
                <w:rFonts w:hint="default" w:eastAsia="宋体" w:cs="宋体" w:asciiTheme="minorAscii" w:hAnsiTheme="minorAsci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-173" w:right="-134" w:hanging="1"/>
              <w:jc w:val="center"/>
              <w:rPr>
                <w:rFonts w:hint="default" w:eastAsia="宋体" w:cs="宋体" w:asciiTheme="minorAscii" w:hAnsiTheme="minorAscii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-67" w:right="-105" w:hanging="2"/>
              <w:jc w:val="center"/>
              <w:rPr>
                <w:rFonts w:hint="default" w:eastAsia="宋体" w:cs="宋体" w:asciiTheme="minorAscii" w:hAnsiTheme="minorAsci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right="0"/>
              <w:jc w:val="center"/>
              <w:rPr>
                <w:rFonts w:hint="default" w:eastAsia="宋体" w:cs="宋体" w:asciiTheme="minorAscii" w:hAnsiTheme="minorAscii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3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五、存在的主要问题及整改情况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/>
        <w:jc w:val="both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（一）202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年问题整改情况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0606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是强化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对工作人员的理论培训和业务培训，不断提高信息公开意识和服务意识，按程守规公开政府信息，确保政府信息及时、准确、全面地公开；二是扎实推进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政府信息公开工作，多渠道、多形式，向社会和广大群众宣传政府信息公开工作，努力形成各级干部认真抓好政府信息公开、群众积极关心政府信息公开的社会氛围；三是不断充实和完善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信息公开内容，确保信息公开及时、准确、完整，增强政府信息发布主动性、权威性和时效性。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/>
        <w:jc w:val="both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（二）202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年存在的主要问题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及改进措施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信息公开形式、内容还不够丰富，公开途径还不够广。二是公开的事项还不及时，公开内容的更新速度较慢，尤其是行政职权目录和流程图公开不全面。三是主动公开工作流程不够规范，措施和方法单一等。四是对《中华人民共和国政府信息公开条例》及政府信息公开内容的内涵掌握的熟知程度不够，导致开展政府信息公开工作不到位，公开的内容有偏差。五是主动公开政府信息监督自查力度有待进一步加强；政府信息公开宣传力度不够，公众参与度不高。改进方向：一是转变观念，提高服务意识。实现公共服务新观念，把人民视为服务对象，向社会公众提供优质、高效的信息服务，保障公民知情权和决策参与权的实现。二是加强管理，建立健全工作机制。进一步建立健全政府信息公开工作机制，加强信息审核、发布、监督等工作，促进工作的规范化、常态化。三是继续抓好政务公开的规范完善。对公开的形式、内容、时限、程序、监督和运行机制等都要进一步规范，完善政务公开工作制度，全面提升政务公开的档次和水平。四是加强对政府信息公开的力度。充分利用网站、新媒体多形式地开展政府信息公开工作，及时公开公布公众关注的重点，舆论、群众监督的焦点，保障公民知情权和监督权。五是以街道政务公开标准化规范化建设试点为契机，进一步探索和完善政务公开运行机制，进一步完善公开内容及流程，拓展公开载体，提升政府信息公开实效，提高政务服务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/>
        <w:jc w:val="both"/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（一）信息处理费收取情况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/>
        <w:jc w:val="both"/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年度本单位未收取政府信息公开信息处理费。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/>
        <w:jc w:val="both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（二）上级年度政务公开工作要点落实情况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聚焦政策落实，深化重点领域信息公开。做好基础信息公开，在严格遵循保密审查程序的基础上，在规定时限内做到应公开尽公开，提高信息透明度；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强化政策解读，积极回应社会关切。深入推进政策解读工作，进一步加大重大政策解读力度，对县里出台的重要政策、重点工作进行多种形式解读，认真落实政策解读方案、解读材料与政策文件三同步机制，不断丰富解读形式，对出台的重大政策和政府文件进行文字、图片、视频等多元化解读；围绕本县重点工作和社会关切，多渠道回应群众关切，切实提升回应关切效果，保障群众实际利益，维护社会稳定和安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加强平台建设，切实抓好基础基层。完善政务公开平台，按照上级有关规定规范版面设计，进一步提高公开平台效果；加强政务新媒体管理。对我县政务新媒体进一步进行梳理，要求长期不用该关停的进行关停，重复建设该整合的进行整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right="0" w:firstLine="640" w:firstLineChars="200"/>
        <w:jc w:val="both"/>
        <w:rPr>
          <w:rFonts w:hint="eastAsia" w:eastAsia="仿宋_GB2312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规范依申请公开工作。严格贯彻落实《中华人民共和国政府信息公开条例》，及时更新政府信息公开指南，通过信件、电子邮箱、当面申请等多种形式受理依申请公开，健全登记、审核、办理、答复、归档工作制度，加强工作规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/>
        <w:jc w:val="both"/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（三）人大代表建议和政协提案办理情况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/>
        <w:jc w:val="both"/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建议提案办理结果公开情况。202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年管理服务中心收到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件人大代表建议，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件政协提案，办理情况均已在政府网站进行了公开。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本行政机关年度政务公开工作创新情况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right="0" w:rightChars="0" w:firstLine="640" w:firstLineChars="200"/>
        <w:jc w:val="both"/>
        <w:rPr>
          <w:rFonts w:hint="eastAsia" w:eastAsia="仿宋_GB2312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（五）报告数据统计说明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/>
        <w:jc w:val="both"/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本报告所列数据统计期限为202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年1月1日至202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年12月31日。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leftChars="0" w:right="0" w:firstLine="420" w:firstLineChars="0"/>
        <w:jc w:val="both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本行政机关认为需要报告的其他事项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right="0" w:rightChars="0" w:firstLine="640" w:firstLineChars="200"/>
        <w:jc w:val="both"/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无。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leftChars="0" w:right="0" w:firstLine="420" w:firstLineChars="0"/>
        <w:jc w:val="both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其他有关文件专门要求报告的事项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right="0" w:rightChars="0" w:firstLine="640" w:firstLineChars="200"/>
        <w:jc w:val="both"/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640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2880" w:firstLineChars="900"/>
        <w:jc w:val="both"/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昌乐首阳山旅游度假区管理服务中心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78" w:lineRule="atLeast"/>
        <w:ind w:right="0" w:firstLine="4480" w:firstLineChars="1400"/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2日</w:t>
      </w:r>
    </w:p>
    <w:p>
      <w:pPr>
        <w:shd w:val="clear"/>
      </w:pPr>
    </w:p>
    <w:sectPr>
      <w:pgSz w:w="11906" w:h="16838"/>
      <w:pgMar w:top="2098" w:right="1417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B45117"/>
    <w:multiLevelType w:val="singleLevel"/>
    <w:tmpl w:val="43B45117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NDJhYTY3OThkMzhjNGFkMDEzOTIxN2VmMjkwOGEifQ=="/>
  </w:docVars>
  <w:rsids>
    <w:rsidRoot w:val="00000000"/>
    <w:rsid w:val="045A6141"/>
    <w:rsid w:val="24443784"/>
    <w:rsid w:val="2CA4515E"/>
    <w:rsid w:val="307744C3"/>
    <w:rsid w:val="32B50BD0"/>
    <w:rsid w:val="3FBB5778"/>
    <w:rsid w:val="440D687B"/>
    <w:rsid w:val="750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3706</Words>
  <Characters>3812</Characters>
  <Lines>0</Lines>
  <Paragraphs>0</Paragraphs>
  <TotalTime>114</TotalTime>
  <ScaleCrop>false</ScaleCrop>
  <LinksUpToDate>false</LinksUpToDate>
  <CharactersWithSpaces>3831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2023-01-12T00:49:00Z</dcterms:created>
  <dc:creator>Administrator</dc:creator>
  <cp:lastModifiedBy>Administrator</cp:lastModifiedBy>
  <dcterms:modified xsi:type="dcterms:W3CDTF">2023-02-21T08:09:23Z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DC1189BAEE254DCCA615D873A380BB57</vt:lpwstr>
  </property>
</Properties>
</file>