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15"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r>
        <w:rPr>
          <w:rFonts w:hint="eastAsia" w:asciiTheme="majorEastAsia" w:hAnsiTheme="majorEastAsia" w:eastAsiaTheme="majorEastAsia" w:cstheme="majorEastAsia"/>
          <w:b w:val="0"/>
          <w:i w:val="0"/>
          <w:caps w:val="0"/>
          <w:color w:val="000000"/>
          <w:spacing w:val="0"/>
          <w:kern w:val="0"/>
          <w:sz w:val="44"/>
          <w:szCs w:val="44"/>
          <w:shd w:val="clear" w:fill="FFFFFF"/>
          <w:lang w:val="en-US" w:eastAsia="zh-CN" w:bidi="ar"/>
        </w:rPr>
        <w:t>2019年政府信息公开工作年度报告</w:t>
      </w:r>
    </w:p>
    <w:p>
      <w:pPr>
        <w:pStyle w:val="2"/>
        <w:keepNext w:val="0"/>
        <w:keepLines w:val="0"/>
        <w:widowControl/>
        <w:suppressLineNumbers w:val="0"/>
        <w:shd w:val="clear" w:fill="FFFFFF"/>
        <w:spacing w:before="0" w:beforeAutospacing="0" w:after="0" w:afterAutospacing="0" w:line="15"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0" w:afterAutospacing="0" w:line="15" w:lineRule="atLeast"/>
        <w:ind w:left="0" w:firstLine="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根据《中华人民共和国政府信息公开条例》（以下简称《条例》）有关规定和县政府办公室通知要求，我局立足本职，创新思路，不断推进政府信息公开工作，扎实做好信息公开平台的更新，认真开展财政信息公开日常基础性工作，将财政信息公开工作不断规范化、制度化、常态化。现将我局2019年度政府信息公开工作有关情况报告如下：</w:t>
      </w:r>
    </w:p>
    <w:p>
      <w:pPr>
        <w:pStyle w:val="2"/>
        <w:keepNext w:val="0"/>
        <w:keepLines w:val="0"/>
        <w:widowControl/>
        <w:suppressLineNumbers w:val="0"/>
        <w:shd w:val="clear" w:fill="FFFFFF"/>
        <w:spacing w:before="0" w:beforeAutospacing="0" w:after="0" w:afterAutospacing="0" w:line="15" w:lineRule="atLeast"/>
        <w:ind w:left="0" w:firstLine="0"/>
        <w:jc w:val="both"/>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shd w:val="clear" w:fill="FFFFFF"/>
        </w:rPr>
        <w:t>一、总体情况</w:t>
      </w:r>
    </w:p>
    <w:p>
      <w:pPr>
        <w:pStyle w:val="2"/>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2019年，我局认真落实上级关于政府信息公开工作的要求，不断完善信息公开各项制度，政府信息公开工作在深化公开内容、完善各项制度、规范公开载体形式、加强基础性建设工作等方面取得了较大进展，主要开展了以下几个方面的工作：</w:t>
      </w:r>
    </w:p>
    <w:p>
      <w:pPr>
        <w:pStyle w:val="2"/>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rPr>
        <w:t>（一）主动公开政府信息的情况</w:t>
      </w:r>
    </w:p>
    <w:p>
      <w:pPr>
        <w:pStyle w:val="2"/>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rPr>
        <w:t>1、公开的主要内容</w:t>
      </w:r>
    </w:p>
    <w:p>
      <w:pPr>
        <w:pStyle w:val="2"/>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我局组织专人对公开内容进行分类和编目。截止2019年12月31日，全年累计公开信息275条，其中：部门预算74条，部门决算85条，依申请公开信息2条，各类通知公告信息114条。</w:t>
      </w:r>
    </w:p>
    <w:p>
      <w:pPr>
        <w:pStyle w:val="2"/>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rPr>
        <w:t>2、公开形式</w:t>
      </w:r>
    </w:p>
    <w:p>
      <w:pPr>
        <w:pStyle w:val="2"/>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一是互联网公开方式，在“昌乐县人民政府”信息公开目录专栏公开。二是其他途径公开方式，通过局公开栏、宣传栏等载体和行政服务大厅窗口，将与群众息息相关的财政政策法规面向全社会公开，将局各科室工作职能、工作人员职责、人员去向及全局基本情况在公示栏公开，方便群众办事。</w:t>
      </w:r>
    </w:p>
    <w:p>
      <w:pPr>
        <w:pStyle w:val="2"/>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rPr>
        <w:t>（二）依申请公开情况</w:t>
      </w:r>
    </w:p>
    <w:p>
      <w:pPr>
        <w:pStyle w:val="2"/>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2019年我局共接到两条依申请公开信息：一是“辽宁省大连市东北财经大学武倩申请公开昌乐县县级‘三公’经费首次公开是在哪一年”，二是“奎文区文化路盛世豪庭钱坤申请公开2012年单位‘三公’经费预决算情况”，我局均在规定时间内按流程予以答复。</w:t>
      </w:r>
    </w:p>
    <w:p>
      <w:pPr>
        <w:pStyle w:val="2"/>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rPr>
        <w:t>（三）政府信息管理情况</w:t>
      </w:r>
    </w:p>
    <w:p>
      <w:pPr>
        <w:pStyle w:val="2"/>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加强领导，统筹部署政府信息公开工作。将政府信息公开工作纳入单位年度工作要点予以明确，制定了工作考核办法，使干部职工充分认识财政信息公开工作的重要意义，积极做好财政信息公开工作。同时，局领导多次就政府信息公开工作进行部署，要求做到阳光政务、透明政务。</w:t>
      </w:r>
    </w:p>
    <w:p>
      <w:pPr>
        <w:pStyle w:val="2"/>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rPr>
        <w:t>（四）平台建设情况</w:t>
      </w:r>
    </w:p>
    <w:p>
      <w:pPr>
        <w:pStyle w:val="2"/>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强化政府信息公开网上平台建设，建立长效工作机制。继续加强政府信息公开申请的处理、依申请公开的政府信息目录编制、免于公开的政府信息类备案、重大决定草案公开情况备案等工作，不断建立和完善信息公开的长效工作机制。</w:t>
      </w:r>
    </w:p>
    <w:p>
      <w:pPr>
        <w:pStyle w:val="2"/>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rPr>
        <w:t>（五）监督保障情况</w:t>
      </w:r>
    </w:p>
    <w:p>
      <w:pPr>
        <w:pStyle w:val="2"/>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深化政府信息公开内容。进一步深化政府信息公开的内容，选择若干社会关注度高的财政信息作为突破口，对群众关注度高，影响面大的信息不断加大公开范围和力度，逐步使不同领域的政府信息公开制度化、规范化。</w:t>
      </w:r>
    </w:p>
    <w:p>
      <w:pPr>
        <w:pStyle w:val="2"/>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rPr>
        <w:t>严格把好信息安全保密关。在公开政府信息前，首先由各科室将需发布的信息经分管领导审核后交局办公室，局办公室初审后，依据信息内容分类整理，再由分管领导签发，重要信息由主要领导签发，从制度和程序上确保信息安全，做到涉密信息不上网，上网信息不涉密。</w:t>
      </w:r>
    </w:p>
    <w:p>
      <w:pPr>
        <w:pStyle w:val="2"/>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rPr>
        <w:t>（六）建议提案办理结果公开情况。</w:t>
      </w:r>
    </w:p>
    <w:p>
      <w:pPr>
        <w:pStyle w:val="2"/>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2019年，县财政局共承担17件人大代表建议、政协委员提案的承办工作，其中主办9件，协办8件，均已在政府网站进行了公开。办理人员对人大建议和政协提案进行全面调研，运用掌握的第一手资料，根据上级政策情况、全县财力实际，提出切实可行的措施和方案，并积极与协办单位联系沟通，共同做好建议、提案的答复，使答复满意率为100%。</w:t>
      </w:r>
    </w:p>
    <w:p>
      <w:pPr>
        <w:pStyle w:val="2"/>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rPr>
        <w:t> (七）认真学习，加强培训。</w:t>
      </w:r>
    </w:p>
    <w:p>
      <w:pPr>
        <w:pStyle w:val="2"/>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积极组织我局信息员和信息管理员参加全县的信息公开工作相关业务培训，切实提高工作能力和业务水平，增强服务意识和公开意识；同时，通过报刊新闻加强宣传，引导社会大众正确行使知情权。</w:t>
      </w:r>
    </w:p>
    <w:p>
      <w:pPr>
        <w:pStyle w:val="2"/>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rPr>
        <w:t>（八）行政复议、行政诉讼的情况</w:t>
      </w:r>
    </w:p>
    <w:p>
      <w:pPr>
        <w:pStyle w:val="2"/>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2019年未发生针对本单位有关政府信息公开事务的行政复议和行政诉讼。</w:t>
      </w:r>
    </w:p>
    <w:p>
      <w:pPr>
        <w:pStyle w:val="2"/>
        <w:keepNext w:val="0"/>
        <w:keepLines w:val="0"/>
        <w:widowControl/>
        <w:suppressLineNumbers w:val="0"/>
        <w:shd w:val="clear" w:fill="FFFFFF"/>
        <w:spacing w:before="0" w:beforeAutospacing="0" w:after="0" w:afterAutospacing="0" w:line="15" w:lineRule="atLeast"/>
        <w:ind w:left="0" w:firstLine="0"/>
        <w:jc w:val="both"/>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shd w:val="clear" w:fill="FFFFFF"/>
        </w:rPr>
        <w:t>二、主动公开政府信息情况</w:t>
      </w:r>
    </w:p>
    <w:tbl>
      <w:tblPr>
        <w:tblStyle w:val="4"/>
        <w:tblW w:w="8708" w:type="dxa"/>
        <w:jc w:val="center"/>
        <w:tblInd w:w="-93" w:type="dxa"/>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3073"/>
        <w:gridCol w:w="17"/>
        <w:gridCol w:w="2095"/>
        <w:gridCol w:w="1505"/>
        <w:gridCol w:w="2018"/>
      </w:tblGrid>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94" w:hRule="atLeast"/>
          <w:jc w:val="center"/>
        </w:trPr>
        <w:tc>
          <w:tcPr>
            <w:tcW w:w="8708"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第二十条第（一）项</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866" w:hRule="atLeast"/>
          <w:jc w:val="center"/>
        </w:trPr>
        <w:tc>
          <w:tcPr>
            <w:tcW w:w="30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本年新制作数量</w:t>
            </w:r>
          </w:p>
        </w:tc>
        <w:tc>
          <w:tcPr>
            <w:tcW w:w="150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本年新</w:t>
            </w:r>
            <w:r>
              <w:rPr>
                <w:rFonts w:hint="eastAsia" w:ascii="仿宋_GB2312" w:hAnsi="仿宋_GB2312" w:eastAsia="仿宋_GB2312" w:cs="仿宋_GB2312"/>
                <w:caps w:val="0"/>
                <w:spacing w:val="0"/>
                <w:kern w:val="0"/>
                <w:sz w:val="24"/>
                <w:szCs w:val="24"/>
                <w:lang w:val="en-US" w:eastAsia="zh-CN" w:bidi="ar"/>
              </w:rPr>
              <w:br w:type="textWrapping"/>
            </w:r>
            <w:r>
              <w:rPr>
                <w:rFonts w:hint="eastAsia" w:ascii="仿宋_GB2312" w:hAnsi="仿宋_GB2312" w:eastAsia="仿宋_GB2312" w:cs="仿宋_GB2312"/>
                <w:caps w:val="0"/>
                <w:spacing w:val="0"/>
                <w:kern w:val="0"/>
                <w:sz w:val="24"/>
                <w:szCs w:val="24"/>
                <w:lang w:val="en-US" w:eastAsia="zh-CN" w:bidi="ar"/>
              </w:rPr>
              <w:t>公开数量</w:t>
            </w:r>
          </w:p>
        </w:tc>
        <w:tc>
          <w:tcPr>
            <w:tcW w:w="20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对外公开</w:t>
            </w:r>
          </w:p>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总数量</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jc w:val="center"/>
        </w:trPr>
        <w:tc>
          <w:tcPr>
            <w:tcW w:w="30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规章</w:t>
            </w:r>
          </w:p>
        </w:tc>
        <w:tc>
          <w:tcPr>
            <w:tcW w:w="2112"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0</w:t>
            </w:r>
          </w:p>
        </w:tc>
        <w:tc>
          <w:tcPr>
            <w:tcW w:w="15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0 </w:t>
            </w:r>
          </w:p>
        </w:tc>
        <w:tc>
          <w:tcPr>
            <w:tcW w:w="20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0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4" w:hRule="atLeast"/>
          <w:jc w:val="center"/>
        </w:trPr>
        <w:tc>
          <w:tcPr>
            <w:tcW w:w="30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规范性文件</w:t>
            </w:r>
          </w:p>
        </w:tc>
        <w:tc>
          <w:tcPr>
            <w:tcW w:w="2112"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0</w:t>
            </w:r>
          </w:p>
        </w:tc>
        <w:tc>
          <w:tcPr>
            <w:tcW w:w="15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0 </w:t>
            </w:r>
          </w:p>
        </w:tc>
        <w:tc>
          <w:tcPr>
            <w:tcW w:w="20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0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第二十条第（五）项</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516" w:hRule="atLeast"/>
          <w:jc w:val="center"/>
        </w:trPr>
        <w:tc>
          <w:tcPr>
            <w:tcW w:w="30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上一年项目数量</w:t>
            </w:r>
          </w:p>
        </w:tc>
        <w:tc>
          <w:tcPr>
            <w:tcW w:w="150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本年增/减</w:t>
            </w:r>
          </w:p>
        </w:tc>
        <w:tc>
          <w:tcPr>
            <w:tcW w:w="20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处理决定数量</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jc w:val="center"/>
        </w:trPr>
        <w:tc>
          <w:tcPr>
            <w:tcW w:w="30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行政许可</w:t>
            </w:r>
          </w:p>
        </w:tc>
        <w:tc>
          <w:tcPr>
            <w:tcW w:w="2112"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0　</w:t>
            </w:r>
          </w:p>
        </w:tc>
        <w:tc>
          <w:tcPr>
            <w:tcW w:w="15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0　</w:t>
            </w:r>
          </w:p>
        </w:tc>
        <w:tc>
          <w:tcPr>
            <w:tcW w:w="20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0</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550" w:hRule="atLeast"/>
          <w:jc w:val="center"/>
        </w:trPr>
        <w:tc>
          <w:tcPr>
            <w:tcW w:w="30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其他对外管理服务事项</w:t>
            </w:r>
          </w:p>
        </w:tc>
        <w:tc>
          <w:tcPr>
            <w:tcW w:w="2112"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0　</w:t>
            </w:r>
          </w:p>
        </w:tc>
        <w:tc>
          <w:tcPr>
            <w:tcW w:w="15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5</w:t>
            </w:r>
          </w:p>
        </w:tc>
        <w:tc>
          <w:tcPr>
            <w:tcW w:w="20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bookmarkStart w:id="0" w:name="_GoBack"/>
            <w:bookmarkEnd w:id="0"/>
            <w:r>
              <w:rPr>
                <w:rFonts w:hint="eastAsia" w:ascii="仿宋_GB2312" w:hAnsi="仿宋_GB2312" w:eastAsia="仿宋_GB2312" w:cs="仿宋_GB2312"/>
                <w:caps w:val="0"/>
                <w:spacing w:val="0"/>
                <w:kern w:val="0"/>
                <w:sz w:val="24"/>
                <w:szCs w:val="24"/>
                <w:lang w:val="en-US" w:eastAsia="zh-CN" w:bidi="ar"/>
              </w:rPr>
              <w:t>0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97"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第二十条第（六）项</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547" w:hRule="atLeast"/>
          <w:jc w:val="center"/>
        </w:trPr>
        <w:tc>
          <w:tcPr>
            <w:tcW w:w="30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上一年项目数量</w:t>
            </w:r>
          </w:p>
        </w:tc>
        <w:tc>
          <w:tcPr>
            <w:tcW w:w="150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本年增/减</w:t>
            </w:r>
          </w:p>
        </w:tc>
        <w:tc>
          <w:tcPr>
            <w:tcW w:w="20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处理决定数量</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30" w:hRule="atLeast"/>
          <w:jc w:val="center"/>
        </w:trPr>
        <w:tc>
          <w:tcPr>
            <w:tcW w:w="30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行政处罚</w:t>
            </w:r>
          </w:p>
        </w:tc>
        <w:tc>
          <w:tcPr>
            <w:tcW w:w="2112"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1</w:t>
            </w:r>
          </w:p>
        </w:tc>
        <w:tc>
          <w:tcPr>
            <w:tcW w:w="15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18</w:t>
            </w:r>
          </w:p>
        </w:tc>
        <w:tc>
          <w:tcPr>
            <w:tcW w:w="20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12</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jc w:val="center"/>
        </w:trPr>
        <w:tc>
          <w:tcPr>
            <w:tcW w:w="30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行政强制</w:t>
            </w:r>
          </w:p>
        </w:tc>
        <w:tc>
          <w:tcPr>
            <w:tcW w:w="2112"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0　</w:t>
            </w:r>
          </w:p>
        </w:tc>
        <w:tc>
          <w:tcPr>
            <w:tcW w:w="15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0</w:t>
            </w:r>
          </w:p>
        </w:tc>
        <w:tc>
          <w:tcPr>
            <w:tcW w:w="20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0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74"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第二十条第（八）项</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47" w:hRule="atLeast"/>
          <w:jc w:val="center"/>
        </w:trPr>
        <w:tc>
          <w:tcPr>
            <w:tcW w:w="30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信息内容</w:t>
            </w:r>
          </w:p>
        </w:tc>
        <w:tc>
          <w:tcPr>
            <w:tcW w:w="2112"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上一年项目数量</w:t>
            </w:r>
          </w:p>
        </w:tc>
        <w:tc>
          <w:tcPr>
            <w:tcW w:w="3523" w:type="dxa"/>
            <w:gridSpan w:val="2"/>
            <w:tcBorders>
              <w:top w:val="single" w:color="auto" w:sz="8" w:space="0"/>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本年增/减</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40" w:hRule="atLeast"/>
          <w:jc w:val="center"/>
        </w:trPr>
        <w:tc>
          <w:tcPr>
            <w:tcW w:w="30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行政事业性收费</w:t>
            </w:r>
          </w:p>
        </w:tc>
        <w:tc>
          <w:tcPr>
            <w:tcW w:w="2112"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2</w:t>
            </w:r>
          </w:p>
        </w:tc>
        <w:tc>
          <w:tcPr>
            <w:tcW w:w="3523" w:type="dxa"/>
            <w:gridSpan w:val="2"/>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0</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76"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第二十条第（九）项</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27" w:hRule="atLeast"/>
          <w:jc w:val="center"/>
        </w:trPr>
        <w:tc>
          <w:tcPr>
            <w:tcW w:w="3090"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信息内容</w:t>
            </w:r>
          </w:p>
        </w:tc>
        <w:tc>
          <w:tcPr>
            <w:tcW w:w="2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采购项目数量</w:t>
            </w:r>
          </w:p>
        </w:tc>
        <w:tc>
          <w:tcPr>
            <w:tcW w:w="3523" w:type="dxa"/>
            <w:gridSpan w:val="2"/>
            <w:tcBorders>
              <w:top w:val="single" w:color="auto" w:sz="8" w:space="0"/>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采购总金额</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69" w:hRule="atLeast"/>
          <w:jc w:val="center"/>
        </w:trPr>
        <w:tc>
          <w:tcPr>
            <w:tcW w:w="3090"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政府集中采购</w:t>
            </w:r>
          </w:p>
        </w:tc>
        <w:tc>
          <w:tcPr>
            <w:tcW w:w="20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3523" w:type="dxa"/>
            <w:gridSpan w:val="2"/>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r>
    </w:tbl>
    <w:p>
      <w:pPr>
        <w:pStyle w:val="2"/>
        <w:keepNext w:val="0"/>
        <w:keepLines w:val="0"/>
        <w:widowControl/>
        <w:suppressLineNumbers w:val="0"/>
        <w:shd w:val="clear" w:fill="FFFFFF"/>
        <w:spacing w:before="0" w:beforeAutospacing="0" w:after="0" w:afterAutospacing="0" w:line="15" w:lineRule="atLeast"/>
        <w:ind w:left="0" w:firstLine="0"/>
        <w:jc w:val="both"/>
        <w:rPr>
          <w:rFonts w:hint="eastAsia" w:ascii="仿宋_GB2312" w:hAnsi="仿宋_GB2312" w:eastAsia="仿宋_GB2312" w:cs="仿宋_GB2312"/>
          <w:b w:val="0"/>
          <w:i w:val="0"/>
          <w:caps w:val="0"/>
          <w:color w:val="000000"/>
          <w:spacing w:val="0"/>
          <w:sz w:val="24"/>
          <w:szCs w:val="24"/>
          <w:shd w:val="clear" w:fill="FFFFFF"/>
        </w:rPr>
      </w:pPr>
      <w:r>
        <w:rPr>
          <w:rFonts w:hint="eastAsia" w:ascii="仿宋_GB2312" w:hAnsi="仿宋_GB2312" w:eastAsia="仿宋_GB2312" w:cs="仿宋_GB2312"/>
          <w:b w:val="0"/>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0" w:afterAutospacing="0" w:line="15" w:lineRule="atLeast"/>
        <w:ind w:left="0" w:firstLine="0"/>
        <w:jc w:val="both"/>
        <w:rPr>
          <w:rFonts w:hint="eastAsia" w:ascii="仿宋_GB2312" w:hAnsi="仿宋_GB2312" w:eastAsia="仿宋_GB2312" w:cs="仿宋_GB2312"/>
          <w:b w:val="0"/>
          <w:i w:val="0"/>
          <w:caps w:val="0"/>
          <w:color w:val="000000"/>
          <w:spacing w:val="0"/>
          <w:sz w:val="24"/>
          <w:szCs w:val="24"/>
          <w:shd w:val="clear" w:fill="FFFFFF"/>
        </w:rPr>
      </w:pPr>
    </w:p>
    <w:p>
      <w:pPr>
        <w:pStyle w:val="2"/>
        <w:keepNext w:val="0"/>
        <w:keepLines w:val="0"/>
        <w:widowControl/>
        <w:suppressLineNumbers w:val="0"/>
        <w:shd w:val="clear" w:fill="FFFFFF"/>
        <w:spacing w:before="0" w:beforeAutospacing="0" w:after="0" w:afterAutospacing="0" w:line="15" w:lineRule="atLeast"/>
        <w:ind w:left="0" w:firstLine="0"/>
        <w:jc w:val="both"/>
        <w:rPr>
          <w:rFonts w:hint="eastAsia" w:ascii="仿宋_GB2312" w:hAnsi="仿宋_GB2312" w:eastAsia="仿宋_GB2312" w:cs="仿宋_GB2312"/>
          <w:b w:val="0"/>
          <w:i w:val="0"/>
          <w:caps w:val="0"/>
          <w:color w:val="000000"/>
          <w:spacing w:val="0"/>
          <w:sz w:val="24"/>
          <w:szCs w:val="24"/>
          <w:shd w:val="clear" w:fill="FFFFFF"/>
        </w:rPr>
      </w:pPr>
    </w:p>
    <w:p>
      <w:pPr>
        <w:pStyle w:val="2"/>
        <w:keepNext w:val="0"/>
        <w:keepLines w:val="0"/>
        <w:widowControl/>
        <w:suppressLineNumbers w:val="0"/>
        <w:shd w:val="clear" w:fill="FFFFFF"/>
        <w:spacing w:before="0" w:beforeAutospacing="0" w:after="0" w:afterAutospacing="0" w:line="15" w:lineRule="atLeast"/>
        <w:ind w:left="0" w:firstLine="0"/>
        <w:jc w:val="both"/>
        <w:rPr>
          <w:rFonts w:hint="eastAsia" w:ascii="仿宋_GB2312" w:hAnsi="仿宋_GB2312" w:eastAsia="仿宋_GB2312" w:cs="仿宋_GB2312"/>
          <w:b w:val="0"/>
          <w:i w:val="0"/>
          <w:caps w:val="0"/>
          <w:color w:val="000000"/>
          <w:spacing w:val="0"/>
          <w:sz w:val="24"/>
          <w:szCs w:val="24"/>
          <w:shd w:val="clear" w:fill="FFFFFF"/>
        </w:rPr>
      </w:pPr>
    </w:p>
    <w:p>
      <w:pPr>
        <w:pStyle w:val="2"/>
        <w:keepNext w:val="0"/>
        <w:keepLines w:val="0"/>
        <w:widowControl/>
        <w:suppressLineNumbers w:val="0"/>
        <w:shd w:val="clear" w:fill="FFFFFF"/>
        <w:spacing w:before="0" w:beforeAutospacing="0" w:after="0" w:afterAutospacing="0" w:line="15" w:lineRule="atLeast"/>
        <w:ind w:left="0" w:firstLine="0"/>
        <w:jc w:val="both"/>
        <w:rPr>
          <w:rFonts w:hint="eastAsia" w:ascii="仿宋_GB2312" w:hAnsi="仿宋_GB2312" w:eastAsia="仿宋_GB2312" w:cs="仿宋_GB2312"/>
          <w:b w:val="0"/>
          <w:i w:val="0"/>
          <w:caps w:val="0"/>
          <w:color w:val="000000"/>
          <w:spacing w:val="0"/>
          <w:sz w:val="24"/>
          <w:szCs w:val="24"/>
          <w:shd w:val="clear" w:fill="FFFFFF"/>
        </w:rPr>
      </w:pPr>
    </w:p>
    <w:p>
      <w:pPr>
        <w:pStyle w:val="2"/>
        <w:keepNext w:val="0"/>
        <w:keepLines w:val="0"/>
        <w:widowControl/>
        <w:suppressLineNumbers w:val="0"/>
        <w:shd w:val="clear" w:fill="FFFFFF"/>
        <w:spacing w:before="0" w:beforeAutospacing="0" w:after="0" w:afterAutospacing="0" w:line="15" w:lineRule="atLeast"/>
        <w:ind w:left="0" w:firstLine="0"/>
        <w:jc w:val="both"/>
        <w:rPr>
          <w:rFonts w:hint="eastAsia" w:ascii="仿宋_GB2312" w:hAnsi="仿宋_GB2312" w:eastAsia="仿宋_GB2312" w:cs="仿宋_GB2312"/>
          <w:b w:val="0"/>
          <w:i w:val="0"/>
          <w:caps w:val="0"/>
          <w:color w:val="000000"/>
          <w:spacing w:val="0"/>
          <w:sz w:val="24"/>
          <w:szCs w:val="24"/>
          <w:shd w:val="clear" w:fill="FFFFFF"/>
        </w:rPr>
      </w:pPr>
    </w:p>
    <w:p>
      <w:pPr>
        <w:pStyle w:val="2"/>
        <w:keepNext w:val="0"/>
        <w:keepLines w:val="0"/>
        <w:widowControl/>
        <w:suppressLineNumbers w:val="0"/>
        <w:shd w:val="clear" w:fill="FFFFFF"/>
        <w:spacing w:before="0" w:beforeAutospacing="0" w:after="0" w:afterAutospacing="0" w:line="15" w:lineRule="atLeast"/>
        <w:ind w:left="-199" w:firstLine="0"/>
        <w:jc w:val="both"/>
        <w:rPr>
          <w:rFonts w:hint="eastAsia" w:ascii="仿宋_GB2312" w:hAnsi="仿宋_GB2312" w:eastAsia="仿宋_GB2312" w:cs="仿宋_GB2312"/>
          <w:b w:val="0"/>
          <w:i w:val="0"/>
          <w:caps w:val="0"/>
          <w:color w:val="000000"/>
          <w:spacing w:val="0"/>
          <w:sz w:val="24"/>
          <w:szCs w:val="24"/>
        </w:rPr>
      </w:pPr>
      <w:r>
        <w:rPr>
          <w:rFonts w:hint="eastAsia" w:ascii="黑体" w:hAnsi="黑体" w:eastAsia="黑体" w:cs="黑体"/>
          <w:b w:val="0"/>
          <w:i w:val="0"/>
          <w:caps w:val="0"/>
          <w:color w:val="000000"/>
          <w:spacing w:val="0"/>
          <w:sz w:val="32"/>
          <w:szCs w:val="32"/>
          <w:shd w:val="clear" w:fill="FFFFFF"/>
        </w:rPr>
        <w:t>三、收到和处理政府信息公开申请情况</w:t>
      </w:r>
    </w:p>
    <w:tbl>
      <w:tblPr>
        <w:tblStyle w:val="4"/>
        <w:tblW w:w="9071" w:type="dxa"/>
        <w:jc w:val="center"/>
        <w:tblInd w:w="-274" w:type="dxa"/>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698"/>
        <w:gridCol w:w="1396"/>
        <w:gridCol w:w="2762"/>
        <w:gridCol w:w="837"/>
        <w:gridCol w:w="558"/>
        <w:gridCol w:w="558"/>
        <w:gridCol w:w="559"/>
        <w:gridCol w:w="559"/>
        <w:gridCol w:w="532"/>
        <w:gridCol w:w="612"/>
      </w:tblGrid>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13" w:hRule="atLeast"/>
          <w:jc w:val="center"/>
        </w:trPr>
        <w:tc>
          <w:tcPr>
            <w:tcW w:w="4856" w:type="dxa"/>
            <w:gridSpan w:val="3"/>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（本列数据的勾稽关系为：第一项加第二项之和，</w:t>
            </w:r>
          </w:p>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等于第三项加第四项之和）</w:t>
            </w:r>
          </w:p>
        </w:tc>
        <w:tc>
          <w:tcPr>
            <w:tcW w:w="4215" w:type="dxa"/>
            <w:gridSpan w:val="7"/>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申请人情况</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4856" w:type="dxa"/>
            <w:gridSpan w:val="3"/>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837"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自然人</w:t>
            </w:r>
          </w:p>
        </w:tc>
        <w:tc>
          <w:tcPr>
            <w:tcW w:w="2766"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法人或其他组织</w:t>
            </w:r>
          </w:p>
        </w:tc>
        <w:tc>
          <w:tcPr>
            <w:tcW w:w="612"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总计</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1127" w:hRule="atLeast"/>
          <w:jc w:val="center"/>
        </w:trPr>
        <w:tc>
          <w:tcPr>
            <w:tcW w:w="4856" w:type="dxa"/>
            <w:gridSpan w:val="3"/>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837"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106" w:right="-107" w:hanging="1"/>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商业企业</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107" w:right="-107"/>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科研机构</w:t>
            </w:r>
          </w:p>
        </w:tc>
        <w:tc>
          <w:tcPr>
            <w:tcW w:w="55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107" w:right="-107"/>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社会公益组织</w:t>
            </w:r>
          </w:p>
        </w:tc>
        <w:tc>
          <w:tcPr>
            <w:tcW w:w="55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106" w:right="-107" w:hanging="1"/>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法律服务机构</w:t>
            </w:r>
          </w:p>
        </w:tc>
        <w:tc>
          <w:tcPr>
            <w:tcW w:w="53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63" w:right="-134"/>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其他</w:t>
            </w:r>
          </w:p>
        </w:tc>
        <w:tc>
          <w:tcPr>
            <w:tcW w:w="612"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856"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一、本年新收政府信息公开申请数量</w:t>
            </w:r>
          </w:p>
        </w:tc>
        <w:tc>
          <w:tcPr>
            <w:tcW w:w="8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2</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2</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856"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二、上年结转政府信息公开申请数量</w:t>
            </w:r>
          </w:p>
        </w:tc>
        <w:tc>
          <w:tcPr>
            <w:tcW w:w="8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0</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0</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98"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三、本年度办理结果</w:t>
            </w:r>
          </w:p>
        </w:tc>
        <w:tc>
          <w:tcPr>
            <w:tcW w:w="4158"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（一）予以公开</w:t>
            </w:r>
          </w:p>
        </w:tc>
        <w:tc>
          <w:tcPr>
            <w:tcW w:w="8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2</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1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2</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9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4158"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（二）部分公开（区分处理的，只计这一情形，不计其他情形）</w:t>
            </w:r>
          </w:p>
        </w:tc>
        <w:tc>
          <w:tcPr>
            <w:tcW w:w="8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0</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0</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9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139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107"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（三）不予公开</w:t>
            </w:r>
          </w:p>
        </w:tc>
        <w:tc>
          <w:tcPr>
            <w:tcW w:w="27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1.属于国家秘密</w:t>
            </w:r>
          </w:p>
        </w:tc>
        <w:tc>
          <w:tcPr>
            <w:tcW w:w="8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1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9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1396"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27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2.其他法律行政法规禁止公开</w:t>
            </w:r>
          </w:p>
        </w:tc>
        <w:tc>
          <w:tcPr>
            <w:tcW w:w="8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9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1396"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27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3.危及“三安全一稳定”</w:t>
            </w:r>
          </w:p>
        </w:tc>
        <w:tc>
          <w:tcPr>
            <w:tcW w:w="8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9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1396"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27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4.保护第三方合法权益</w:t>
            </w:r>
          </w:p>
        </w:tc>
        <w:tc>
          <w:tcPr>
            <w:tcW w:w="8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9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1396"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27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5.属于三类内部事务信息</w:t>
            </w:r>
          </w:p>
        </w:tc>
        <w:tc>
          <w:tcPr>
            <w:tcW w:w="8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9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1396"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27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6.属于四类过程性信息</w:t>
            </w:r>
          </w:p>
        </w:tc>
        <w:tc>
          <w:tcPr>
            <w:tcW w:w="8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9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1396"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27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7.属于行政执法案卷</w:t>
            </w:r>
          </w:p>
        </w:tc>
        <w:tc>
          <w:tcPr>
            <w:tcW w:w="8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9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1396"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27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8.属于行政查询事项</w:t>
            </w:r>
          </w:p>
        </w:tc>
        <w:tc>
          <w:tcPr>
            <w:tcW w:w="8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9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139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107"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（四）无法提供</w:t>
            </w:r>
          </w:p>
        </w:tc>
        <w:tc>
          <w:tcPr>
            <w:tcW w:w="27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1.本机关不掌握相关政府信息</w:t>
            </w:r>
          </w:p>
        </w:tc>
        <w:tc>
          <w:tcPr>
            <w:tcW w:w="8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9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1396"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27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2.没有现成信息需要另行制作</w:t>
            </w:r>
          </w:p>
        </w:tc>
        <w:tc>
          <w:tcPr>
            <w:tcW w:w="8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9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1396"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27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3.补正后申请内容仍不明确</w:t>
            </w:r>
          </w:p>
        </w:tc>
        <w:tc>
          <w:tcPr>
            <w:tcW w:w="8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9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139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107"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（五）不予处理</w:t>
            </w:r>
          </w:p>
        </w:tc>
        <w:tc>
          <w:tcPr>
            <w:tcW w:w="27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1.信访举报投诉类申请</w:t>
            </w:r>
          </w:p>
        </w:tc>
        <w:tc>
          <w:tcPr>
            <w:tcW w:w="8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9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1396"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27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2.重复申请</w:t>
            </w:r>
          </w:p>
        </w:tc>
        <w:tc>
          <w:tcPr>
            <w:tcW w:w="8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9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1396"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27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3.要求提供公开出版物</w:t>
            </w:r>
          </w:p>
        </w:tc>
        <w:tc>
          <w:tcPr>
            <w:tcW w:w="8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69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1396"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27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4.无正当理由大量反复申请</w:t>
            </w:r>
          </w:p>
        </w:tc>
        <w:tc>
          <w:tcPr>
            <w:tcW w:w="8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9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1396"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27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5.要求行政机关确认或重新</w:t>
            </w:r>
          </w:p>
          <w:p>
            <w:pPr>
              <w:keepNext w:val="0"/>
              <w:keepLines w:val="0"/>
              <w:widowControl/>
              <w:suppressLineNumbers w:val="0"/>
              <w:spacing w:before="0" w:beforeAutospacing="0" w:after="0" w:afterAutospacing="0" w:line="300" w:lineRule="atLeast"/>
              <w:ind w:left="0" w:right="0" w:firstLine="20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出具已获取信息</w:t>
            </w:r>
          </w:p>
        </w:tc>
        <w:tc>
          <w:tcPr>
            <w:tcW w:w="8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69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4158"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（六）其他处理</w:t>
            </w:r>
          </w:p>
        </w:tc>
        <w:tc>
          <w:tcPr>
            <w:tcW w:w="8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69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4158"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（七）总计</w:t>
            </w:r>
          </w:p>
        </w:tc>
        <w:tc>
          <w:tcPr>
            <w:tcW w:w="8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2</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2</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856"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四、结转下年度继续办理</w:t>
            </w:r>
          </w:p>
        </w:tc>
        <w:tc>
          <w:tcPr>
            <w:tcW w:w="8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0</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5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0</w:t>
            </w:r>
          </w:p>
        </w:tc>
      </w:tr>
    </w:tbl>
    <w:p>
      <w:pPr>
        <w:pStyle w:val="2"/>
        <w:keepNext w:val="0"/>
        <w:keepLines w:val="0"/>
        <w:widowControl/>
        <w:suppressLineNumbers w:val="0"/>
        <w:shd w:val="clear" w:fill="FFFFFF"/>
        <w:spacing w:before="0" w:beforeAutospacing="0" w:after="0" w:afterAutospacing="0" w:line="15" w:lineRule="atLeast"/>
        <w:ind w:left="0" w:firstLine="0"/>
        <w:jc w:val="both"/>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shd w:val="clear" w:fill="FFFFFF"/>
        </w:rPr>
        <w:t>四、政府信息公开行政复议、行政诉讼情况</w:t>
      </w:r>
    </w:p>
    <w:p>
      <w:pPr>
        <w:pStyle w:val="2"/>
        <w:keepNext w:val="0"/>
        <w:keepLines w:val="0"/>
        <w:widowControl/>
        <w:suppressLineNumbers w:val="0"/>
        <w:shd w:val="clear" w:fill="FFFFFF"/>
        <w:spacing w:before="0" w:beforeAutospacing="0" w:after="0" w:afterAutospacing="0" w:line="15" w:lineRule="atLeast"/>
        <w:ind w:left="0" w:firstLine="0"/>
        <w:jc w:val="both"/>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shd w:val="clear" w:fill="FFFFFF"/>
        </w:rPr>
        <w:t> </w:t>
      </w:r>
    </w:p>
    <w:tbl>
      <w:tblPr>
        <w:tblStyle w:val="4"/>
        <w:tblW w:w="9071" w:type="dxa"/>
        <w:jc w:val="center"/>
        <w:tblInd w:w="-274" w:type="dxa"/>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行政诉讼</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149" w:right="-17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结果</w:t>
            </w:r>
          </w:p>
          <w:p>
            <w:pPr>
              <w:keepNext w:val="0"/>
              <w:keepLines w:val="0"/>
              <w:widowControl/>
              <w:suppressLineNumbers w:val="0"/>
              <w:spacing w:before="0" w:beforeAutospacing="0" w:after="0" w:afterAutospacing="0" w:line="15" w:lineRule="atLeast"/>
              <w:ind w:left="-149" w:right="-17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维持</w:t>
            </w:r>
          </w:p>
        </w:tc>
        <w:tc>
          <w:tcPr>
            <w:tcW w:w="60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43" w:right="-132" w:hanging="1"/>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81" w:right="-96"/>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117" w:right="-117"/>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尚未</w:t>
            </w:r>
          </w:p>
          <w:p>
            <w:pPr>
              <w:keepNext w:val="0"/>
              <w:keepLines w:val="0"/>
              <w:widowControl/>
              <w:suppressLineNumbers w:val="0"/>
              <w:spacing w:before="0" w:beforeAutospacing="0" w:after="0" w:afterAutospacing="0" w:line="15" w:lineRule="atLeast"/>
              <w:ind w:left="-117" w:right="-117"/>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审结</w:t>
            </w:r>
          </w:p>
        </w:tc>
        <w:tc>
          <w:tcPr>
            <w:tcW w:w="658"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总</w:t>
            </w:r>
          </w:p>
          <w:p>
            <w:pPr>
              <w:keepNext w:val="0"/>
              <w:keepLines w:val="0"/>
              <w:widowControl/>
              <w:suppressLineNumbers w:val="0"/>
              <w:spacing w:before="0" w:beforeAutospacing="0" w:after="0" w:afterAutospacing="0" w:line="32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计</w:t>
            </w:r>
          </w:p>
        </w:tc>
        <w:tc>
          <w:tcPr>
            <w:tcW w:w="2970"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复议后起诉</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604"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仿宋_GB2312" w:hAnsi="仿宋_GB2312" w:eastAsia="仿宋_GB2312" w:cs="仿宋_GB2312"/>
                <w:caps w:val="0"/>
                <w:spacing w:val="0"/>
                <w:sz w:val="24"/>
                <w:szCs w:val="24"/>
              </w:rPr>
            </w:pPr>
          </w:p>
        </w:tc>
        <w:tc>
          <w:tcPr>
            <w:tcW w:w="5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105" w:right="-126"/>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结果维持</w:t>
            </w:r>
          </w:p>
        </w:tc>
        <w:tc>
          <w:tcPr>
            <w:tcW w:w="6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86" w:right="-88"/>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126" w:right="-136"/>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其他</w:t>
            </w:r>
          </w:p>
          <w:p>
            <w:pPr>
              <w:keepNext w:val="0"/>
              <w:keepLines w:val="0"/>
              <w:widowControl/>
              <w:suppressLineNumbers w:val="0"/>
              <w:spacing w:before="0" w:beforeAutospacing="0" w:after="0" w:afterAutospacing="0" w:line="15" w:lineRule="atLeast"/>
              <w:ind w:left="-126" w:right="-136"/>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结果</w:t>
            </w:r>
          </w:p>
        </w:tc>
        <w:tc>
          <w:tcPr>
            <w:tcW w:w="60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163" w:right="-153"/>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尚未</w:t>
            </w:r>
          </w:p>
          <w:p>
            <w:pPr>
              <w:keepNext w:val="0"/>
              <w:keepLines w:val="0"/>
              <w:widowControl/>
              <w:suppressLineNumbers w:val="0"/>
              <w:spacing w:before="0" w:beforeAutospacing="0" w:after="0" w:afterAutospacing="0" w:line="15" w:lineRule="atLeast"/>
              <w:ind w:left="-163" w:right="-153"/>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审结</w:t>
            </w:r>
          </w:p>
        </w:tc>
        <w:tc>
          <w:tcPr>
            <w:tcW w:w="60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98" w:right="-77"/>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136" w:right="-123"/>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结果</w:t>
            </w:r>
          </w:p>
          <w:p>
            <w:pPr>
              <w:keepNext w:val="0"/>
              <w:keepLines w:val="0"/>
              <w:widowControl/>
              <w:suppressLineNumbers w:val="0"/>
              <w:spacing w:before="0" w:beforeAutospacing="0" w:after="0" w:afterAutospacing="0" w:line="15" w:lineRule="atLeast"/>
              <w:ind w:left="-136" w:right="-123"/>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纠正</w:t>
            </w:r>
          </w:p>
        </w:tc>
        <w:tc>
          <w:tcPr>
            <w:tcW w:w="60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173" w:right="-134" w:hanging="1"/>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其他</w:t>
            </w:r>
          </w:p>
          <w:p>
            <w:pPr>
              <w:keepNext w:val="0"/>
              <w:keepLines w:val="0"/>
              <w:widowControl/>
              <w:suppressLineNumbers w:val="0"/>
              <w:spacing w:before="0" w:beforeAutospacing="0" w:after="0" w:afterAutospacing="0" w:line="15" w:lineRule="atLeast"/>
              <w:ind w:left="-173" w:right="-134" w:hanging="1"/>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结果</w:t>
            </w:r>
          </w:p>
        </w:tc>
        <w:tc>
          <w:tcPr>
            <w:tcW w:w="60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67" w:right="-105" w:hanging="2"/>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总计</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PrEx>
        <w:trPr>
          <w:jc w:val="center"/>
        </w:trPr>
        <w:tc>
          <w:tcPr>
            <w:tcW w:w="6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0 </w:t>
            </w:r>
          </w:p>
        </w:tc>
        <w:tc>
          <w:tcPr>
            <w:tcW w:w="5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180" w:afterAutospacing="0" w:line="15"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 </w:t>
            </w:r>
          </w:p>
        </w:tc>
        <w:tc>
          <w:tcPr>
            <w:tcW w:w="6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caps w:val="0"/>
                <w:spacing w:val="0"/>
                <w:kern w:val="0"/>
                <w:sz w:val="24"/>
                <w:szCs w:val="24"/>
                <w:lang w:val="en-US" w:eastAsia="zh-CN" w:bidi="ar"/>
              </w:rPr>
              <w:t>0</w:t>
            </w:r>
          </w:p>
        </w:tc>
      </w:tr>
    </w:tbl>
    <w:p>
      <w:pPr>
        <w:pStyle w:val="2"/>
        <w:keepNext w:val="0"/>
        <w:keepLines w:val="0"/>
        <w:widowControl/>
        <w:suppressLineNumbers w:val="0"/>
        <w:shd w:val="clear" w:fill="FFFFFF"/>
        <w:spacing w:before="0" w:beforeAutospacing="0" w:after="0" w:afterAutospacing="0" w:line="15" w:lineRule="atLeast"/>
        <w:ind w:left="0" w:firstLine="0"/>
        <w:jc w:val="both"/>
        <w:rPr>
          <w:rFonts w:hint="eastAsia" w:ascii="仿宋_GB2312" w:hAnsi="仿宋_GB2312" w:eastAsia="仿宋_GB2312" w:cs="仿宋_GB2312"/>
          <w:b w:val="0"/>
          <w:i w:val="0"/>
          <w:caps w:val="0"/>
          <w:color w:val="000000"/>
          <w:spacing w:val="0"/>
          <w:sz w:val="32"/>
          <w:szCs w:val="32"/>
        </w:rPr>
      </w:pPr>
      <w:r>
        <w:rPr>
          <w:rFonts w:hint="eastAsia" w:ascii="黑体" w:hAnsi="黑体" w:eastAsia="黑体" w:cs="黑体"/>
          <w:b w:val="0"/>
          <w:i w:val="0"/>
          <w:caps w:val="0"/>
          <w:color w:val="000000"/>
          <w:spacing w:val="0"/>
          <w:sz w:val="32"/>
          <w:szCs w:val="32"/>
          <w:shd w:val="clear" w:fill="FFFFFF"/>
        </w:rPr>
        <w:t>五、存在的主要问题及改进情况</w:t>
      </w:r>
    </w:p>
    <w:p>
      <w:pPr>
        <w:pStyle w:val="2"/>
        <w:keepNext w:val="0"/>
        <w:keepLines w:val="0"/>
        <w:widowControl/>
        <w:suppressLineNumbers w:val="0"/>
        <w:shd w:val="clear" w:fill="FFFFFF"/>
        <w:spacing w:before="0" w:beforeAutospacing="0" w:after="0" w:afterAutospacing="0" w:line="15" w:lineRule="atLeast"/>
        <w:ind w:left="0" w:firstLine="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rPr>
        <w:t>（一）存在的主要问题</w:t>
      </w:r>
    </w:p>
    <w:p>
      <w:pPr>
        <w:pStyle w:val="2"/>
        <w:keepNext w:val="0"/>
        <w:keepLines w:val="0"/>
        <w:widowControl/>
        <w:suppressLineNumbers w:val="0"/>
        <w:shd w:val="clear" w:fill="FFFFFF"/>
        <w:spacing w:before="0" w:beforeAutospacing="0" w:after="0" w:afterAutospacing="0" w:line="15" w:lineRule="atLeast"/>
        <w:ind w:left="0" w:firstLine="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2019年，我局虽然狠抓了政府信息公开工作，促进了各项工作的开展，但与上级的要求相比还有一定的差距，在如何进一步深化公开内容、拓展公开形式、加强宣传和培训等方面还存在不足。</w:t>
      </w:r>
    </w:p>
    <w:p>
      <w:pPr>
        <w:pStyle w:val="2"/>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rPr>
        <w:t>（二）改进措施</w:t>
      </w:r>
    </w:p>
    <w:p>
      <w:pPr>
        <w:pStyle w:val="2"/>
        <w:keepNext w:val="0"/>
        <w:keepLines w:val="0"/>
        <w:widowControl/>
        <w:suppressLineNumbers w:val="0"/>
        <w:shd w:val="clear" w:fill="FFFFFF"/>
        <w:spacing w:before="0" w:beforeAutospacing="0" w:after="0" w:afterAutospacing="0" w:line="15" w:lineRule="atLeast"/>
        <w:ind w:left="0" w:firstLine="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2020年，我局将继续认真贯彻落实政府信息公开工作要求，全面推进财政信息公开工作。一是进一步提高对信息公开工作重要性的认识，将信息公开工作切实落实到日常工作安排中；二是明确全年工作重点，不断提高主动公开、依申请公开工作的规范化程度，及时妥善解决对本单位信息公开提出的复议、诉讼和申诉，及时反馈结果，使信息公开工作进一步得到贯彻和落实。三是进一步发挥政府网站信息公开第一平台功能，最大程度方便群众获取财政信息，主动、及时回应公众关切，增强信息公开实效。</w:t>
      </w:r>
    </w:p>
    <w:p>
      <w:pPr>
        <w:pStyle w:val="2"/>
        <w:keepNext w:val="0"/>
        <w:keepLines w:val="0"/>
        <w:widowControl/>
        <w:suppressLineNumbers w:val="0"/>
        <w:shd w:val="clear" w:fill="FFFFFF"/>
        <w:spacing w:before="0" w:beforeAutospacing="0" w:after="0" w:afterAutospacing="0" w:line="15" w:lineRule="atLeast"/>
        <w:ind w:left="0" w:firstLine="0"/>
        <w:jc w:val="both"/>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shd w:val="clear" w:fill="FFFFFF"/>
        </w:rPr>
        <w:t>六、其他需要报告的事项</w:t>
      </w:r>
    </w:p>
    <w:p>
      <w:pPr>
        <w:pStyle w:val="2"/>
        <w:keepNext w:val="0"/>
        <w:keepLines w:val="0"/>
        <w:widowControl/>
        <w:suppressLineNumbers w:val="0"/>
        <w:shd w:val="clear" w:fill="FFFFFF"/>
        <w:spacing w:before="0" w:beforeAutospacing="0" w:after="0" w:afterAutospacing="0" w:line="15" w:lineRule="atLeast"/>
        <w:ind w:left="0" w:firstLine="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无。</w:t>
      </w:r>
    </w:p>
    <w:p>
      <w:pPr>
        <w:pStyle w:val="2"/>
        <w:keepNext w:val="0"/>
        <w:keepLines w:val="0"/>
        <w:widowControl/>
        <w:suppressLineNumbers w:val="0"/>
        <w:shd w:val="clear" w:fill="FFFFFF"/>
        <w:spacing w:before="0" w:beforeAutospacing="0" w:after="0" w:afterAutospacing="0" w:line="15" w:lineRule="atLeast"/>
        <w:ind w:left="0" w:firstLine="0"/>
        <w:jc w:val="both"/>
        <w:rPr>
          <w:rFonts w:hint="eastAsia" w:ascii="仿宋_GB2312" w:hAnsi="仿宋_GB2312" w:eastAsia="仿宋_GB2312" w:cs="仿宋_GB2312"/>
          <w:b w:val="0"/>
          <w:i w:val="0"/>
          <w:caps w:val="0"/>
          <w:color w:val="000000"/>
          <w:spacing w:val="0"/>
          <w:sz w:val="32"/>
          <w:szCs w:val="32"/>
          <w:shd w:val="clear" w:fill="FFFFFF"/>
        </w:rPr>
      </w:pPr>
      <w:r>
        <w:rPr>
          <w:rFonts w:hint="eastAsia" w:ascii="仿宋_GB2312" w:hAnsi="仿宋_GB2312" w:eastAsia="仿宋_GB2312" w:cs="仿宋_GB2312"/>
          <w:b w:val="0"/>
          <w:i w:val="0"/>
          <w:caps w:val="0"/>
          <w:color w:val="000000"/>
          <w:spacing w:val="0"/>
          <w:sz w:val="32"/>
          <w:szCs w:val="32"/>
          <w:shd w:val="clear" w:fill="FFFFFF"/>
        </w:rPr>
        <w:t>         </w:t>
      </w:r>
    </w:p>
    <w:p>
      <w:pPr>
        <w:pStyle w:val="2"/>
        <w:keepNext w:val="0"/>
        <w:keepLines w:val="0"/>
        <w:widowControl/>
        <w:suppressLineNumbers w:val="0"/>
        <w:shd w:val="clear" w:fill="FFFFFF"/>
        <w:spacing w:before="0" w:beforeAutospacing="0" w:after="0" w:afterAutospacing="0" w:line="15" w:lineRule="atLeast"/>
        <w:ind w:left="0" w:firstLine="0"/>
        <w:jc w:val="both"/>
        <w:rPr>
          <w:rFonts w:hint="eastAsia" w:ascii="仿宋_GB2312" w:hAnsi="仿宋_GB2312" w:eastAsia="仿宋_GB2312" w:cs="仿宋_GB2312"/>
          <w:b w:val="0"/>
          <w:i w:val="0"/>
          <w:caps w:val="0"/>
          <w:color w:val="000000"/>
          <w:spacing w:val="0"/>
          <w:sz w:val="32"/>
          <w:szCs w:val="32"/>
          <w:shd w:val="clear" w:fill="FFFFFF"/>
        </w:rPr>
      </w:pPr>
    </w:p>
    <w:p>
      <w:pPr>
        <w:pStyle w:val="2"/>
        <w:keepNext w:val="0"/>
        <w:keepLines w:val="0"/>
        <w:widowControl/>
        <w:suppressLineNumbers w:val="0"/>
        <w:shd w:val="clear" w:fill="FFFFFF"/>
        <w:spacing w:before="0" w:beforeAutospacing="0" w:after="0" w:afterAutospacing="0" w:line="15" w:lineRule="atLeast"/>
        <w:ind w:left="0" w:firstLine="0"/>
        <w:jc w:val="both"/>
        <w:rPr>
          <w:rFonts w:hint="eastAsia" w:ascii="仿宋_GB2312" w:hAnsi="仿宋_GB2312" w:eastAsia="仿宋_GB2312" w:cs="仿宋_GB2312"/>
          <w:b w:val="0"/>
          <w:i w:val="0"/>
          <w:caps w:val="0"/>
          <w:color w:val="000000"/>
          <w:spacing w:val="0"/>
          <w:sz w:val="32"/>
          <w:szCs w:val="32"/>
          <w:shd w:val="clear" w:fill="FFFFFF"/>
        </w:rPr>
      </w:pPr>
    </w:p>
    <w:p>
      <w:pPr>
        <w:pStyle w:val="2"/>
        <w:keepNext w:val="0"/>
        <w:keepLines w:val="0"/>
        <w:widowControl/>
        <w:suppressLineNumbers w:val="0"/>
        <w:shd w:val="clear" w:fill="FFFFFF"/>
        <w:spacing w:before="0" w:beforeAutospacing="0" w:after="0" w:afterAutospacing="0" w:line="15" w:lineRule="atLeast"/>
        <w:ind w:left="0" w:firstLine="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rPr>
        <w:t>                                         昌乐县财政局</w:t>
      </w:r>
    </w:p>
    <w:p>
      <w:pPr>
        <w:pStyle w:val="2"/>
        <w:keepNext w:val="0"/>
        <w:keepLines w:val="0"/>
        <w:widowControl/>
        <w:suppressLineNumbers w:val="0"/>
        <w:shd w:val="clear" w:fill="FFFFFF"/>
        <w:spacing w:before="0" w:beforeAutospacing="0" w:after="0" w:afterAutospacing="0" w:line="15" w:lineRule="atLeast"/>
        <w:ind w:left="0" w:firstLine="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rPr>
        <w:t>                                         2020年1月17日</w:t>
      </w:r>
    </w:p>
    <w:p>
      <w:pP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B44CA5"/>
    <w:rsid w:val="5BEC2E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2021-02-07T03:46:48Z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