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文星标宋" w:hAnsi="文星标宋" w:eastAsia="文星标宋" w:cs="文星标宋"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文星标宋" w:hAnsi="文星标宋" w:eastAsia="文星标宋" w:cs="文星标宋"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昌乐县司法局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文星标宋" w:hAnsi="文星标宋" w:eastAsia="文星标宋" w:cs="文星标宋"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文星标宋" w:hAnsi="文星标宋" w:eastAsia="文星标宋" w:cs="文星标宋"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2020年政府信息公开工作年度报告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中华人民共和国政府信息公开条例》《山东省政府信息公开办法》《昌乐县人民政府办公室关于做好2020年政府信息公开工作年度报告编制发布和报送工作的通知》要求，结合我局实际，编制并向社会公布昌乐县司法局2020年政府信息公开工作年度报告。本年度报告中所列数据的统计期限自2020年1月1日起，至2020年12月31日止。如对本报告有疑问，请联系昌乐县司法局办公室，联系电话:0536-6222932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宋体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一、总体情况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，县司法局认真贯彻落实党中央、国务院和省、市、县关于政府信息公开工作的部署要求，围绕全县中心工作大局，立足职能优势，加大政务公开力度、拓宽政务公开渠道、强化重点领域信息公开，进一步提高政务公开质量，为经济社会高质量发展提供坚强法治保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主动公开情况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截止2020年12月31日，主动公开政府信息383条。其中，通过政府信息公开专栏主动公开政府信息103条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；官方“两微”平台“昌乐普法”共发布信息280条。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其中,概况信息4条，法规文件及解读2条，规范性文件备案及效力信息4条，行政执法及信用信息8条，人大建议政协提案3条，其他重点领域信息3条，业务信息及其他类信息359条。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1.及时公开行政法规、规章和规范性文件。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根据《政府信息公开条例》第二十条第（一）款要求，及时更新行政法规、规章和规范性信息。每季度公开一次昌乐县政府行政规范性文件备案目录。方便公众了解与生活学习息息相关的政策文件的效力情况。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6002655" cy="3865880"/>
            <wp:effectExtent l="0" t="0" r="17145" b="1270"/>
            <wp:docPr id="7" name="图片 7" descr="规范性文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规范性文件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02655" cy="386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2.及时公开机构概况。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根据《政府信息公开条例》第二十条第（二）款要求，及时更新机构信息、联系方式、负责政府信息公开领导姓名等信息，并在县政府信息公开专栏和局机关网站公布。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261610" cy="1563370"/>
            <wp:effectExtent l="0" t="0" r="15240" b="17780"/>
            <wp:docPr id="8" name="图片 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1563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273675" cy="1544955"/>
            <wp:effectExtent l="0" t="0" r="3175" b="17145"/>
            <wp:docPr id="11" name="图片 1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544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269865" cy="1526540"/>
            <wp:effectExtent l="0" t="0" r="6985" b="16510"/>
            <wp:docPr id="12" name="图片 1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52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drawing>
          <wp:inline distT="0" distB="0" distL="114300" distR="114300">
            <wp:extent cx="5268595" cy="1985645"/>
            <wp:effectExtent l="0" t="0" r="8255" b="14605"/>
            <wp:docPr id="13" name="图片 1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98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3.及时公开行政执法信息。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根据《政府信息公开条例》第二十条第（六）款要求，及时公开行政处罚决定。结合我局实际，2020年我局对辖区内律师事务所、律师、律师协会；公证机构、公证员；司法鉴定机构、司法鉴定人进行了随机抽查。共计抽查了3家律所、8个基层法律服务所、40名律师、37名基层法律服务工作者，1家公证机构、7名公证员、1家司法鉴定所、8名司法鉴定人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实施行政处罚案件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件，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人次受到警告的行政处罚。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drawing>
          <wp:inline distT="0" distB="0" distL="114300" distR="114300">
            <wp:extent cx="5264785" cy="2191385"/>
            <wp:effectExtent l="0" t="0" r="12065" b="18415"/>
            <wp:docPr id="15" name="图片 15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19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4.推进重点领域信息公开。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一是动态公开优化营商环境信息。</w:t>
      </w:r>
      <w:r>
        <w:rPr>
          <w:rFonts w:hint="eastAsia" w:ascii="仿宋_GB2312" w:hAnsi="仿宋_GB2312" w:eastAsia="仿宋_GB2312" w:cs="仿宋_GB2312"/>
          <w:strike w:val="0"/>
          <w:dstrike w:val="0"/>
          <w:kern w:val="2"/>
          <w:sz w:val="32"/>
          <w:szCs w:val="32"/>
          <w:lang w:val="en-US" w:eastAsia="zh-CN" w:bidi="ar-SA"/>
        </w:rPr>
        <w:t>及时公开政务服务事项清单、办事指南及办事结果清单。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在政府信息公开专栏主动公开查询链接，方便社会公众知晓。二是定期发布政府工作报告进展成效及举措及年度重点工作信息，每季度公开工作计划、措施及成果，公开工作进展情况。三是公开行政执法信息和信用信息。公开行政执法主体、职责、依据等，公布行政执法流程图，及时公示行政执法结果信息。四是公开“双随机、一公开”监管信息。制定2020年“双随机、一公开”监管随机抽查事项清单，拟定年度抽查计划，及时公开抽查结果信息，接受社会监督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1905</wp:posOffset>
            </wp:positionV>
            <wp:extent cx="5266690" cy="2237740"/>
            <wp:effectExtent l="0" t="0" r="10160" b="10160"/>
            <wp:wrapNone/>
            <wp:docPr id="14" name="图片 1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237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5.加强政策解读。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按照“谁起草、谁解读”的原则，同步制定发布政策解读文件3件，就重大政策文件和社会公众关注的问题进行深入解读。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drawing>
          <wp:inline distT="0" distB="0" distL="114300" distR="114300">
            <wp:extent cx="5266690" cy="2272665"/>
            <wp:effectExtent l="0" t="0" r="10160" b="13335"/>
            <wp:docPr id="16" name="图片 1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27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（二）依申请公开情况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1.依申请公开情况。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县司法局2020年共收到政府信息公开申请0件。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2.申请处理情况。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共答复政府信息公开申请0件。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3.申请行政复议、提起行政诉讼情况。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全年未发生因政府信息公开被行政复议、提起行政诉讼情况。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（三）政府信息管理情况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1.不断建立健全政务公开制度保障。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为进一步规范政府信息公开工作，县司法局制定了《昌乐县司法局2020年政务公开工作实施方案》等制度文件，完善各项政府信息公开制度措施，为政府信息公开工作顺利开展提供了制度保障。及时落实上级部署工作。不断完善政府信息公开工作指南和公开目录，定期进行检查，及时更新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2.严格落实政府信息公开保密审查制度。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认真落实《中华人民共和国保守国家秘密法》《中华人民共和国政府信息公开条例》等规定。规范审查流程，对拟公开的政府信息实行工作人员、科室负责人、分管领导三重把关，确保所有公开信息经审核后公开，无遗漏涉密信息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　 （四）平台建设情况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1.加大新媒体普法力度。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以《昌乐日报》、广播电台“法治讲堂”等传统媒体普法为基础，抖音号、头条号、公众号等新媒体一体推进，采取以案释法形式，编制普法小短剧，定期开展线上法律服务直播，在线解答群众咨询，拓展普法覆盖面和传播力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2.进一步优化政府信息公开平台。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按照县政府政务公开办公室要求，更改局网站政务公开板块。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不断完善网站栏目构架，力争打造“简明、便民、全面”的门户网站。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    </w:t>
      </w: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（五）机构建设及人员配置情况。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     明确信息公开工作分管负责人，全面负责做好局机关政府信息公开管理工作，办公室为信息公开工作机构，并安排专人具体负责，同时，局内各科室、单位也将信息公开工作作为日常工作的规定动作，适合公开发布的信息及时主动报送办公室，确保信息准确性和时效性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　　</w:t>
      </w: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（六）监督保障情况。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1.强化考核监督。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坚持提高站位，将政府信息公开工作，纳入科级及以下干部年度考核体系，激发局机关政府信息公开工作积极性和主动性。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2.完善工作机制。</w:t>
      </w:r>
      <w:r>
        <w:rPr>
          <w:rFonts w:hint="eastAsia" w:ascii="仿宋_GB2312" w:hAnsi="仿宋_GB2312" w:eastAsia="仿宋_GB2312" w:cs="仿宋_GB2312"/>
          <w:sz w:val="32"/>
          <w:szCs w:val="32"/>
        </w:rPr>
        <w:t>将政府信息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发布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工作列入全年工作任务考核目标。梳理完成《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县司法</w:t>
      </w:r>
      <w:r>
        <w:rPr>
          <w:rFonts w:hint="eastAsia" w:ascii="仿宋_GB2312" w:hAnsi="仿宋_GB2312" w:eastAsia="仿宋_GB2312" w:cs="仿宋_GB2312"/>
          <w:sz w:val="32"/>
          <w:szCs w:val="32"/>
        </w:rPr>
        <w:t>局政府信息主动公开基本目录》，进一步明确局系统政府信息公开的内容、时限、形式、主体等要素。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3.抓好队伍培训。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积极参加县政府组织的政府信息公开工作会议和业务培训，主动对各科室单位政府信息公开工作负责人进行培训，切实提高对政府信息公开工作的认识水平和工作能力。   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   </w:t>
      </w: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 xml:space="preserve"> （七）人大建议、政协提案办理情况。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497"/>
        <w:jc w:val="left"/>
        <w:textAlignment w:val="auto"/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</w:rPr>
        <w:t>我局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</w:rPr>
        <w:t>认真落实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</w:rPr>
        <w:t>人大代表建议及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</w:rPr>
        <w:t>政协提案办理结果公开的相关规定，健全完善办理结果公开机制，广泛接受监督。严格按照办理时限要求，分阶段及时反馈，并根据办理工作进展情况，开展督促检查。对于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</w:rPr>
        <w:t>所有建议、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</w:rPr>
        <w:t>提案，均以正式文件书面答复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</w:rPr>
        <w:t>代表、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</w:rPr>
        <w:t>委员；对于协办的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</w:rPr>
        <w:t>建议、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</w:rPr>
        <w:t>提案，均以正式文件书面反馈主办单位。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left"/>
        <w:textAlignment w:val="auto"/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drawing>
          <wp:inline distT="0" distB="0" distL="114300" distR="114300">
            <wp:extent cx="5273675" cy="2087245"/>
            <wp:effectExtent l="0" t="0" r="3175" b="825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08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4"/>
        <w:widowControl/>
        <w:numPr>
          <w:ilvl w:val="0"/>
          <w:numId w:val="2"/>
        </w:numPr>
        <w:shd w:val="clear" w:color="auto" w:fill="FFFFFF"/>
        <w:spacing w:beforeAutospacing="0" w:after="240" w:afterAutospacing="0"/>
        <w:ind w:right="0" w:rightChars="0" w:firstLine="640" w:firstLineChars="200"/>
        <w:jc w:val="both"/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主动公开政府信息情况</w:t>
      </w:r>
    </w:p>
    <w:tbl>
      <w:tblPr>
        <w:tblStyle w:val="5"/>
        <w:tblW w:w="8708" w:type="dxa"/>
        <w:jc w:val="center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73"/>
        <w:gridCol w:w="17"/>
        <w:gridCol w:w="2095"/>
        <w:gridCol w:w="1505"/>
        <w:gridCol w:w="2018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870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11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本年新制作数量</w:t>
            </w:r>
          </w:p>
        </w:tc>
        <w:tc>
          <w:tcPr>
            <w:tcW w:w="15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本年新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公开数量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对外公开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规章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规范性文件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0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11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15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本年增/减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行政许可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其他对外管理服务事项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870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11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15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本年增/减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行政处罚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行政强制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70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352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行政事业性收费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70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309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采购项目数量</w:t>
            </w:r>
          </w:p>
        </w:tc>
        <w:tc>
          <w:tcPr>
            <w:tcW w:w="352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309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政府集中采购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25.82万元</w:t>
            </w:r>
            <w:bookmarkStart w:id="0" w:name="_GoBack"/>
            <w:bookmarkEnd w:id="0"/>
          </w:p>
        </w:tc>
      </w:tr>
    </w:tbl>
    <w:p>
      <w:pPr>
        <w:pStyle w:val="4"/>
        <w:widowControl/>
        <w:shd w:val="clear" w:color="auto" w:fill="FFFFFF"/>
        <w:spacing w:beforeAutospacing="0" w:after="240" w:afterAutospacing="0"/>
        <w:ind w:left="-199" w:leftChars="-95" w:firstLine="620"/>
        <w:jc w:val="both"/>
        <w:rPr>
          <w:rFonts w:ascii="黑体" w:hAnsi="黑体" w:eastAsia="黑体" w:cs="黑体"/>
          <w:b w:val="0"/>
          <w:bCs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/>
          <w:color w:val="333333"/>
          <w:sz w:val="32"/>
          <w:szCs w:val="32"/>
          <w:shd w:val="clear" w:color="auto" w:fill="FFFFFF"/>
        </w:rPr>
        <w:t>三、</w:t>
      </w:r>
      <w:r>
        <w:rPr>
          <w:rFonts w:hint="eastAsia" w:ascii="黑体" w:hAnsi="黑体" w:eastAsia="黑体" w:cs="黑体"/>
          <w:b w:val="0"/>
          <w:bCs/>
          <w:color w:val="333333"/>
          <w:sz w:val="32"/>
          <w:szCs w:val="32"/>
          <w:shd w:val="clear" w:color="auto" w:fill="FFFFFF"/>
        </w:rPr>
        <w:t>收到和处理政府信息公开申请情况</w:t>
      </w:r>
    </w:p>
    <w:tbl>
      <w:tblPr>
        <w:tblStyle w:val="5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1418"/>
        <w:gridCol w:w="2835"/>
        <w:gridCol w:w="850"/>
        <w:gridCol w:w="567"/>
        <w:gridCol w:w="567"/>
        <w:gridCol w:w="567"/>
        <w:gridCol w:w="567"/>
        <w:gridCol w:w="540"/>
        <w:gridCol w:w="63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477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（本列数据的勾稽关系为：第一项加第二项之和，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等于第三项加第四项之和）</w:t>
            </w:r>
          </w:p>
        </w:tc>
        <w:tc>
          <w:tcPr>
            <w:tcW w:w="429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77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自然人</w:t>
            </w:r>
          </w:p>
        </w:tc>
        <w:tc>
          <w:tcPr>
            <w:tcW w:w="280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法人或其他组织</w:t>
            </w:r>
          </w:p>
        </w:tc>
        <w:tc>
          <w:tcPr>
            <w:tcW w:w="63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atLeast"/>
          <w:jc w:val="center"/>
        </w:trPr>
        <w:tc>
          <w:tcPr>
            <w:tcW w:w="477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6" w:leftChars="-51" w:right="-107" w:rightChars="-51" w:hanging="1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商业企业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7" w:leftChars="-51" w:right="-107" w:rightChars="-51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科研机构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7" w:leftChars="-51" w:right="-107" w:rightChars="-51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社会公益组织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6" w:leftChars="-51" w:right="-107" w:rightChars="-51" w:hanging="1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法律服务机构</w:t>
            </w:r>
          </w:p>
        </w:tc>
        <w:tc>
          <w:tcPr>
            <w:tcW w:w="5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left="-63" w:leftChars="-30" w:right="-134" w:rightChars="-64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其他</w:t>
            </w:r>
          </w:p>
        </w:tc>
        <w:tc>
          <w:tcPr>
            <w:tcW w:w="63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7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7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三、本年度办理结果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（一）予以公开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ind w:left="-107" w:leftChars="-51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（三）不予公开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1.属于国家秘密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2.其他法律行政法规禁止公开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3.危及“三安全一稳定”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4.保护第三方合法权益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5.属于三类内部事务信息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6.属于四类过程性信息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7.属于行政执法案卷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8.属于行政查询事项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ind w:left="-107" w:leftChars="-51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（四）无法提供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1.本机关不掌握相关政府信息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ind w:left="-107" w:leftChars="-51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2.没有现成信息需要另行制作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ind w:left="-107" w:leftChars="-51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3.补正后申请内容仍不明确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ind w:left="-107" w:leftChars="-51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（五）不予处理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1.信访举报投诉类申请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2.重复申请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3.要求提供公开出版物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4.无正当理由大量反复申请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5.要求行政机关确认或重新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10" w:firstLineChars="100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出具已获取信息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（六）其他处理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（七）总计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7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四、结转下年度继续办理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pStyle w:val="4"/>
        <w:widowControl/>
        <w:numPr>
          <w:ilvl w:val="0"/>
          <w:numId w:val="0"/>
        </w:numPr>
        <w:shd w:val="clear" w:color="auto" w:fill="FFFFFF"/>
        <w:spacing w:beforeAutospacing="0" w:afterAutospacing="0"/>
        <w:ind w:left="640" w:leftChars="0"/>
        <w:jc w:val="both"/>
        <w:rPr>
          <w:rFonts w:hint="eastAsia" w:ascii="黑体" w:hAnsi="黑体" w:eastAsia="黑体" w:cs="宋体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color w:val="333333"/>
          <w:sz w:val="32"/>
          <w:szCs w:val="32"/>
          <w:shd w:val="clear" w:color="auto" w:fill="FFFFFF"/>
          <w:lang w:eastAsia="zh-CN"/>
        </w:rPr>
        <w:t>四、</w:t>
      </w:r>
      <w:r>
        <w:rPr>
          <w:rFonts w:hint="eastAsia" w:ascii="黑体" w:hAnsi="黑体" w:eastAsia="黑体" w:cs="宋体"/>
          <w:color w:val="333333"/>
          <w:sz w:val="32"/>
          <w:szCs w:val="32"/>
          <w:shd w:val="clear" w:color="auto" w:fill="FFFFFF"/>
        </w:rPr>
        <w:t>政府信息公开行政复议、行政诉讼情况</w:t>
      </w:r>
    </w:p>
    <w:tbl>
      <w:tblPr>
        <w:tblStyle w:val="5"/>
        <w:tblW w:w="858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9"/>
        <w:gridCol w:w="519"/>
        <w:gridCol w:w="572"/>
        <w:gridCol w:w="600"/>
        <w:gridCol w:w="4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48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270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873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55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49" w:leftChars="-71" w:right="-170" w:rightChars="-81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ind w:left="-149" w:leftChars="-71" w:right="-170" w:rightChars="-81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维持</w:t>
            </w:r>
          </w:p>
        </w:tc>
        <w:tc>
          <w:tcPr>
            <w:tcW w:w="51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43" w:leftChars="-21" w:right="-132" w:rightChars="-63" w:hanging="1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57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82" w:leftChars="-39" w:right="-97" w:rightChars="-46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18" w:leftChars="-56" w:right="-118" w:rightChars="-56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ind w:left="-118" w:leftChars="-56" w:right="-118" w:rightChars="-56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审结</w:t>
            </w:r>
          </w:p>
        </w:tc>
        <w:tc>
          <w:tcPr>
            <w:tcW w:w="4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290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  <w:jc w:val="center"/>
        </w:trPr>
        <w:tc>
          <w:tcPr>
            <w:tcW w:w="5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1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7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05" w:leftChars="-50" w:right="-126" w:rightChars="-6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86" w:leftChars="-41" w:right="-88" w:rightChars="-42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26" w:leftChars="-60" w:right="-136" w:rightChars="-65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ind w:left="-126" w:leftChars="-60" w:right="-136" w:rightChars="-65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64" w:leftChars="-78" w:right="-153" w:rightChars="-73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ind w:left="-164" w:leftChars="-78" w:right="-153" w:rightChars="-73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99" w:leftChars="-47" w:right="-78" w:rightChars="-37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36" w:leftChars="-65" w:right="-124" w:rightChars="-59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ind w:left="-136" w:leftChars="-65" w:right="-124" w:rightChars="-59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73" w:leftChars="-83" w:right="-134" w:rightChars="-64" w:hanging="1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ind w:left="-173" w:leftChars="-83" w:right="-134" w:rightChars="-64" w:hanging="1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67" w:leftChars="-33" w:right="-105" w:rightChars="-50" w:hanging="2" w:hangingChars="1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4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559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  <w:jc w:val="center"/>
        </w:trPr>
        <w:tc>
          <w:tcPr>
            <w:tcW w:w="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640" w:leftChars="0"/>
        <w:jc w:val="both"/>
        <w:textAlignment w:val="auto"/>
        <w:rPr>
          <w:rFonts w:hint="eastAsia" w:ascii="黑体" w:hAnsi="黑体" w:eastAsia="黑体" w:cs="宋体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color w:val="333333"/>
          <w:sz w:val="32"/>
          <w:szCs w:val="32"/>
          <w:shd w:val="clear" w:color="auto" w:fill="FFFFFF"/>
          <w:lang w:eastAsia="zh-CN"/>
        </w:rPr>
        <w:t>五、</w:t>
      </w:r>
      <w:r>
        <w:rPr>
          <w:rFonts w:hint="eastAsia" w:ascii="黑体" w:hAnsi="黑体" w:eastAsia="黑体" w:cs="宋体"/>
          <w:color w:val="333333"/>
          <w:sz w:val="32"/>
          <w:szCs w:val="32"/>
          <w:shd w:val="clear" w:color="auto" w:fill="FFFFFF"/>
        </w:rPr>
        <w:t>存在的主要问题及改进情况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楷体_GB2312" w:hAnsi="楷体_GB2312" w:eastAsia="楷体_GB2312" w:cs="楷体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（一）2019年度政府信息公开工作存在问题整改情况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center"/>
        <w:rPr>
          <w:rFonts w:hint="default" w:ascii="文星仿宋" w:hAnsi="文星仿宋" w:eastAsia="文星仿宋" w:cs="文星仿宋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　</w:t>
      </w:r>
      <w:r>
        <w:rPr>
          <w:rFonts w:hint="eastAsia" w:ascii="Helvetica" w:hAnsi="Helvetica" w:eastAsia="Helvetica" w:cs="Helvetica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  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一是完善制度机制建设。完善推进政务公开工作的配套制度建设，规范落实政府信息主动公开和依申请公开工作的机制和流程，健全完善政府信息公开监督考核体系。二是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加强学习培训，提高业务技能，继续做好政府信息公开工作，提高政府工作的透明度，促进依法行政，充分发挥政府信息对人民群众生产、生活和经济社会活动的服务作用。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楷体_GB2312" w:hAnsi="楷体_GB2312" w:eastAsia="楷体_GB2312" w:cs="楷体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（二）2020年度政府信息公开工作存在的问题及整改措施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县司法局信息公开工作面临主要问题:一是主动公开力度还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不够;二是信息公开制度还需要进一步细化；三是公开平台建设还有待进一步完善。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下一步，县司法局将紧密结合法治政府建设中心工作，进一步强化信息发布工作机制，加大主动公开力度，切实提升信息发布的质量和水平；进一步转变理念，提高认识，重点加强与民生密切相关和社会高度关注的政府信息的发布与解读，让公众更好地了解司法行政各项政策、举措；进一步拓展公开渠道，加强重点领域的公开落实，加强新媒体舆论引导，及时回应热点和舆情，传播正能量，为社会公众提供优质的司法行政政务服务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ascii="黑体" w:hAnsi="黑体" w:eastAsia="黑体" w:cs="宋体"/>
          <w:color w:val="333333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sz w:val="32"/>
          <w:szCs w:val="32"/>
          <w:shd w:val="clear" w:color="auto" w:fill="FFFFFF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</w:rPr>
        <w:t>   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本年度报告中所列数据的统计期限从2020年1月1日到2020年12月31日止，报告电子版可查看附件。</w:t>
      </w:r>
    </w:p>
    <w:p>
      <w:pPr>
        <w:pStyle w:val="4"/>
        <w:widowControl/>
        <w:numPr>
          <w:ilvl w:val="0"/>
          <w:numId w:val="0"/>
        </w:numPr>
        <w:shd w:val="clear" w:color="auto" w:fill="FFFFFF"/>
        <w:spacing w:beforeAutospacing="0" w:after="240" w:afterAutospacing="0"/>
        <w:ind w:leftChars="200" w:right="0" w:rightChars="0"/>
        <w:jc w:val="both"/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星仿宋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Helvetica">
    <w:altName w:val="Arial"/>
    <w:panose1 w:val="020B0504020202030204"/>
    <w:charset w:val="00"/>
    <w:family w:val="auto"/>
    <w:pitch w:val="default"/>
    <w:sig w:usb0="00000000" w:usb1="00000000" w:usb2="00000000" w:usb3="00000000" w:csb0="00000093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E642A5"/>
    <w:multiLevelType w:val="singleLevel"/>
    <w:tmpl w:val="AAE642A5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8F3B986"/>
    <w:multiLevelType w:val="singleLevel"/>
    <w:tmpl w:val="28F3B986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E042C1"/>
    <w:rsid w:val="00857EB7"/>
    <w:rsid w:val="02CC67FB"/>
    <w:rsid w:val="0386515D"/>
    <w:rsid w:val="07E66349"/>
    <w:rsid w:val="08CC63B7"/>
    <w:rsid w:val="0F87139D"/>
    <w:rsid w:val="10BC3CDF"/>
    <w:rsid w:val="14F72F6F"/>
    <w:rsid w:val="18D55C09"/>
    <w:rsid w:val="1AC94D0F"/>
    <w:rsid w:val="1B3230EE"/>
    <w:rsid w:val="1E862DCB"/>
    <w:rsid w:val="21295704"/>
    <w:rsid w:val="21587BFF"/>
    <w:rsid w:val="228E1F19"/>
    <w:rsid w:val="238B0415"/>
    <w:rsid w:val="247B3E58"/>
    <w:rsid w:val="24E44C1F"/>
    <w:rsid w:val="2639072E"/>
    <w:rsid w:val="2808117D"/>
    <w:rsid w:val="283B51AC"/>
    <w:rsid w:val="283C0D39"/>
    <w:rsid w:val="28F42F11"/>
    <w:rsid w:val="2CA74CF5"/>
    <w:rsid w:val="31D4413D"/>
    <w:rsid w:val="32FA3DB0"/>
    <w:rsid w:val="357357D0"/>
    <w:rsid w:val="358F3A76"/>
    <w:rsid w:val="35F77C32"/>
    <w:rsid w:val="38FD7108"/>
    <w:rsid w:val="3AF45D25"/>
    <w:rsid w:val="3EC73AA4"/>
    <w:rsid w:val="409E6AD6"/>
    <w:rsid w:val="420E72DE"/>
    <w:rsid w:val="420F1362"/>
    <w:rsid w:val="421005CD"/>
    <w:rsid w:val="44A93DD1"/>
    <w:rsid w:val="44F36206"/>
    <w:rsid w:val="49EE0B7A"/>
    <w:rsid w:val="4B8C2305"/>
    <w:rsid w:val="4C895C06"/>
    <w:rsid w:val="4D2A0E62"/>
    <w:rsid w:val="4DE929F2"/>
    <w:rsid w:val="50144C4A"/>
    <w:rsid w:val="50494F44"/>
    <w:rsid w:val="519B797B"/>
    <w:rsid w:val="52546891"/>
    <w:rsid w:val="5362349D"/>
    <w:rsid w:val="53B2578B"/>
    <w:rsid w:val="54914DFA"/>
    <w:rsid w:val="56E61CB0"/>
    <w:rsid w:val="591D525D"/>
    <w:rsid w:val="5A980C2D"/>
    <w:rsid w:val="5AFB6427"/>
    <w:rsid w:val="5BC008CC"/>
    <w:rsid w:val="5DB57EFA"/>
    <w:rsid w:val="5DB90FF7"/>
    <w:rsid w:val="5FEA70C8"/>
    <w:rsid w:val="62A47625"/>
    <w:rsid w:val="65F16DF6"/>
    <w:rsid w:val="65F42624"/>
    <w:rsid w:val="6BA90B5D"/>
    <w:rsid w:val="6E42242D"/>
    <w:rsid w:val="6F1F7540"/>
    <w:rsid w:val="728004F5"/>
    <w:rsid w:val="72BC3DD9"/>
    <w:rsid w:val="73CE617A"/>
    <w:rsid w:val="74726BC5"/>
    <w:rsid w:val="75297337"/>
    <w:rsid w:val="77BD339B"/>
    <w:rsid w:val="788422BD"/>
    <w:rsid w:val="7A03601E"/>
    <w:rsid w:val="7B584DBE"/>
    <w:rsid w:val="7B7D1CAC"/>
    <w:rsid w:val="7C97260C"/>
    <w:rsid w:val="7CDB5F53"/>
    <w:rsid w:val="7D046ADA"/>
    <w:rsid w:val="7DF6308C"/>
    <w:rsid w:val="7E1F2FC3"/>
    <w:rsid w:val="7EE042C1"/>
    <w:rsid w:val="7F2A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9.jpeg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2021-01-20T02:13:00Z</dcterms:created>
  <dc:creator>昕</dc:creator>
  <cp:lastModifiedBy>小石头</cp:lastModifiedBy>
  <dcterms:modified xsi:type="dcterms:W3CDTF">2021-01-30T01:20:19Z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