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ascii="文星标宋" w:hAnsi="文星标宋" w:eastAsia="文星标宋"/>
          <w:sz w:val="44"/>
          <w:szCs w:val="44"/>
        </w:rPr>
      </w:pPr>
      <w:bookmarkStart w:id="0" w:name="_GoBack"/>
      <w:r>
        <w:rPr>
          <w:rFonts w:hint="eastAsia" w:ascii="文星标宋" w:hAnsi="文星标宋" w:eastAsia="文星标宋"/>
          <w:sz w:val="44"/>
          <w:szCs w:val="44"/>
        </w:rPr>
        <w:t>昌乐县文化和旅游局</w:t>
      </w:r>
    </w:p>
    <w:p>
      <w:pPr>
        <w:spacing w:line="578" w:lineRule="exact"/>
        <w:jc w:val="center"/>
        <w:rPr>
          <w:rFonts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2020年政府信息公开</w:t>
      </w:r>
      <w:r>
        <w:rPr>
          <w:rFonts w:hint="eastAsia" w:ascii="文星标宋" w:hAnsi="文星标宋" w:eastAsia="文星标宋"/>
          <w:sz w:val="44"/>
          <w:szCs w:val="44"/>
          <w:lang w:eastAsia="zh-CN"/>
        </w:rPr>
        <w:t>工作</w:t>
      </w:r>
      <w:r>
        <w:rPr>
          <w:rFonts w:hint="eastAsia" w:ascii="文星标宋" w:hAnsi="文星标宋" w:eastAsia="文星标宋"/>
          <w:sz w:val="44"/>
          <w:szCs w:val="44"/>
        </w:rPr>
        <w:t>年度报告</w:t>
      </w:r>
    </w:p>
    <w:bookmarkEnd w:id="0"/>
    <w:p/>
    <w:p>
      <w:pPr>
        <w:spacing w:line="578" w:lineRule="exact"/>
        <w:ind w:firstLine="480" w:firstLineChars="15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 根据《中华人民共和国政府信息公开条例》《山东省政府信息公开办法》《潍坊市人民政府办公室关于做好2019年政府信息公开工作年度报告编制发布和报送工作的通知》要求，结合我局实际，编制并向社会公布昌乐县文化和旅游局2020年政府信息公开工作年度报告。本年度报告中所列数据的统计期限自2020年1月1日起，至2020年12月31日止。如对本报告有疑问，请联系昌乐县文化和旅游局办公室，联系电话：0536-6221491。</w:t>
      </w:r>
    </w:p>
    <w:p>
      <w:pPr>
        <w:spacing w:line="578" w:lineRule="exac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一、总体情况</w:t>
      </w:r>
    </w:p>
    <w:p>
      <w:pPr>
        <w:spacing w:line="578" w:lineRule="exac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（一）主动公开情况。</w:t>
      </w:r>
    </w:p>
    <w:p>
      <w:pPr>
        <w:spacing w:line="578" w:lineRule="exact"/>
        <w:ind w:firstLine="480" w:firstLineChars="15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 2020年，我局在机构职能信息、文化旅游服务、项目集中采购、部门工作情况、人大建议政协提案、行政权力运行信息等方面，主动、及时向社会发布行业信息，为公众了解我县文化和旅游业发展情况提供便利。我局在中国</w:t>
      </w:r>
      <w:r>
        <w:rPr>
          <w:rFonts w:hint="eastAsia" w:ascii="楷体_GB2312"/>
          <w:sz w:val="32"/>
          <w:szCs w:val="32"/>
        </w:rPr>
        <w:t>•</w:t>
      </w:r>
      <w:r>
        <w:rPr>
          <w:rFonts w:hint="eastAsia" w:ascii="楷体_GB2312" w:eastAsia="楷体_GB2312"/>
          <w:sz w:val="32"/>
          <w:szCs w:val="32"/>
        </w:rPr>
        <w:t>昌乐政府门户网站主动公开政府信息74条。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drawing>
          <wp:inline distT="0" distB="0" distL="0" distR="0">
            <wp:extent cx="4674870" cy="2375535"/>
            <wp:effectExtent l="19050" t="0" r="0" b="0"/>
            <wp:docPr id="2" name="图片 1" descr="302c68fb951e8ee4af4c2e16c4de3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302c68fb951e8ee4af4c2e16c4de31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7331" cy="237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78" w:lineRule="exac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（二）建议提案办理结果公开情况。</w:t>
      </w:r>
    </w:p>
    <w:p>
      <w:pPr>
        <w:spacing w:line="578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2020我局共承办人大建议、政协提案13件，其中人大代表建议2件，政协委员提案11件，人大代表满意率和见面答复率均为100%，已通过中国</w:t>
      </w:r>
      <w:r>
        <w:rPr>
          <w:rFonts w:hint="eastAsia" w:ascii="楷体_GB2312"/>
          <w:sz w:val="32"/>
          <w:szCs w:val="32"/>
        </w:rPr>
        <w:t>•</w:t>
      </w:r>
      <w:r>
        <w:rPr>
          <w:rFonts w:hint="eastAsia" w:ascii="楷体_GB2312" w:eastAsia="楷体_GB2312"/>
          <w:sz w:val="32"/>
          <w:szCs w:val="32"/>
        </w:rPr>
        <w:t>昌乐门户网站向社会公开。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drawing>
          <wp:inline distT="0" distB="0" distL="0" distR="0">
            <wp:extent cx="5274310" cy="2975610"/>
            <wp:effectExtent l="19050" t="0" r="2540" b="0"/>
            <wp:docPr id="5" name="图片 4" descr="7b7fd652973a8f145ac603494e63d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7b7fd652973a8f145ac603494e63d4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drawing>
          <wp:inline distT="0" distB="0" distL="0" distR="0">
            <wp:extent cx="5274310" cy="3550920"/>
            <wp:effectExtent l="19050" t="0" r="2540" b="0"/>
            <wp:docPr id="6" name="图片 5" descr="8d2eba3553862b01d34d91ebe3712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8d2eba3553862b01d34d91ebe37125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78" w:lineRule="atLeas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（三）依申请公开情况。</w:t>
      </w:r>
    </w:p>
    <w:p>
      <w:pPr>
        <w:spacing w:line="578" w:lineRule="atLeas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    2020年，我单位未收到依申请公开案件。</w:t>
      </w:r>
    </w:p>
    <w:p>
      <w:pPr>
        <w:spacing w:line="578" w:lineRule="atLeas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（四）政府信息管理。</w:t>
      </w:r>
    </w:p>
    <w:p>
      <w:pPr>
        <w:spacing w:line="578" w:lineRule="atLeas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建立健全政府信息公开制度，进一步完善政务信息常态化管理机制，及时开展对相关政策措施进行解读和宣传，开展信息公开培训，提升业务能力。</w:t>
      </w:r>
    </w:p>
    <w:p>
      <w:pPr>
        <w:spacing w:line="578" w:lineRule="atLeas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（五）平台建设情况</w:t>
      </w:r>
    </w:p>
    <w:p>
      <w:pPr>
        <w:spacing w:line="578" w:lineRule="atLeas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1、我局通过中国</w:t>
      </w:r>
      <w:r>
        <w:rPr>
          <w:rFonts w:hint="eastAsia" w:ascii="楷体_GB2312"/>
          <w:sz w:val="32"/>
          <w:szCs w:val="32"/>
        </w:rPr>
        <w:t>•</w:t>
      </w:r>
      <w:r>
        <w:rPr>
          <w:rFonts w:hint="eastAsia" w:ascii="楷体_GB2312" w:eastAsia="楷体_GB2312"/>
          <w:sz w:val="32"/>
          <w:szCs w:val="32"/>
        </w:rPr>
        <w:t>昌乐政府门户网站主动公开政府信息，并按机构职能、组织管理、政策解读、工作信息等对各类信息进行分类、建立索引目录，层次明确，逻辑清晰地组织和发布，方便公众查询和使用。</w:t>
      </w:r>
    </w:p>
    <w:p>
      <w:pPr>
        <w:spacing w:line="578" w:lineRule="atLeas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2、加强微信平台的应用及推广。今年来，我局通过微信公众平台“昌乐县文化和旅游局”发布文旅动态84条，吸引公众关注、阅读、浏览量突破5000次。</w:t>
      </w:r>
    </w:p>
    <w:p>
      <w:pPr>
        <w:spacing w:line="578" w:lineRule="atLeas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（六）机构建设及人员配置情况。</w:t>
      </w:r>
    </w:p>
    <w:p>
      <w:pPr>
        <w:spacing w:line="578" w:lineRule="atLeas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    及时调整充实县文化和旅游局政府信息公开领导小组成员，根据职务调整情况，重新确定分管负责人，全面负责做好局机关政务信息公开管理工作，办公室为信息公开工作机构，安排2名同志具体负责，及时报送政务公开信息内容，同时业务培训，规范各项操作流程，不断提高政府信息公开工作的质量及时效性。</w:t>
      </w:r>
    </w:p>
    <w:p>
      <w:pPr>
        <w:spacing w:line="578" w:lineRule="atLeas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（七）监督保障情况。</w:t>
      </w:r>
    </w:p>
    <w:p>
      <w:pPr>
        <w:spacing w:line="578" w:lineRule="atLeas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成立政务公开领导小组，明确职责分工，落实专人负责审查、上传工作，促进政府信息公开工作规范有序推进。强化监督机制，确保公开到位，建立常效管理机制，进一步规范各项流程操作，确保政务公开工作扎实有效地推进。</w:t>
      </w:r>
    </w:p>
    <w:p>
      <w:pPr>
        <w:pStyle w:val="5"/>
        <w:widowControl/>
        <w:shd w:val="clear" w:color="auto" w:fill="FFFFFF"/>
        <w:spacing w:beforeAutospacing="0" w:after="240" w:afterAutospacing="0" w:line="578" w:lineRule="atLeast"/>
        <w:jc w:val="both"/>
        <w:rPr>
          <w:rFonts w:ascii="楷体_GB2312" w:hAnsi="黑体" w:eastAsia="楷体_GB2312" w:cs="黑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黑体" w:eastAsia="楷体_GB2312" w:cs="黑体"/>
          <w:b/>
          <w:bCs/>
          <w:color w:val="00000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7"/>
        <w:tblW w:w="870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3"/>
        <w:gridCol w:w="17"/>
        <w:gridCol w:w="2095"/>
        <w:gridCol w:w="1505"/>
        <w:gridCol w:w="201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对外公开</w:t>
            </w:r>
          </w:p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  <w:szCs w:val="24"/>
              </w:rPr>
              <w:t>-18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129万元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宋体"/>
          <w:color w:val="333333"/>
        </w:rPr>
      </w:pPr>
    </w:p>
    <w:p>
      <w:pPr>
        <w:pStyle w:val="5"/>
        <w:widowControl/>
        <w:shd w:val="clear" w:color="auto" w:fill="FFFFFF"/>
        <w:spacing w:beforeAutospacing="0" w:after="240" w:afterAutospacing="0"/>
        <w:ind w:left="-199" w:leftChars="-95" w:firstLine="620"/>
        <w:jc w:val="both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 w:cs="黑体"/>
          <w:b/>
          <w:bCs/>
          <w:color w:val="00000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7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18"/>
        <w:gridCol w:w="2835"/>
        <w:gridCol w:w="850"/>
        <w:gridCol w:w="567"/>
        <w:gridCol w:w="567"/>
        <w:gridCol w:w="567"/>
        <w:gridCol w:w="567"/>
        <w:gridCol w:w="540"/>
        <w:gridCol w:w="6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7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Times New Roman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ascii="楷体_GB2312" w:eastAsia="楷体_GB2312" w:cs="Times New Roma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楷体_GB2312" w:eastAsia="楷体_GB2312" w:cs="Times New Roma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楷体_GB2312" w:eastAsia="楷体_GB2312" w:cs="Times New Roma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楷体_GB2312" w:eastAsia="楷体_GB2312" w:cs="Times New Roma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楷体_GB2312" w:eastAsia="楷体_GB2312" w:cs="Times New Roman"/>
              </w:rPr>
            </w:pPr>
            <w:r>
              <w:rPr>
                <w:rFonts w:hint="eastAsia" w:ascii="楷体_GB2312" w:hAnsi="楷体" w:eastAsia="楷体_GB2312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楷体_GB2312" w:eastAsia="楷体_GB2312" w:cs="Times New Roman"/>
              </w:rPr>
            </w:pPr>
            <w:r>
              <w:rPr>
                <w:rFonts w:hint="eastAsia" w:ascii="楷体_GB2312" w:hAnsi="楷体" w:eastAsia="楷体_GB2312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楷体_GB2312" w:eastAsia="楷体_GB2312" w:cs="Times New Roman"/>
              </w:rPr>
            </w:pPr>
            <w:r>
              <w:rPr>
                <w:rFonts w:hint="eastAsia" w:ascii="楷体_GB2312" w:hAnsi="楷体" w:eastAsia="楷体_GB2312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_GB2312" w:hAnsi="楷体" w:eastAsia="楷体_GB2312" w:cs="Times New Roman"/>
                <w:kern w:val="0"/>
                <w:sz w:val="20"/>
                <w:szCs w:val="20"/>
              </w:rPr>
            </w:pPr>
            <w:r>
              <w:rPr>
                <w:rFonts w:hint="eastAsia" w:ascii="楷体_GB2312" w:hAnsi="楷体" w:eastAsia="楷体_GB2312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_GB2312" w:hAnsi="楷体" w:eastAsia="楷体_GB2312" w:cs="Times New Roman"/>
                <w:kern w:val="0"/>
                <w:sz w:val="20"/>
                <w:szCs w:val="20"/>
              </w:rPr>
            </w:pPr>
            <w:r>
              <w:rPr>
                <w:rFonts w:hint="eastAsia" w:ascii="楷体_GB2312" w:hAnsi="楷体" w:eastAsia="楷体_GB2312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_GB2312" w:hAnsi="楷体" w:eastAsia="楷体_GB2312" w:cs="Times New Roman"/>
                <w:kern w:val="0"/>
                <w:sz w:val="20"/>
                <w:szCs w:val="20"/>
              </w:rPr>
            </w:pPr>
            <w:r>
              <w:rPr>
                <w:rFonts w:hint="eastAsia" w:ascii="楷体_GB2312" w:hAnsi="楷体" w:eastAsia="楷体_GB2312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_GB2312" w:hAnsi="楷体" w:eastAsia="楷体_GB2312" w:cs="Times New Roman"/>
                <w:kern w:val="0"/>
                <w:sz w:val="20"/>
                <w:szCs w:val="20"/>
              </w:rPr>
            </w:pPr>
            <w:r>
              <w:rPr>
                <w:rFonts w:hint="eastAsia" w:ascii="楷体_GB2312" w:hAnsi="楷体" w:eastAsia="楷体_GB2312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_GB2312" w:hAnsi="楷体" w:eastAsia="楷体_GB2312" w:cs="Times New Roman"/>
                <w:kern w:val="0"/>
                <w:sz w:val="20"/>
                <w:szCs w:val="20"/>
              </w:rPr>
            </w:pPr>
            <w:r>
              <w:rPr>
                <w:rFonts w:hint="eastAsia" w:ascii="楷体_GB2312" w:hAnsi="楷体" w:eastAsia="楷体_GB2312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_GB2312" w:hAnsi="楷体" w:eastAsia="楷体_GB2312" w:cs="Times New Roman"/>
                <w:kern w:val="0"/>
                <w:sz w:val="20"/>
                <w:szCs w:val="20"/>
              </w:rPr>
            </w:pPr>
            <w:r>
              <w:rPr>
                <w:rFonts w:hint="eastAsia" w:ascii="楷体_GB2312" w:hAnsi="楷体" w:eastAsia="楷体_GB2312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_GB2312" w:hAnsi="楷体" w:eastAsia="楷体_GB2312" w:cs="Times New Roman"/>
                <w:kern w:val="0"/>
                <w:sz w:val="20"/>
                <w:szCs w:val="20"/>
              </w:rPr>
            </w:pPr>
            <w:r>
              <w:rPr>
                <w:rFonts w:hint="eastAsia" w:ascii="楷体_GB2312" w:hAnsi="楷体" w:eastAsia="楷体_GB2312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_GB2312" w:hAnsi="楷体" w:eastAsia="楷体_GB2312" w:cs="Times New Roman"/>
                <w:kern w:val="0"/>
                <w:sz w:val="20"/>
                <w:szCs w:val="20"/>
              </w:rPr>
            </w:pPr>
            <w:r>
              <w:rPr>
                <w:rFonts w:hint="eastAsia" w:ascii="楷体_GB2312" w:hAnsi="楷体" w:eastAsia="楷体_GB2312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楷体_GB2312" w:eastAsia="楷体_GB2312" w:cs="Times New Roman"/>
              </w:rPr>
            </w:pPr>
            <w:r>
              <w:rPr>
                <w:rFonts w:hint="eastAsia" w:ascii="楷体_GB2312" w:hAnsi="楷体" w:eastAsia="楷体_GB2312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_GB2312" w:hAnsi="楷体" w:eastAsia="楷体_GB2312" w:cs="Times New Roman"/>
                <w:kern w:val="0"/>
                <w:sz w:val="20"/>
                <w:szCs w:val="20"/>
              </w:rPr>
            </w:pPr>
            <w:r>
              <w:rPr>
                <w:rFonts w:hint="eastAsia" w:ascii="楷体_GB2312" w:hAnsi="楷体" w:eastAsia="楷体_GB2312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_GB2312" w:hAnsi="楷体" w:eastAsia="楷体_GB2312" w:cs="Times New Roman"/>
                <w:kern w:val="0"/>
                <w:sz w:val="20"/>
                <w:szCs w:val="20"/>
              </w:rPr>
            </w:pPr>
            <w:r>
              <w:rPr>
                <w:rFonts w:hint="eastAsia" w:ascii="楷体_GB2312" w:hAnsi="楷体" w:eastAsia="楷体_GB2312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_GB2312" w:hAnsi="楷体" w:eastAsia="楷体_GB2312" w:cs="Times New Roman"/>
                <w:kern w:val="0"/>
                <w:sz w:val="20"/>
                <w:szCs w:val="20"/>
              </w:rPr>
            </w:pPr>
            <w:r>
              <w:rPr>
                <w:rFonts w:hint="eastAsia" w:ascii="楷体_GB2312" w:hAnsi="楷体" w:eastAsia="楷体_GB2312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楷体_GB2312" w:eastAsia="楷体_GB2312" w:cs="Times New Roman"/>
              </w:rPr>
            </w:pPr>
            <w:r>
              <w:rPr>
                <w:rFonts w:hint="eastAsia" w:ascii="楷体_GB2312" w:hAnsi="楷体" w:eastAsia="楷体_GB2312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_GB2312" w:hAnsi="楷体" w:eastAsia="楷体_GB2312" w:cs="Times New Roman"/>
                <w:kern w:val="0"/>
                <w:sz w:val="20"/>
                <w:szCs w:val="20"/>
              </w:rPr>
            </w:pPr>
            <w:r>
              <w:rPr>
                <w:rFonts w:hint="eastAsia" w:ascii="楷体_GB2312" w:hAnsi="楷体" w:eastAsia="楷体_GB2312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_GB2312" w:hAnsi="楷体" w:eastAsia="楷体_GB2312" w:cs="Times New Roman"/>
                <w:kern w:val="0"/>
                <w:sz w:val="20"/>
                <w:szCs w:val="20"/>
              </w:rPr>
            </w:pPr>
            <w:r>
              <w:rPr>
                <w:rFonts w:hint="eastAsia" w:ascii="楷体_GB2312" w:hAnsi="楷体" w:eastAsia="楷体_GB2312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_GB2312" w:eastAsia="楷体_GB2312" w:cs="Times New Roman"/>
              </w:rPr>
            </w:pPr>
            <w:r>
              <w:rPr>
                <w:rFonts w:hint="eastAsia" w:ascii="楷体_GB2312" w:hAnsi="楷体" w:eastAsia="楷体_GB2312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_GB2312" w:eastAsia="楷体_GB2312" w:cs="Times New Roman"/>
              </w:rPr>
            </w:pPr>
            <w:r>
              <w:rPr>
                <w:rFonts w:hint="eastAsia" w:ascii="楷体_GB2312" w:hAnsi="楷体" w:eastAsia="楷体_GB2312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楷体_GB2312" w:hAnsi="楷体" w:eastAsia="楷体_GB2312" w:cs="Times New Roman"/>
                <w:kern w:val="0"/>
                <w:sz w:val="20"/>
                <w:szCs w:val="20"/>
              </w:rPr>
            </w:pPr>
            <w:r>
              <w:rPr>
                <w:rFonts w:hint="eastAsia" w:ascii="楷体_GB2312" w:hAnsi="楷体" w:eastAsia="楷体_GB2312" w:cs="楷体"/>
                <w:kern w:val="0"/>
                <w:sz w:val="20"/>
                <w:szCs w:val="20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00" w:firstLineChars="100"/>
              <w:rPr>
                <w:rFonts w:ascii="楷体_GB2312" w:eastAsia="楷体_GB2312" w:cs="Times New Roman"/>
              </w:rPr>
            </w:pPr>
            <w:r>
              <w:rPr>
                <w:rFonts w:hint="eastAsia" w:ascii="楷体_GB2312" w:hAnsi="楷体" w:eastAsia="楷体_GB2312" w:cs="楷体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_GB2312" w:eastAsia="楷体_GB2312" w:cs="Times New Roman"/>
              </w:rPr>
            </w:pPr>
            <w:r>
              <w:rPr>
                <w:rFonts w:hint="eastAsia" w:ascii="楷体_GB2312" w:hAnsi="楷体" w:eastAsia="楷体_GB2312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_GB2312" w:eastAsia="楷体_GB2312" w:cs="Times New Roman"/>
              </w:rPr>
            </w:pPr>
            <w:r>
              <w:rPr>
                <w:rFonts w:hint="eastAsia" w:ascii="楷体_GB2312" w:hAnsi="楷体" w:eastAsia="楷体_GB2312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楷体_GB2312" w:eastAsia="楷体_GB2312" w:cs="Times New Roma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0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楷体_GB2312" w:hAnsi="黑体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黑体" w:eastAsia="楷体_GB2312" w:cs="黑体"/>
          <w:b/>
          <w:bCs/>
          <w:color w:val="00000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7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Times New Roma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Times New Roma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ascii="楷体_GB2312" w:eastAsia="楷体_GB2312" w:cs="Times New Roman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rFonts w:ascii="楷体_GB2312" w:eastAsia="楷体_GB2312" w:cs="Times New Roma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rFonts w:ascii="楷体_GB2312" w:eastAsia="楷体_GB2312" w:cs="Times New Roma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  <w:rPr>
                <w:rFonts w:ascii="楷体_GB2312" w:eastAsia="楷体_GB2312" w:cs="Times New Roma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ascii="楷体_GB2312" w:eastAsia="楷体_GB2312" w:cs="Times New Roman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  <w:rPr>
                <w:rFonts w:ascii="楷体_GB2312" w:eastAsia="楷体_GB2312" w:cs="Times New Roma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 w:cs="Times New Roman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Times New Roma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Times New Roma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rFonts w:ascii="楷体_GB2312" w:eastAsia="楷体_GB2312" w:cs="Times New Roma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rFonts w:ascii="楷体_GB2312" w:eastAsia="楷体_GB2312" w:cs="Times New Roma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ascii="楷体_GB2312" w:eastAsia="楷体_GB2312" w:cs="Times New Roman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rFonts w:ascii="楷体_GB2312" w:eastAsia="楷体_GB2312" w:cs="Times New Roma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ascii="楷体_GB2312" w:eastAsia="楷体_GB2312" w:cs="Times New Roman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  <w:rPr>
                <w:rFonts w:ascii="楷体_GB2312" w:eastAsia="楷体_GB2312" w:cs="Times New Roma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Times New Roma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  <w:rPr>
                <w:rFonts w:ascii="楷体_GB2312" w:eastAsia="楷体_GB2312" w:cs="Times New Roma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ascii="楷体_GB2312" w:eastAsia="楷体_GB2312" w:cs="Times New Roman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  <w:rPr>
                <w:rFonts w:ascii="楷体_GB2312" w:eastAsia="楷体_GB2312" w:cs="Times New Roma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ascii="楷体_GB2312" w:eastAsia="楷体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rFonts w:ascii="楷体_GB2312" w:eastAsia="楷体_GB2312" w:cs="Times New Roma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rFonts w:ascii="楷体_GB2312" w:eastAsia="楷体_GB2312" w:cs="Times New Roma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Times New Roma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Times New Roman"/>
                <w:kern w:val="0"/>
                <w:sz w:val="28"/>
                <w:szCs w:val="28"/>
              </w:rPr>
              <w:t> </w:t>
            </w: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0</w:t>
            </w:r>
            <w:r>
              <w:rPr>
                <w:rFonts w:hint="eastAsia" w:eastAsia="楷体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0</w:t>
            </w:r>
            <w:r>
              <w:rPr>
                <w:rFonts w:hint="eastAsia" w:eastAsia="楷体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Times New Roman"/>
                <w:kern w:val="0"/>
                <w:sz w:val="28"/>
                <w:szCs w:val="28"/>
              </w:rPr>
              <w:t> </w:t>
            </w: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0</w:t>
            </w:r>
            <w:r>
              <w:rPr>
                <w:rFonts w:hint="eastAsia" w:eastAsia="楷体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eastAsia="楷体_GB2312" w:cs="宋体"/>
                <w:kern w:val="0"/>
                <w:sz w:val="28"/>
                <w:szCs w:val="28"/>
              </w:rPr>
              <w:t>0</w:t>
            </w:r>
            <w:r>
              <w:rPr>
                <w:rFonts w:hint="eastAsia" w:ascii="楷体_GB2312" w:eastAsia="楷体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eastAsia="楷体_GB2312" w:cs="宋体"/>
                <w:kern w:val="0"/>
                <w:sz w:val="28"/>
                <w:szCs w:val="28"/>
              </w:rPr>
              <w:t>0</w:t>
            </w:r>
            <w:r>
              <w:rPr>
                <w:rFonts w:hint="eastAsia" w:ascii="楷体_GB2312" w:eastAsia="楷体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eastAsia="楷体_GB2312" w:cs="宋体"/>
                <w:kern w:val="0"/>
                <w:sz w:val="28"/>
                <w:szCs w:val="28"/>
              </w:rPr>
              <w:t>0</w:t>
            </w:r>
            <w:r>
              <w:rPr>
                <w:rFonts w:hint="eastAsia" w:ascii="楷体_GB2312" w:eastAsia="楷体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eastAsia="楷体_GB2312" w:cs="宋体"/>
                <w:kern w:val="0"/>
                <w:sz w:val="28"/>
                <w:szCs w:val="28"/>
              </w:rPr>
              <w:t>0</w:t>
            </w:r>
            <w:r>
              <w:rPr>
                <w:rFonts w:hint="eastAsia" w:ascii="楷体_GB2312" w:eastAsia="楷体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楷体_GB2312" w:eastAsia="楷体_GB2312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eastAsia="楷体_GB2312" w:cs="宋体"/>
                <w:kern w:val="0"/>
                <w:sz w:val="28"/>
                <w:szCs w:val="28"/>
              </w:rPr>
              <w:t>0</w:t>
            </w:r>
            <w:r>
              <w:rPr>
                <w:rFonts w:hint="eastAsia" w:ascii="楷体_GB2312" w:eastAsia="楷体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eastAsia="楷体_GB2312" w:cs="宋体"/>
                <w:kern w:val="0"/>
                <w:sz w:val="28"/>
                <w:szCs w:val="28"/>
              </w:rPr>
              <w:t>0</w:t>
            </w:r>
            <w:r>
              <w:rPr>
                <w:rFonts w:hint="eastAsia" w:ascii="楷体_GB2312" w:eastAsia="楷体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楷体_GB2312" w:eastAsia="楷体_GB2312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eastAsia="楷体_GB2312" w:cs="宋体"/>
                <w:kern w:val="0"/>
                <w:sz w:val="28"/>
                <w:szCs w:val="28"/>
              </w:rPr>
              <w:t>0</w:t>
            </w:r>
            <w:r>
              <w:rPr>
                <w:rFonts w:hint="eastAsia" w:ascii="楷体_GB2312" w:eastAsia="楷体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eastAsia="楷体_GB2312" w:cs="宋体"/>
                <w:sz w:val="28"/>
                <w:szCs w:val="28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cs="Times New Roman"/>
          <w:color w:val="333333"/>
          <w:sz w:val="24"/>
          <w:szCs w:val="24"/>
        </w:rPr>
      </w:pPr>
    </w:p>
    <w:p>
      <w:pPr>
        <w:pStyle w:val="5"/>
        <w:widowControl/>
        <w:shd w:val="clear" w:color="auto" w:fill="FFFFFF"/>
        <w:spacing w:beforeAutospacing="0" w:afterAutospacing="0" w:line="578" w:lineRule="exact"/>
        <w:ind w:firstLine="420"/>
        <w:jc w:val="both"/>
        <w:rPr>
          <w:rFonts w:ascii="楷体_GB2312" w:hAnsi="黑体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黑体" w:eastAsia="楷体_GB2312" w:cs="黑体"/>
          <w:b/>
          <w:bCs/>
          <w:color w:val="000000"/>
          <w:sz w:val="32"/>
          <w:szCs w:val="32"/>
          <w:shd w:val="clear" w:color="auto" w:fill="FFFFFF"/>
        </w:rPr>
        <w:t>五、存在的主要问题及改进情况</w:t>
      </w:r>
    </w:p>
    <w:p>
      <w:pPr>
        <w:widowControl/>
        <w:spacing w:line="578" w:lineRule="exact"/>
        <w:rPr>
          <w:rFonts w:ascii="楷体_GB2312" w:eastAsia="楷体_GB2312" w:cs="仿宋_GB2312"/>
          <w:bCs/>
          <w:sz w:val="32"/>
          <w:szCs w:val="32"/>
        </w:rPr>
      </w:pPr>
      <w:r>
        <w:rPr>
          <w:rFonts w:hint="eastAsia" w:ascii="楷体_GB2312" w:eastAsia="楷体_GB2312" w:cs="仿宋_GB2312"/>
          <w:bCs/>
          <w:sz w:val="32"/>
          <w:szCs w:val="32"/>
        </w:rPr>
        <w:t>（一）2019年问题整改情况</w:t>
      </w:r>
    </w:p>
    <w:p>
      <w:pPr>
        <w:widowControl/>
        <w:spacing w:line="578" w:lineRule="exact"/>
        <w:rPr>
          <w:rFonts w:ascii="楷体_GB2312" w:eastAsia="楷体_GB2312" w:cs="仿宋_GB2312"/>
          <w:bCs/>
          <w:sz w:val="32"/>
          <w:szCs w:val="32"/>
        </w:rPr>
      </w:pPr>
      <w:r>
        <w:rPr>
          <w:rFonts w:hint="eastAsia" w:ascii="楷体_GB2312" w:eastAsia="楷体_GB2312" w:cs="仿宋_GB2312"/>
          <w:bCs/>
          <w:sz w:val="32"/>
          <w:szCs w:val="32"/>
        </w:rPr>
        <w:t xml:space="preserve">    按照政府信息公开工作的要求，加强与相关部门联系，努力做到政府信息公开的内容不断充实和完善，进一步提升政务公开信息质量。</w:t>
      </w:r>
    </w:p>
    <w:p>
      <w:pPr>
        <w:widowControl/>
        <w:spacing w:line="578" w:lineRule="exact"/>
        <w:rPr>
          <w:rFonts w:ascii="楷体_GB2312" w:eastAsia="楷体_GB2312" w:cs="仿宋_GB2312"/>
          <w:bCs/>
          <w:sz w:val="32"/>
          <w:szCs w:val="32"/>
        </w:rPr>
      </w:pPr>
      <w:r>
        <w:rPr>
          <w:rFonts w:hint="eastAsia" w:ascii="楷体_GB2312" w:eastAsia="楷体_GB2312" w:cs="仿宋_GB2312"/>
          <w:bCs/>
          <w:sz w:val="32"/>
          <w:szCs w:val="32"/>
        </w:rPr>
        <w:t>（二）2020年存在的主要问题</w:t>
      </w:r>
    </w:p>
    <w:p>
      <w:pPr>
        <w:widowControl/>
        <w:spacing w:line="578" w:lineRule="exact"/>
        <w:ind w:firstLine="800" w:firstLineChars="250"/>
        <w:rPr>
          <w:rFonts w:ascii="楷体_GB2312" w:eastAsia="楷体_GB2312" w:cs="仿宋_GB2312"/>
          <w:bCs/>
          <w:sz w:val="32"/>
          <w:szCs w:val="32"/>
        </w:rPr>
      </w:pPr>
      <w:r>
        <w:rPr>
          <w:rFonts w:hint="eastAsia" w:ascii="楷体_GB2312" w:eastAsia="楷体_GB2312" w:cs="仿宋_GB2312"/>
          <w:bCs/>
          <w:sz w:val="32"/>
          <w:szCs w:val="32"/>
        </w:rPr>
        <w:t>一是信息公开队伍建设需进一步加强。涉及公开信息内容科室单位对信息公开工作认识不足，对《政府信息公开条例》学习不够深刻。</w:t>
      </w:r>
    </w:p>
    <w:p>
      <w:pPr>
        <w:widowControl/>
        <w:spacing w:line="578" w:lineRule="exact"/>
        <w:ind w:firstLine="800" w:firstLineChars="250"/>
        <w:rPr>
          <w:rFonts w:ascii="楷体_GB2312" w:eastAsia="楷体_GB2312" w:cs="仿宋_GB2312"/>
          <w:bCs/>
          <w:sz w:val="32"/>
          <w:szCs w:val="32"/>
        </w:rPr>
      </w:pPr>
      <w:r>
        <w:rPr>
          <w:rFonts w:hint="eastAsia" w:ascii="楷体_GB2312" w:eastAsia="楷体_GB2312" w:cs="仿宋_GB2312"/>
          <w:bCs/>
          <w:sz w:val="32"/>
          <w:szCs w:val="32"/>
        </w:rPr>
        <w:t>二是政务信息公开的时效性有待进一步提高。</w:t>
      </w:r>
    </w:p>
    <w:p>
      <w:pPr>
        <w:widowControl/>
        <w:spacing w:line="578" w:lineRule="exact"/>
        <w:rPr>
          <w:rFonts w:ascii="楷体_GB2312" w:eastAsia="楷体_GB2312" w:cs="仿宋_GB2312"/>
          <w:bCs/>
          <w:sz w:val="32"/>
          <w:szCs w:val="32"/>
        </w:rPr>
      </w:pPr>
      <w:r>
        <w:rPr>
          <w:rFonts w:hint="eastAsia" w:ascii="楷体_GB2312" w:eastAsia="楷体_GB2312" w:cs="仿宋_GB2312"/>
          <w:bCs/>
          <w:sz w:val="32"/>
          <w:szCs w:val="32"/>
        </w:rPr>
        <w:t>（三）改进措施</w:t>
      </w:r>
    </w:p>
    <w:p>
      <w:pPr>
        <w:widowControl/>
        <w:spacing w:line="578" w:lineRule="exact"/>
        <w:ind w:firstLine="800" w:firstLineChars="250"/>
        <w:rPr>
          <w:rFonts w:ascii="楷体_GB2312" w:eastAsia="楷体_GB2312" w:cs="仿宋_GB2312"/>
          <w:bCs/>
          <w:sz w:val="32"/>
          <w:szCs w:val="32"/>
        </w:rPr>
      </w:pPr>
      <w:r>
        <w:rPr>
          <w:rFonts w:hint="eastAsia" w:ascii="楷体_GB2312" w:eastAsia="楷体_GB2312" w:cs="仿宋_GB2312"/>
          <w:bCs/>
          <w:sz w:val="32"/>
          <w:szCs w:val="32"/>
        </w:rPr>
        <w:t>2021年，我局将认真学习上级相关文件精神，紧紧围绕县委、县政府的具体要求和我局工作，积极规范并不断加强政务公开工作,不断提升政务服务水平。</w:t>
      </w:r>
    </w:p>
    <w:p>
      <w:pPr>
        <w:widowControl/>
        <w:spacing w:line="578" w:lineRule="exact"/>
        <w:ind w:firstLine="800" w:firstLineChars="250"/>
        <w:rPr>
          <w:rFonts w:ascii="楷体_GB2312" w:eastAsia="楷体_GB2312" w:cs="仿宋_GB2312"/>
          <w:bCs/>
          <w:sz w:val="32"/>
          <w:szCs w:val="32"/>
        </w:rPr>
      </w:pPr>
      <w:r>
        <w:rPr>
          <w:rFonts w:hint="eastAsia" w:ascii="楷体_GB2312" w:eastAsia="楷体_GB2312" w:cs="仿宋_GB2312"/>
          <w:bCs/>
          <w:sz w:val="32"/>
          <w:szCs w:val="32"/>
        </w:rPr>
        <w:t>一是加强组织领导，制定《2021年度政府信息公开工作实施方案》，落实责任，建立机制，加强政务公开工作人员培训，切实提高工作人员对政务公开工作的认识水平和工作能力。</w:t>
      </w:r>
    </w:p>
    <w:p>
      <w:pPr>
        <w:spacing w:line="578" w:lineRule="atLeast"/>
        <w:ind w:firstLine="800" w:firstLineChars="25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 w:cs="仿宋_GB2312"/>
          <w:bCs/>
          <w:sz w:val="32"/>
          <w:szCs w:val="32"/>
        </w:rPr>
        <w:t>二是加强监督考核，建立政府信息公开工作例会制度，及时通报工作情况，</w:t>
      </w:r>
      <w:r>
        <w:rPr>
          <w:rFonts w:hint="eastAsia" w:ascii="楷体_GB2312" w:eastAsia="楷体_GB2312"/>
          <w:sz w:val="32"/>
          <w:szCs w:val="32"/>
        </w:rPr>
        <w:t>将信息公开工作作为日常工作的规定动作，适合公开发布的信息及时主动报送办公室，确保信息准确性和时效性</w:t>
      </w:r>
      <w:r>
        <w:rPr>
          <w:rFonts w:hint="eastAsia" w:ascii="楷体_GB2312" w:eastAsia="楷体_GB2312" w:cs="仿宋_GB2312"/>
          <w:bCs/>
          <w:sz w:val="32"/>
          <w:szCs w:val="32"/>
        </w:rPr>
        <w:t>，促进政府信息公开工作顺利开展。</w:t>
      </w:r>
    </w:p>
    <w:p>
      <w:pPr>
        <w:widowControl/>
        <w:spacing w:line="578" w:lineRule="exact"/>
        <w:ind w:left="645"/>
        <w:rPr>
          <w:rFonts w:ascii="楷体_GB2312" w:hAnsi="黑体" w:eastAsia="楷体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黑体" w:eastAsia="楷体_GB2312" w:cs="黑体"/>
          <w:b/>
          <w:bCs/>
          <w:color w:val="000000"/>
          <w:sz w:val="32"/>
          <w:szCs w:val="32"/>
          <w:shd w:val="clear" w:color="auto" w:fill="FFFFFF"/>
        </w:rPr>
        <w:t>六、其他需要报告的事项</w:t>
      </w:r>
    </w:p>
    <w:p>
      <w:pPr>
        <w:pStyle w:val="5"/>
        <w:widowControl/>
        <w:shd w:val="clear" w:color="auto" w:fill="FFFFFF"/>
        <w:spacing w:beforeAutospacing="0" w:afterAutospacing="0" w:line="578" w:lineRule="exact"/>
        <w:ind w:firstLine="420"/>
        <w:jc w:val="both"/>
        <w:rPr>
          <w:rFonts w:ascii="楷体_GB2312" w:hAnsi="黑体" w:eastAsia="楷体_GB2312"/>
          <w:b/>
          <w:bCs/>
          <w:color w:val="333333"/>
          <w:sz w:val="32"/>
          <w:szCs w:val="32"/>
        </w:rPr>
      </w:pPr>
      <w:r>
        <w:rPr>
          <w:rFonts w:hint="eastAsia" w:ascii="楷体_GB2312" w:hAnsi="黑体" w:eastAsia="楷体_GB2312" w:cs="仿宋_GB2312"/>
          <w:b/>
          <w:bCs/>
          <w:color w:val="333333"/>
          <w:sz w:val="32"/>
          <w:szCs w:val="32"/>
        </w:rPr>
        <w:t>无。</w:t>
      </w:r>
    </w:p>
    <w:p>
      <w:pPr>
        <w:pStyle w:val="5"/>
        <w:widowControl/>
        <w:shd w:val="clear" w:color="auto" w:fill="FFFFFF"/>
        <w:spacing w:beforeAutospacing="0" w:afterAutospacing="0" w:line="578" w:lineRule="exact"/>
        <w:ind w:firstLine="420"/>
        <w:jc w:val="both"/>
        <w:rPr>
          <w:rFonts w:ascii="仿宋_GB2312" w:hAnsi="黑体" w:eastAsia="仿宋_GB2312"/>
          <w:b/>
          <w:bCs/>
          <w:color w:val="333333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 w:line="578" w:lineRule="exact"/>
        <w:ind w:firstLine="420"/>
        <w:jc w:val="both"/>
        <w:rPr>
          <w:rFonts w:ascii="仿宋_GB2312" w:hAnsi="黑体" w:eastAsia="仿宋_GB2312"/>
          <w:b/>
          <w:bCs/>
          <w:color w:val="333333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 w:line="578" w:lineRule="exact"/>
        <w:ind w:firstLine="420"/>
        <w:jc w:val="both"/>
        <w:rPr>
          <w:rFonts w:ascii="仿宋_GB2312" w:hAnsi="黑体" w:eastAsia="仿宋_GB2312"/>
          <w:b/>
          <w:bCs/>
          <w:color w:val="333333"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color w:val="333333"/>
          <w:sz w:val="32"/>
          <w:szCs w:val="32"/>
        </w:rPr>
        <w:t xml:space="preserve">                               昌乐县文化和旅游局</w:t>
      </w:r>
    </w:p>
    <w:p>
      <w:pPr>
        <w:pStyle w:val="5"/>
        <w:widowControl/>
        <w:shd w:val="clear" w:color="auto" w:fill="FFFFFF"/>
        <w:spacing w:beforeAutospacing="0" w:afterAutospacing="0" w:line="578" w:lineRule="exact"/>
        <w:ind w:right="160" w:firstLine="420"/>
        <w:jc w:val="right"/>
        <w:rPr>
          <w:rFonts w:ascii="仿宋_GB2312" w:hAnsi="黑体" w:eastAsia="仿宋_GB2312" w:cs="仿宋_GB2312"/>
          <w:b/>
          <w:bCs/>
          <w:color w:val="333333"/>
          <w:sz w:val="32"/>
          <w:szCs w:val="32"/>
        </w:rPr>
      </w:pPr>
      <w:r>
        <w:rPr>
          <w:rFonts w:ascii="仿宋_GB2312" w:hAnsi="黑体" w:eastAsia="仿宋_GB2312" w:cs="仿宋_GB2312"/>
          <w:b/>
          <w:bCs/>
          <w:color w:val="333333"/>
          <w:sz w:val="32"/>
          <w:szCs w:val="32"/>
        </w:rPr>
        <w:t>202</w:t>
      </w:r>
      <w:r>
        <w:rPr>
          <w:rFonts w:hint="eastAsia" w:ascii="仿宋_GB2312" w:hAnsi="黑体" w:eastAsia="仿宋_GB2312" w:cs="仿宋_GB2312"/>
          <w:b/>
          <w:bCs/>
          <w:color w:val="333333"/>
          <w:sz w:val="32"/>
          <w:szCs w:val="32"/>
        </w:rPr>
        <w:t>1年</w:t>
      </w:r>
      <w:r>
        <w:rPr>
          <w:rFonts w:ascii="仿宋_GB2312" w:hAnsi="黑体" w:eastAsia="仿宋_GB2312" w:cs="仿宋_GB2312"/>
          <w:b/>
          <w:bCs/>
          <w:color w:val="333333"/>
          <w:sz w:val="32"/>
          <w:szCs w:val="32"/>
        </w:rPr>
        <w:t>1</w:t>
      </w:r>
      <w:r>
        <w:rPr>
          <w:rFonts w:hint="eastAsia" w:ascii="仿宋_GB2312" w:hAnsi="黑体" w:eastAsia="仿宋_GB2312" w:cs="仿宋_GB2312"/>
          <w:b/>
          <w:bCs/>
          <w:color w:val="333333"/>
          <w:sz w:val="32"/>
          <w:szCs w:val="32"/>
        </w:rPr>
        <w:t>月20日</w:t>
      </w:r>
      <w:r>
        <w:rPr>
          <w:rFonts w:ascii="仿宋_GB2312" w:hAnsi="黑体" w:eastAsia="仿宋_GB2312" w:cs="仿宋_GB2312"/>
          <w:b/>
          <w:bCs/>
          <w:color w:val="333333"/>
          <w:sz w:val="32"/>
          <w:szCs w:val="32"/>
        </w:rPr>
        <w:t xml:space="preserve">  </w:t>
      </w:r>
    </w:p>
    <w:p>
      <w:pPr>
        <w:spacing w:line="578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6531"/>
    <w:rsid w:val="00050BBE"/>
    <w:rsid w:val="0006042A"/>
    <w:rsid w:val="000B6881"/>
    <w:rsid w:val="000E6B12"/>
    <w:rsid w:val="00157100"/>
    <w:rsid w:val="0019087D"/>
    <w:rsid w:val="002F505A"/>
    <w:rsid w:val="00360DED"/>
    <w:rsid w:val="003A5C34"/>
    <w:rsid w:val="003B32BA"/>
    <w:rsid w:val="0043484C"/>
    <w:rsid w:val="00441E5C"/>
    <w:rsid w:val="00450CFD"/>
    <w:rsid w:val="0048061A"/>
    <w:rsid w:val="00493B26"/>
    <w:rsid w:val="00576033"/>
    <w:rsid w:val="005972EC"/>
    <w:rsid w:val="005F0530"/>
    <w:rsid w:val="007058AA"/>
    <w:rsid w:val="009866CC"/>
    <w:rsid w:val="009B148A"/>
    <w:rsid w:val="00B66531"/>
    <w:rsid w:val="00B81B0D"/>
    <w:rsid w:val="00BC45A2"/>
    <w:rsid w:val="00C015B2"/>
    <w:rsid w:val="00C348C0"/>
    <w:rsid w:val="00C73DE7"/>
    <w:rsid w:val="00C802A9"/>
    <w:rsid w:val="00C8600A"/>
    <w:rsid w:val="00CB4784"/>
    <w:rsid w:val="00DD2954"/>
    <w:rsid w:val="00DE7645"/>
    <w:rsid w:val="00E70216"/>
    <w:rsid w:val="00EA2CA3"/>
    <w:rsid w:val="00EF0409"/>
    <w:rsid w:val="00F6706E"/>
    <w:rsid w:val="1E3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428</Words>
  <Characters>2443</Characters>
  <Lines>20</Lines>
  <Paragraphs>5</Paragraphs>
  <TotalTime>147</TotalTime>
  <ScaleCrop>false</ScaleCrop>
  <LinksUpToDate>false</LinksUpToDate>
  <CharactersWithSpaces>2866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2021-01-26T06:39:00Z</dcterms:created>
  <dc:creator>lenovo</dc:creator>
  <cp:lastModifiedBy>Administrator</cp:lastModifiedBy>
  <dcterms:modified xsi:type="dcterms:W3CDTF">2021-02-07T07:23:32Z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