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932" w:firstLineChars="0"/>
        <w:jc w:val="center"/>
        <w:rPr>
          <w:rFonts w:hint="eastAsia" w:ascii="文星标宋" w:hAnsi="文星标宋" w:eastAsia="文星标宋" w:cs="文星标宋"/>
          <w:b w:val="0"/>
          <w:bCs w:val="0"/>
          <w:color w:val="333333"/>
          <w:spacing w:val="8"/>
          <w:kern w:val="0"/>
          <w:sz w:val="44"/>
          <w:szCs w:val="44"/>
        </w:rPr>
      </w:pPr>
      <w:r>
        <w:rPr>
          <w:rFonts w:hint="eastAsia" w:ascii="文星标宋" w:hAnsi="文星标宋" w:eastAsia="文星标宋" w:cs="文星标宋"/>
          <w:b w:val="0"/>
          <w:bCs w:val="0"/>
          <w:color w:val="333333"/>
          <w:spacing w:val="8"/>
          <w:kern w:val="0"/>
          <w:sz w:val="44"/>
          <w:szCs w:val="44"/>
        </w:rPr>
        <w:t>昌乐县安全生产领域基层政务公开标准目录</w:t>
      </w:r>
    </w:p>
    <w:p>
      <w:pPr>
        <w:widowControl/>
        <w:spacing w:line="600" w:lineRule="atLeast"/>
        <w:ind w:firstLine="0" w:firstLineChars="0"/>
        <w:jc w:val="left"/>
        <w:rPr>
          <w:rFonts w:ascii="微软雅黑" w:hAnsi="微软雅黑" w:eastAsia="微软雅黑" w:cs="宋体"/>
          <w:color w:val="333333"/>
          <w:spacing w:val="8"/>
          <w:kern w:val="0"/>
          <w:sz w:val="30"/>
          <w:szCs w:val="30"/>
        </w:rPr>
      </w:pPr>
    </w:p>
    <w:tbl>
      <w:tblPr>
        <w:tblStyle w:val="6"/>
        <w:tblW w:w="14772" w:type="dxa"/>
        <w:jc w:val="center"/>
        <w:tblInd w:w="0" w:type="dxa"/>
        <w:tblLayout w:type="fixed"/>
        <w:tblCellMar>
          <w:top w:w="15" w:type="dxa"/>
          <w:left w:w="15" w:type="dxa"/>
          <w:bottom w:w="15" w:type="dxa"/>
          <w:right w:w="15" w:type="dxa"/>
        </w:tblCellMar>
      </w:tblPr>
      <w:tblGrid>
        <w:gridCol w:w="653"/>
        <w:gridCol w:w="720"/>
        <w:gridCol w:w="2847"/>
        <w:gridCol w:w="3386"/>
        <w:gridCol w:w="1604"/>
        <w:gridCol w:w="1069"/>
        <w:gridCol w:w="1073"/>
        <w:gridCol w:w="540"/>
        <w:gridCol w:w="720"/>
        <w:gridCol w:w="426"/>
        <w:gridCol w:w="654"/>
        <w:gridCol w:w="541"/>
        <w:gridCol w:w="539"/>
      </w:tblGrid>
      <w:tr>
        <w:tblPrEx>
          <w:tblLayout w:type="fixed"/>
          <w:tblCellMar>
            <w:top w:w="15" w:type="dxa"/>
            <w:left w:w="15" w:type="dxa"/>
            <w:bottom w:w="15" w:type="dxa"/>
            <w:right w:w="15" w:type="dxa"/>
          </w:tblCellMar>
        </w:tblPrEx>
        <w:trPr>
          <w:trHeight w:val="585" w:hRule="atLeast"/>
          <w:jc w:val="center"/>
        </w:trPr>
        <w:tc>
          <w:tcPr>
            <w:tcW w:w="1373"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公开事项</w:t>
            </w:r>
          </w:p>
        </w:tc>
        <w:tc>
          <w:tcPr>
            <w:tcW w:w="284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公开内容</w:t>
            </w:r>
          </w:p>
        </w:tc>
        <w:tc>
          <w:tcPr>
            <w:tcW w:w="338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公开依据</w:t>
            </w:r>
          </w:p>
        </w:tc>
        <w:tc>
          <w:tcPr>
            <w:tcW w:w="1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公开时限</w:t>
            </w:r>
          </w:p>
        </w:tc>
        <w:tc>
          <w:tcPr>
            <w:tcW w:w="106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公开主体</w:t>
            </w:r>
          </w:p>
        </w:tc>
        <w:tc>
          <w:tcPr>
            <w:tcW w:w="107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公开渠道和载体</w:t>
            </w:r>
          </w:p>
        </w:tc>
        <w:tc>
          <w:tcPr>
            <w:tcW w:w="1260" w:type="dxa"/>
            <w:gridSpan w:val="2"/>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公开对象</w:t>
            </w:r>
          </w:p>
        </w:tc>
        <w:tc>
          <w:tcPr>
            <w:tcW w:w="10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公开方式</w:t>
            </w:r>
          </w:p>
        </w:tc>
        <w:tc>
          <w:tcPr>
            <w:tcW w:w="10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公开层级</w:t>
            </w:r>
          </w:p>
        </w:tc>
      </w:tr>
      <w:tr>
        <w:tblPrEx>
          <w:tblLayout w:type="fixed"/>
          <w:tblCellMar>
            <w:top w:w="15" w:type="dxa"/>
            <w:left w:w="15" w:type="dxa"/>
            <w:bottom w:w="15" w:type="dxa"/>
            <w:right w:w="15" w:type="dxa"/>
          </w:tblCellMar>
        </w:tblPrEx>
        <w:trPr>
          <w:trHeight w:val="510" w:hRule="atLeast"/>
          <w:jc w:val="center"/>
        </w:trPr>
        <w:tc>
          <w:tcPr>
            <w:tcW w:w="65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一级事项</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二级事项</w:t>
            </w:r>
          </w:p>
        </w:tc>
        <w:tc>
          <w:tcPr>
            <w:tcW w:w="2847" w:type="dxa"/>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黑体" w:hAnsi="黑体" w:eastAsia="黑体" w:cs="黑体"/>
                <w:kern w:val="0"/>
                <w:sz w:val="21"/>
                <w:szCs w:val="21"/>
              </w:rPr>
            </w:pPr>
          </w:p>
        </w:tc>
        <w:tc>
          <w:tcPr>
            <w:tcW w:w="3386" w:type="dxa"/>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黑体" w:hAnsi="黑体" w:eastAsia="黑体" w:cs="黑体"/>
                <w:kern w:val="0"/>
                <w:sz w:val="21"/>
                <w:szCs w:val="21"/>
              </w:rPr>
            </w:pPr>
          </w:p>
        </w:tc>
        <w:tc>
          <w:tcPr>
            <w:tcW w:w="1604" w:type="dxa"/>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黑体" w:hAnsi="黑体" w:eastAsia="黑体" w:cs="黑体"/>
                <w:kern w:val="0"/>
                <w:sz w:val="21"/>
                <w:szCs w:val="21"/>
              </w:rPr>
            </w:pPr>
          </w:p>
        </w:tc>
        <w:tc>
          <w:tcPr>
            <w:tcW w:w="1069" w:type="dxa"/>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黑体" w:hAnsi="黑体" w:eastAsia="黑体" w:cs="黑体"/>
                <w:kern w:val="0"/>
                <w:sz w:val="21"/>
                <w:szCs w:val="21"/>
              </w:rPr>
            </w:pPr>
          </w:p>
        </w:tc>
        <w:tc>
          <w:tcPr>
            <w:tcW w:w="1073" w:type="dxa"/>
            <w:vMerge w:val="continue"/>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黑体" w:hAnsi="黑体" w:eastAsia="黑体" w:cs="黑体"/>
                <w:kern w:val="0"/>
                <w:sz w:val="21"/>
                <w:szCs w:val="21"/>
              </w:rPr>
            </w:pPr>
          </w:p>
        </w:tc>
        <w:tc>
          <w:tcPr>
            <w:tcW w:w="54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全社会</w:t>
            </w:r>
          </w:p>
        </w:tc>
        <w:tc>
          <w:tcPr>
            <w:tcW w:w="7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特定群体</w:t>
            </w:r>
          </w:p>
        </w:tc>
        <w:tc>
          <w:tcPr>
            <w:tcW w:w="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主动</w:t>
            </w:r>
          </w:p>
        </w:tc>
        <w:tc>
          <w:tcPr>
            <w:tcW w:w="6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依</w:t>
            </w:r>
          </w:p>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申</w:t>
            </w:r>
          </w:p>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请</w:t>
            </w:r>
          </w:p>
        </w:tc>
        <w:tc>
          <w:tcPr>
            <w:tcW w:w="5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区级</w:t>
            </w:r>
          </w:p>
        </w:tc>
        <w:tc>
          <w:tcPr>
            <w:tcW w:w="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乡级</w:t>
            </w:r>
          </w:p>
        </w:tc>
      </w:tr>
      <w:tr>
        <w:tblPrEx>
          <w:tblLayout w:type="fixed"/>
          <w:tblCellMar>
            <w:top w:w="15" w:type="dxa"/>
            <w:left w:w="15" w:type="dxa"/>
            <w:bottom w:w="15" w:type="dxa"/>
            <w:right w:w="15" w:type="dxa"/>
          </w:tblCellMar>
        </w:tblPrEx>
        <w:trPr>
          <w:trHeight w:val="720" w:hRule="atLeast"/>
          <w:jc w:val="center"/>
        </w:trPr>
        <w:tc>
          <w:tcPr>
            <w:tcW w:w="653" w:type="dxa"/>
            <w:vMerge w:val="restart"/>
            <w:tcBorders>
              <w:top w:val="nil"/>
              <w:left w:val="single" w:color="auto" w:sz="8" w:space="0"/>
              <w:bottom w:val="nil"/>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政策文件</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法律法规</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与安全生产有关的法律、法规。</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822" w:hRule="atLeast"/>
          <w:jc w:val="center"/>
        </w:trPr>
        <w:tc>
          <w:tcPr>
            <w:tcW w:w="653" w:type="dxa"/>
            <w:vMerge w:val="continue"/>
            <w:tcBorders>
              <w:top w:val="nil"/>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部门和地方政府规章</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与安全生产有关的部门和地方政府规章。</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720" w:hRule="atLeast"/>
          <w:jc w:val="center"/>
        </w:trPr>
        <w:tc>
          <w:tcPr>
            <w:tcW w:w="653" w:type="dxa"/>
            <w:vMerge w:val="continue"/>
            <w:tcBorders>
              <w:top w:val="nil"/>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标准</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安全生产领域有关的国家标准、行业标准、地方标准等。</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720" w:hRule="atLeast"/>
          <w:jc w:val="center"/>
        </w:trPr>
        <w:tc>
          <w:tcPr>
            <w:tcW w:w="653" w:type="dxa"/>
            <w:vMerge w:val="continue"/>
            <w:tcBorders>
              <w:top w:val="nil"/>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其他政策文件</w:t>
            </w:r>
          </w:p>
        </w:tc>
        <w:tc>
          <w:tcPr>
            <w:tcW w:w="284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其他可以公开的与安全生产有关的政策文件，包括改革方案、发展规划、专项规划、工作计划等。</w:t>
            </w:r>
          </w:p>
        </w:tc>
        <w:tc>
          <w:tcPr>
            <w:tcW w:w="338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822" w:hRule="atLeast"/>
          <w:jc w:val="center"/>
        </w:trPr>
        <w:tc>
          <w:tcPr>
            <w:tcW w:w="653" w:type="dxa"/>
            <w:vMerge w:val="continue"/>
            <w:tcBorders>
              <w:top w:val="nil"/>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重要会议</w:t>
            </w:r>
          </w:p>
        </w:tc>
        <w:tc>
          <w:tcPr>
            <w:tcW w:w="284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通过会议讨论作出重要改革方案等重大决策时，经党委研究认为有必要公开讨论决策过程的会议。</w:t>
            </w:r>
          </w:p>
        </w:tc>
        <w:tc>
          <w:tcPr>
            <w:tcW w:w="338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《中华人民共和国政府信息公开条例》(国务院令第711号）,中央办公厅、国务院办公厅《关于全面推进政务公开工作的意见》</w:t>
            </w:r>
          </w:p>
        </w:tc>
        <w:tc>
          <w:tcPr>
            <w:tcW w:w="1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提前一周发通知邀请</w:t>
            </w: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42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374" w:hRule="atLeast"/>
          <w:jc w:val="center"/>
        </w:trPr>
        <w:tc>
          <w:tcPr>
            <w:tcW w:w="653" w:type="dxa"/>
            <w:vMerge w:val="restart"/>
            <w:tcBorders>
              <w:top w:val="nil"/>
              <w:left w:val="single" w:color="auto" w:sz="8" w:space="0"/>
              <w:bottom w:val="nil"/>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政策文件</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重大决策意见征集情况</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发布决策依据、决策草案，并提供意见反馈渠道，广泛征求公众意见。</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《中华人民共和国政府信息公开条例》(国务院令第711号），中央办公厅、国务院办公厅《关于全面推进政务公开工作的意见》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征求意见时对外公布的时限内公开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080" w:hRule="atLeast"/>
          <w:jc w:val="center"/>
        </w:trPr>
        <w:tc>
          <w:tcPr>
            <w:tcW w:w="653" w:type="dxa"/>
            <w:vMerge w:val="continue"/>
            <w:tcBorders>
              <w:top w:val="nil"/>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重大决策意见反馈</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反馈意见收集情况、意见采纳情况和未予采纳的理由。</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《中华人民共和国政府信息公开条例》(国务院令第711号），中央办公厅、国务院办公厅《关于全面推进政务公开工作的意见》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征求意见时对外公布的时限内公开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780" w:hRule="atLeast"/>
          <w:jc w:val="center"/>
        </w:trPr>
        <w:tc>
          <w:tcPr>
            <w:tcW w:w="653" w:type="dxa"/>
            <w:vMerge w:val="continue"/>
            <w:tcBorders>
              <w:top w:val="nil"/>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重大政策解读及回应</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有关重大政策的解读与回应，安全生产相关热点问题的解读与回应。</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《中华人民共和国政府信息公开条例》(国务院令第711号）、中办国办《关于全面推进政务公开工作的意见》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重大决策作出后及时公开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1124" w:hRule="atLeast"/>
          <w:jc w:val="center"/>
        </w:trPr>
        <w:tc>
          <w:tcPr>
            <w:tcW w:w="653" w:type="dxa"/>
            <w:vMerge w:val="restart"/>
            <w:tcBorders>
              <w:top w:val="single" w:color="auto" w:sz="4" w:space="0"/>
              <w:left w:val="single" w:color="auto" w:sz="8" w:space="0"/>
              <w:bottom w:val="nil"/>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依法行政</w:t>
            </w: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行政许可</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办理行政许可和其他对外管理服务事项的依据、条件、程序。</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919" w:hRule="atLeast"/>
          <w:jc w:val="center"/>
        </w:trPr>
        <w:tc>
          <w:tcPr>
            <w:tcW w:w="653" w:type="dxa"/>
            <w:vMerge w:val="continue"/>
            <w:tcBorders>
              <w:top w:val="nil"/>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行政处罚</w:t>
            </w:r>
          </w:p>
        </w:tc>
        <w:tc>
          <w:tcPr>
            <w:tcW w:w="284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办理行政处罚的依据、条件、程序以及本级行政机关认为具有一定社会影响的行政处罚决定。</w:t>
            </w:r>
          </w:p>
        </w:tc>
        <w:tc>
          <w:tcPr>
            <w:tcW w:w="338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4"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1691" w:hRule="atLeast"/>
          <w:jc w:val="center"/>
        </w:trPr>
        <w:tc>
          <w:tcPr>
            <w:tcW w:w="653" w:type="dxa"/>
            <w:vMerge w:val="continue"/>
            <w:tcBorders>
              <w:top w:val="nil"/>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行政强制</w:t>
            </w:r>
          </w:p>
        </w:tc>
        <w:tc>
          <w:tcPr>
            <w:tcW w:w="284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办理行政强制的依据、条件、程序。</w:t>
            </w:r>
          </w:p>
        </w:tc>
        <w:tc>
          <w:tcPr>
            <w:tcW w:w="338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《中华人民共和国政府信息公开条例》(国务院令第711号）《中华人民共和国突发事件应对法》、《突发事件应急预案管理办法》、《中共中央 国务院关于推进安全生产领域改革发展的意见》</w:t>
            </w:r>
          </w:p>
        </w:tc>
        <w:tc>
          <w:tcPr>
            <w:tcW w:w="1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1020" w:hRule="atLeast"/>
          <w:jc w:val="center"/>
        </w:trPr>
        <w:tc>
          <w:tcPr>
            <w:tcW w:w="653" w:type="dxa"/>
            <w:vMerge w:val="restart"/>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隐患管理</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常规检查、按查暗访、突击检查、随机抽查，包括重大隐患排查、挂牌督办及其整改情况。</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《安全生产法》、《中华人民共和国政府信息公开条例》(国务院令第711号）、《中共中央 国务院关于推进安全生产领域改革发展的意见》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080"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应急管理</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防范化解重大风险、政府工作报告落实、重要民生实事等。</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《中华人民共和国政府信息公开条例》(国务院令第711号），《中华人民共和国突发事件应对法》，中央办公厅、国务院办公厅《关于全面加强政务公开工作的意见》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002"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黑名单管理</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列入或撤销纳入安全生产黑名单管理的企业信息，具体企业名称、证照编号、经营地址、负责人姓名等。</w:t>
            </w:r>
          </w:p>
        </w:tc>
        <w:tc>
          <w:tcPr>
            <w:tcW w:w="3386" w:type="dxa"/>
            <w:tcBorders>
              <w:top w:val="nil"/>
              <w:left w:val="nil"/>
              <w:bottom w:val="nil"/>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《中华人民共和国政府信息公开条例》（国务院令第711号）、《社会信用体系建设规划纲要（2014-2020年）》</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信息形成或变更之日起20个工作日内</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1002"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安全生产预警提示信息</w:t>
            </w:r>
          </w:p>
        </w:tc>
        <w:tc>
          <w:tcPr>
            <w:tcW w:w="284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不同时段、不同领域安全生产提示信息。</w:t>
            </w:r>
          </w:p>
        </w:tc>
        <w:tc>
          <w:tcPr>
            <w:tcW w:w="3386"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《中华人民共和国政府信息公开条例》(国务院令第711号）、区级相关应急预案</w:t>
            </w:r>
          </w:p>
        </w:tc>
        <w:tc>
          <w:tcPr>
            <w:tcW w:w="16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根据需要及时公开</w:t>
            </w: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政府网站、部门微信公众号</w:t>
            </w:r>
          </w:p>
        </w:tc>
        <w:tc>
          <w:tcPr>
            <w:tcW w:w="54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2719"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动态信息</w:t>
            </w:r>
          </w:p>
        </w:tc>
        <w:tc>
          <w:tcPr>
            <w:tcW w:w="284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业务工作动态、安全生产执法检查动态</w:t>
            </w:r>
          </w:p>
        </w:tc>
        <w:tc>
          <w:tcPr>
            <w:tcW w:w="338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政府网站、部门微信公众号</w:t>
            </w:r>
          </w:p>
        </w:tc>
        <w:tc>
          <w:tcPr>
            <w:tcW w:w="54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p>
        </w:tc>
        <w:tc>
          <w:tcPr>
            <w:tcW w:w="42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p>
        </w:tc>
        <w:tc>
          <w:tcPr>
            <w:tcW w:w="541"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2719"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事故通报</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事故信息:本部门接报查实的各类生产安全事故情况（事故发生时间、地点、伤亡情况、简要经过）。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典型事故通报:各类典型安全生产事故情况通报，主要包括发生时间、地点、起因、经过、结果、相关领导批示情况、预防性措施建议等内容。</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事故调查报告：依照事故调查处理权限，经批复的生产安全事故调查报告，依法应当保密的除外。</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《安全生产法》、《中华人民共和国政府信息公开条例》(国务院令第711号）、《中共中央 国务院关于推进安全生产领域改革发展的意见》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720" w:hRule="atLeast"/>
          <w:jc w:val="center"/>
        </w:trPr>
        <w:tc>
          <w:tcPr>
            <w:tcW w:w="653" w:type="dxa"/>
            <w:vMerge w:val="restart"/>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公共服务</w:t>
            </w: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政务公开目录</w:t>
            </w:r>
          </w:p>
        </w:tc>
        <w:tc>
          <w:tcPr>
            <w:tcW w:w="284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政务公开事项的索引、名称、内容概述、生成日期等。</w:t>
            </w:r>
          </w:p>
        </w:tc>
        <w:tc>
          <w:tcPr>
            <w:tcW w:w="338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4"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480"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政务公开标准</w:t>
            </w:r>
          </w:p>
        </w:tc>
        <w:tc>
          <w:tcPr>
            <w:tcW w:w="284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政府信息公开指南等流程性信息。</w:t>
            </w:r>
          </w:p>
        </w:tc>
        <w:tc>
          <w:tcPr>
            <w:tcW w:w="338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1002"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权力清单及责任清单</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本部门与相关部门权责清单、职责边界等。</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信息形成或者变更20个工作日内，如有更新，及时公开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900"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主要业务办事指南</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本部门主要业务工作的办事依据、程序、时限，办事时间、地点、部门、联系方式。</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信息形成或者变更之日起20个工作日内</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702"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年度报告</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政府信息公开年度报告及相关统计报表。</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每年1月31日前</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1320" w:hRule="atLeast"/>
          <w:jc w:val="center"/>
        </w:trPr>
        <w:tc>
          <w:tcPr>
            <w:tcW w:w="653" w:type="dxa"/>
            <w:vMerge w:val="restart"/>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重点领域</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财政资金信息</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预算、决算。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安责险落实情况等。</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《中华人民共和国政府信息公开条例》(国务院令第711号）、《国务院关于深化预算管理制度改革的决定》、《国务院办公厅关于进一步推进预算公开工作意见的通知》</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按有关要求公开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339"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政府采购信息</w:t>
            </w:r>
          </w:p>
        </w:tc>
        <w:tc>
          <w:tcPr>
            <w:tcW w:w="284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政府采购实施情况。</w:t>
            </w:r>
          </w:p>
        </w:tc>
        <w:tc>
          <w:tcPr>
            <w:tcW w:w="338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《中华人民共和国政府信息公开条例》(国务院令第711号）,《国务院关于深化预算管理制度改革的决定》(国发〔2014〕45号),中办、国办印发《关于进一步推进预算公开工作的意见》的通知</w:t>
            </w:r>
          </w:p>
        </w:tc>
        <w:tc>
          <w:tcPr>
            <w:tcW w:w="160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339" w:hRule="atLeast"/>
          <w:jc w:val="center"/>
        </w:trPr>
        <w:tc>
          <w:tcPr>
            <w:tcW w:w="653" w:type="dxa"/>
            <w:vMerge w:val="restart"/>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重点领域</w:t>
            </w: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办事纪律和监督管理</w:t>
            </w:r>
          </w:p>
        </w:tc>
        <w:tc>
          <w:tcPr>
            <w:tcW w:w="284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本单位的办事纪律,受理投诉、举报、信访的途径等内容。</w:t>
            </w:r>
          </w:p>
        </w:tc>
        <w:tc>
          <w:tcPr>
            <w:tcW w:w="338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339"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重大工程项目信息</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项目名称、执行措施、责任分工、取得成效、后续举措等。</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《中华人民共和国政府信息公开条例》(国务院令第711号）、《国务院办公厅关于推进重大建设项目批准和实施领域政府信息公开的意见》（国办发〔2017〕94号）</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按照有关要求公开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1339" w:hRule="atLeast"/>
          <w:jc w:val="center"/>
        </w:trPr>
        <w:tc>
          <w:tcPr>
            <w:tcW w:w="653" w:type="dxa"/>
            <w:vMerge w:val="continue"/>
            <w:tcBorders>
              <w:top w:val="single" w:color="auto" w:sz="4" w:space="0"/>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检查和巡查发现安全监管监察问题</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检查和巡查发现的、并要求向社会公开的问题及整改落实情况。</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《中华人民共和国政府信息公开条例》(国务院令第711号）、《中共中央 国务院关于推进安全生产领域改革发展的意见》</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1339" w:hRule="atLeast"/>
          <w:jc w:val="center"/>
        </w:trPr>
        <w:tc>
          <w:tcPr>
            <w:tcW w:w="653" w:type="dxa"/>
            <w:vMerge w:val="continue"/>
            <w:tcBorders>
              <w:top w:val="single" w:color="auto" w:sz="4" w:space="0"/>
              <w:left w:val="single" w:color="auto" w:sz="8" w:space="0"/>
              <w:bottom w:val="nil"/>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建议提案办理</w:t>
            </w:r>
          </w:p>
        </w:tc>
        <w:tc>
          <w:tcPr>
            <w:tcW w:w="28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复文全文或摘要，建议或提案办理总体情况。</w:t>
            </w:r>
          </w:p>
        </w:tc>
        <w:tc>
          <w:tcPr>
            <w:tcW w:w="3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《中华人民共和国政府信息公开条例》(国务院令第711号）、《国务院办公厅关于做好全国人大代表建议和全国政协委员提案办理结果公开工作的通知》（国办发〔2014〕46号）</w:t>
            </w:r>
          </w:p>
        </w:tc>
        <w:tc>
          <w:tcPr>
            <w:tcW w:w="1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按照有关要求公开</w:t>
            </w:r>
          </w:p>
        </w:tc>
        <w:tc>
          <w:tcPr>
            <w:tcW w:w="10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政府网站</w:t>
            </w:r>
          </w:p>
        </w:tc>
        <w:tc>
          <w:tcPr>
            <w:tcW w:w="54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15" w:type="dxa"/>
            <w:left w:w="15" w:type="dxa"/>
            <w:bottom w:w="15" w:type="dxa"/>
            <w:right w:w="15" w:type="dxa"/>
          </w:tblCellMar>
        </w:tblPrEx>
        <w:trPr>
          <w:trHeight w:val="642" w:hRule="atLeast"/>
          <w:jc w:val="center"/>
        </w:trPr>
        <w:tc>
          <w:tcPr>
            <w:tcW w:w="653" w:type="dxa"/>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工作动态</w:t>
            </w:r>
          </w:p>
        </w:tc>
        <w:tc>
          <w:tcPr>
            <w:tcW w:w="720" w:type="dxa"/>
            <w:tcBorders>
              <w:top w:val="nil"/>
              <w:left w:val="nil"/>
              <w:bottom w:val="nil"/>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工作信息</w:t>
            </w:r>
          </w:p>
        </w:tc>
        <w:tc>
          <w:tcPr>
            <w:tcW w:w="2847" w:type="dxa"/>
            <w:tcBorders>
              <w:top w:val="nil"/>
              <w:left w:val="nil"/>
              <w:bottom w:val="nil"/>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有关会议、特色活动等。</w:t>
            </w:r>
          </w:p>
        </w:tc>
        <w:tc>
          <w:tcPr>
            <w:tcW w:w="3386" w:type="dxa"/>
            <w:tcBorders>
              <w:top w:val="nil"/>
              <w:left w:val="nil"/>
              <w:bottom w:val="nil"/>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nil"/>
              <w:left w:val="nil"/>
              <w:bottom w:val="nil"/>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nil"/>
              <w:left w:val="nil"/>
              <w:bottom w:val="nil"/>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nil"/>
              <w:left w:val="nil"/>
              <w:bottom w:val="nil"/>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pacing w:val="-16"/>
                <w:kern w:val="0"/>
                <w:sz w:val="21"/>
                <w:szCs w:val="21"/>
              </w:rPr>
              <w:t>政府网站、部门微信公众号</w:t>
            </w:r>
          </w:p>
        </w:tc>
        <w:tc>
          <w:tcPr>
            <w:tcW w:w="540" w:type="dxa"/>
            <w:tcBorders>
              <w:top w:val="nil"/>
              <w:left w:val="nil"/>
              <w:bottom w:val="nil"/>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nil"/>
              <w:left w:val="nil"/>
              <w:bottom w:val="nil"/>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nil"/>
              <w:left w:val="nil"/>
              <w:bottom w:val="nil"/>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nil"/>
              <w:left w:val="nil"/>
              <w:bottom w:val="nil"/>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nil"/>
              <w:left w:val="nil"/>
              <w:bottom w:val="nil"/>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nil"/>
              <w:left w:val="nil"/>
              <w:bottom w:val="nil"/>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r>
      <w:tr>
        <w:tblPrEx>
          <w:tblLayout w:type="fixed"/>
          <w:tblCellMar>
            <w:top w:w="15" w:type="dxa"/>
            <w:left w:w="15" w:type="dxa"/>
            <w:bottom w:w="15" w:type="dxa"/>
            <w:right w:w="15" w:type="dxa"/>
          </w:tblCellMar>
        </w:tblPrEx>
        <w:trPr>
          <w:trHeight w:val="702" w:hRule="atLeast"/>
          <w:jc w:val="center"/>
        </w:trPr>
        <w:tc>
          <w:tcPr>
            <w:tcW w:w="653" w:type="dxa"/>
            <w:vMerge w:val="continue"/>
            <w:tcBorders>
              <w:left w:val="single" w:color="auto" w:sz="8" w:space="0"/>
              <w:bottom w:val="single" w:color="auto" w:sz="4" w:space="0"/>
              <w:right w:val="single" w:color="auto" w:sz="8" w:space="0"/>
            </w:tcBorders>
            <w:tcMar>
              <w:top w:w="0" w:type="dxa"/>
              <w:left w:w="0" w:type="dxa"/>
              <w:bottom w:w="0" w:type="dxa"/>
              <w:right w:w="0" w:type="dxa"/>
            </w:tcMar>
            <w:vAlign w:val="center"/>
          </w:tcPr>
          <w:p>
            <w:pPr>
              <w:widowControl/>
              <w:spacing w:line="240" w:lineRule="auto"/>
              <w:ind w:firstLine="0" w:firstLineChars="0"/>
              <w:jc w:val="left"/>
              <w:rPr>
                <w:rFonts w:hint="eastAsia" w:asciiTheme="minorEastAsia" w:hAnsiTheme="minorEastAsia" w:eastAsiaTheme="minorEastAsia" w:cstheme="minorEastAsia"/>
                <w:kern w:val="0"/>
                <w:sz w:val="21"/>
                <w:szCs w:val="21"/>
              </w:rPr>
            </w:pPr>
            <w:bookmarkStart w:id="0" w:name="_GoBack"/>
            <w:bookmarkEnd w:id="0"/>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公示信息</w:t>
            </w:r>
          </w:p>
        </w:tc>
        <w:tc>
          <w:tcPr>
            <w:tcW w:w="284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安全生产标准化达标企业公示等。</w:t>
            </w:r>
          </w:p>
        </w:tc>
        <w:tc>
          <w:tcPr>
            <w:tcW w:w="338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《中华人民共和国政府信息公开条例》（国务院令第711号）</w:t>
            </w:r>
          </w:p>
        </w:tc>
        <w:tc>
          <w:tcPr>
            <w:tcW w:w="1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按进展情况及时公开</w:t>
            </w:r>
          </w:p>
        </w:tc>
        <w:tc>
          <w:tcPr>
            <w:tcW w:w="106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县应急局</w:t>
            </w:r>
          </w:p>
        </w:tc>
        <w:tc>
          <w:tcPr>
            <w:tcW w:w="10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ind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pacing w:val="-14"/>
                <w:kern w:val="0"/>
                <w:sz w:val="21"/>
                <w:szCs w:val="21"/>
              </w:rPr>
              <w:t>政府网站、部门微信公众号</w:t>
            </w:r>
          </w:p>
        </w:tc>
        <w:tc>
          <w:tcPr>
            <w:tcW w:w="54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720"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426" w:type="dxa"/>
            <w:tcBorders>
              <w:top w:val="single" w:color="auto" w:sz="4" w:space="0"/>
              <w:left w:val="nil"/>
              <w:bottom w:val="single" w:color="auto" w:sz="8" w:space="0"/>
              <w:right w:val="single" w:color="auto" w:sz="4"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654" w:type="dxa"/>
            <w:tcBorders>
              <w:top w:val="single" w:color="auto" w:sz="4"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c>
          <w:tcPr>
            <w:tcW w:w="541"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p>
        </w:tc>
        <w:tc>
          <w:tcPr>
            <w:tcW w:w="539"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tcPr>
          <w:p>
            <w:pPr>
              <w:widowControl/>
              <w:spacing w:line="240" w:lineRule="auto"/>
              <w:ind w:firstLine="0" w:firstLineChars="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bl>
    <w:p>
      <w:pPr>
        <w:ind w:firstLine="420"/>
        <w:rPr>
          <w:rFonts w:hint="eastAsia" w:asciiTheme="minorEastAsia" w:hAnsiTheme="minorEastAsia" w:eastAsiaTheme="minorEastAsia" w:cstheme="minorEastAsia"/>
          <w:sz w:val="21"/>
          <w:szCs w:val="21"/>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5D28"/>
    <w:rsid w:val="00012E64"/>
    <w:rsid w:val="0005760F"/>
    <w:rsid w:val="000908C3"/>
    <w:rsid w:val="000C6828"/>
    <w:rsid w:val="0016780C"/>
    <w:rsid w:val="001933FF"/>
    <w:rsid w:val="00193BC8"/>
    <w:rsid w:val="001B1C26"/>
    <w:rsid w:val="001B5C24"/>
    <w:rsid w:val="00215F6E"/>
    <w:rsid w:val="00245C7D"/>
    <w:rsid w:val="00296DC8"/>
    <w:rsid w:val="002C029F"/>
    <w:rsid w:val="003205BA"/>
    <w:rsid w:val="004823CB"/>
    <w:rsid w:val="004D678F"/>
    <w:rsid w:val="004E6839"/>
    <w:rsid w:val="00520F1F"/>
    <w:rsid w:val="00680A8E"/>
    <w:rsid w:val="006D5D28"/>
    <w:rsid w:val="0070682E"/>
    <w:rsid w:val="007F0343"/>
    <w:rsid w:val="00876ED4"/>
    <w:rsid w:val="008926A2"/>
    <w:rsid w:val="00925958"/>
    <w:rsid w:val="00960153"/>
    <w:rsid w:val="009C2412"/>
    <w:rsid w:val="00B45A62"/>
    <w:rsid w:val="00BF4592"/>
    <w:rsid w:val="00CF5159"/>
    <w:rsid w:val="00CF61C8"/>
    <w:rsid w:val="00D528FD"/>
    <w:rsid w:val="00D825A4"/>
    <w:rsid w:val="00D87B42"/>
    <w:rsid w:val="00E06D03"/>
    <w:rsid w:val="00E65D9C"/>
    <w:rsid w:val="00E70174"/>
    <w:rsid w:val="00E92A01"/>
    <w:rsid w:val="00F35A30"/>
    <w:rsid w:val="00F72E26"/>
    <w:rsid w:val="00F922A4"/>
    <w:rsid w:val="00FC2595"/>
    <w:rsid w:val="028655D3"/>
    <w:rsid w:val="0876327D"/>
    <w:rsid w:val="20671C37"/>
    <w:rsid w:val="3830728C"/>
    <w:rsid w:val="48C60369"/>
    <w:rsid w:val="51743037"/>
    <w:rsid w:val="5C83260B"/>
    <w:rsid w:val="62C60017"/>
    <w:rsid w:val="78BD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198" w:firstLineChars="200"/>
      <w:jc w:val="both"/>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5">
    <w:name w:val="Hyperlink"/>
    <w:basedOn w:val="4"/>
    <w:semiHidden/>
    <w:unhideWhenUsed/>
    <w:qFormat/>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character" w:customStyle="1" w:styleId="9">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604</Words>
  <Characters>3447</Characters>
  <Lines>28</Lines>
  <Paragraphs>8</Paragraphs>
  <TotalTime>19</TotalTime>
  <ScaleCrop>false</ScaleCrop>
  <LinksUpToDate>false</LinksUpToDate>
  <CharactersWithSpaces>4043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2020-10-14T03:18:00Z</dcterms:created>
  <dc:creator>未定义</dc:creator>
  <cp:lastModifiedBy>Administrator</cp:lastModifiedBy>
  <dcterms:modified xsi:type="dcterms:W3CDTF">2020-10-29T06:19:27Z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