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eastAsia="华文中宋"/>
          <w:b w:val="0"/>
          <w:bCs w:val="0"/>
          <w:color w:val="000000"/>
          <w:kern w:val="21"/>
          <w:highlight w:val="none"/>
        </w:rPr>
      </w:pPr>
    </w:p>
    <w:p>
      <w:pPr>
        <w:pStyle w:val="2"/>
        <w:rPr>
          <w:rFonts w:hint="eastAsia"/>
          <w:b w:val="0"/>
          <w:bCs w:val="0"/>
          <w:highlight w:val="none"/>
        </w:rPr>
      </w:pPr>
    </w:p>
    <w:p>
      <w:pPr>
        <w:spacing w:line="578" w:lineRule="exact"/>
        <w:jc w:val="center"/>
        <w:rPr>
          <w:rFonts w:hint="eastAsia"/>
          <w:b w:val="0"/>
          <w:bCs w:val="0"/>
          <w:highlight w:val="none"/>
        </w:rPr>
      </w:pPr>
    </w:p>
    <w:p>
      <w:pPr>
        <w:spacing w:line="578" w:lineRule="exact"/>
        <w:jc w:val="center"/>
        <w:rPr>
          <w:rFonts w:hint="eastAsia"/>
          <w:b w:val="0"/>
          <w:bCs w:val="0"/>
          <w:highlight w:val="none"/>
        </w:rPr>
      </w:pPr>
    </w:p>
    <w:p>
      <w:pPr>
        <w:pStyle w:val="2"/>
        <w:rPr>
          <w:rFonts w:hint="eastAsia"/>
          <w:b w:val="0"/>
          <w:bCs w:val="0"/>
          <w:highlight w:val="none"/>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sz w:val="32"/>
          <w:szCs w:val="32"/>
        </w:rPr>
        <w:t>乐政</w:t>
      </w:r>
      <w:r>
        <w:rPr>
          <w:rFonts w:hint="eastAsia" w:hAnsi="仿宋_GB2312" w:cs="仿宋_GB2312"/>
          <w:b/>
          <w:bCs w:val="0"/>
          <w:sz w:val="32"/>
          <w:szCs w:val="32"/>
          <w:lang w:val="en-US" w:eastAsia="zh-CN"/>
        </w:rPr>
        <w:t>发</w:t>
      </w:r>
      <w:r>
        <w:rPr>
          <w:rFonts w:hint="eastAsia" w:ascii="仿宋_GB2312" w:hAnsi="仿宋_GB2312" w:eastAsia="仿宋_GB2312" w:cs="仿宋_GB2312"/>
          <w:b/>
          <w:bCs w:val="0"/>
          <w:sz w:val="32"/>
          <w:szCs w:val="32"/>
        </w:rPr>
        <w:t>〔20</w:t>
      </w:r>
      <w:r>
        <w:rPr>
          <w:rFonts w:hint="eastAsia" w:ascii="仿宋_GB2312" w:hAnsi="仿宋_GB2312" w:eastAsia="仿宋_GB2312" w:cs="仿宋_GB2312"/>
          <w:b/>
          <w:bCs w:val="0"/>
          <w:color w:val="auto"/>
          <w:sz w:val="32"/>
          <w:szCs w:val="32"/>
        </w:rPr>
        <w:t>2</w:t>
      </w:r>
      <w:r>
        <w:rPr>
          <w:rFonts w:hint="eastAsia"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w:t>
      </w:r>
      <w:r>
        <w:rPr>
          <w:rFonts w:hint="eastAsia" w:cs="仿宋_GB2312"/>
          <w:b/>
          <w:bCs w:val="0"/>
          <w:color w:val="auto"/>
          <w:sz w:val="32"/>
          <w:szCs w:val="32"/>
          <w:lang w:val="en-US" w:eastAsia="zh-CN"/>
        </w:rPr>
        <w:t>3</w:t>
      </w:r>
      <w:r>
        <w:rPr>
          <w:rFonts w:hint="eastAsia" w:ascii="仿宋_GB2312" w:hAnsi="仿宋_GB2312" w:eastAsia="仿宋_GB2312" w:cs="仿宋_GB2312"/>
          <w:b/>
          <w:bCs w:val="0"/>
          <w:color w:val="auto"/>
          <w:sz w:val="32"/>
          <w:szCs w:val="32"/>
        </w:rPr>
        <w:t>号</w:t>
      </w:r>
    </w:p>
    <w:p>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sz w:val="32"/>
          <w:szCs w:val="32"/>
        </w:rPr>
      </w:pPr>
    </w:p>
    <w:p>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sz w:val="32"/>
          <w:szCs w:val="32"/>
        </w:rPr>
      </w:pPr>
    </w:p>
    <w:p>
      <w:pPr>
        <w:keepNext w:val="0"/>
        <w:keepLines w:val="0"/>
        <w:pageBreakBefore w:val="0"/>
        <w:widowControl w:val="0"/>
        <w:kinsoku/>
        <w:wordWrap/>
        <w:overflowPunct w:val="0"/>
        <w:topLinePunct w:val="0"/>
        <w:autoSpaceDE/>
        <w:autoSpaceDN/>
        <w:bidi w:val="0"/>
        <w:adjustRightInd/>
        <w:snapToGrid/>
        <w:spacing w:line="680" w:lineRule="exact"/>
        <w:ind w:firstLine="0" w:firstLineChars="0"/>
        <w:jc w:val="center"/>
        <w:textAlignment w:val="auto"/>
        <w:rPr>
          <w:rFonts w:hint="eastAsia" w:ascii="文星标宋" w:hAnsi="文星标宋" w:eastAsia="文星标宋" w:cs="文星标宋"/>
          <w:b/>
          <w:bCs w:val="0"/>
          <w:sz w:val="44"/>
          <w:szCs w:val="44"/>
          <w:lang w:val="en-US" w:eastAsia="zh-CN"/>
        </w:rPr>
      </w:pPr>
      <w:r>
        <w:rPr>
          <w:rFonts w:hint="eastAsia" w:ascii="文星标宋" w:hAnsi="文星标宋" w:eastAsia="文星标宋" w:cs="文星标宋"/>
          <w:b/>
          <w:bCs w:val="0"/>
          <w:sz w:val="44"/>
          <w:szCs w:val="44"/>
        </w:rPr>
        <w:t>昌</w:t>
      </w:r>
      <w:r>
        <w:rPr>
          <w:rFonts w:hint="eastAsia" w:ascii="文星标宋" w:hAnsi="文星标宋" w:eastAsia="文星标宋" w:cs="文星标宋"/>
          <w:b/>
          <w:bCs w:val="0"/>
          <w:sz w:val="44"/>
          <w:szCs w:val="44"/>
          <w:lang w:val="en-US" w:eastAsia="zh-CN"/>
        </w:rPr>
        <w:t>乐县人民政府</w:t>
      </w:r>
    </w:p>
    <w:p>
      <w:pPr>
        <w:keepNext w:val="0"/>
        <w:keepLines w:val="0"/>
        <w:pageBreakBefore w:val="0"/>
        <w:widowControl w:val="0"/>
        <w:kinsoku/>
        <w:wordWrap/>
        <w:overflowPunct w:val="0"/>
        <w:topLinePunct w:val="0"/>
        <w:autoSpaceDE/>
        <w:autoSpaceDN/>
        <w:bidi w:val="0"/>
        <w:adjustRightInd/>
        <w:snapToGrid/>
        <w:spacing w:line="680" w:lineRule="exact"/>
        <w:ind w:firstLine="0" w:firstLineChars="0"/>
        <w:jc w:val="center"/>
        <w:textAlignment w:val="auto"/>
        <w:rPr>
          <w:rFonts w:hint="eastAsia" w:ascii="文星标宋" w:hAnsi="文星标宋" w:eastAsia="文星标宋" w:cs="文星标宋"/>
          <w:b/>
          <w:bCs w:val="0"/>
          <w:sz w:val="44"/>
          <w:szCs w:val="44"/>
          <w:lang w:val="en-US" w:eastAsia="zh-CN"/>
        </w:rPr>
      </w:pPr>
      <w:r>
        <w:rPr>
          <w:rFonts w:hint="eastAsia" w:ascii="文星标宋" w:hAnsi="文星标宋" w:eastAsia="文星标宋" w:cs="文星标宋"/>
          <w:b/>
          <w:bCs w:val="0"/>
          <w:sz w:val="44"/>
          <w:szCs w:val="44"/>
          <w:lang w:val="en-US" w:eastAsia="zh-CN"/>
        </w:rPr>
        <w:t>关于印发昌乐县行政应诉办法的通知</w:t>
      </w:r>
    </w:p>
    <w:p>
      <w:pPr>
        <w:pStyle w:val="6"/>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仿宋_GB2312" w:hAnsi="仿宋_GB2312" w:eastAsia="仿宋_GB2312" w:cs="仿宋_GB2312"/>
          <w:b/>
          <w:bCs w:val="0"/>
          <w:kern w:val="2"/>
          <w:sz w:val="32"/>
          <w:szCs w:val="32"/>
          <w:lang w:val="en-US" w:eastAsia="zh-CN" w:bidi="ar-SA"/>
        </w:rPr>
      </w:pPr>
    </w:p>
    <w:p>
      <w:pPr>
        <w:pStyle w:val="2"/>
        <w:keepNext w:val="0"/>
        <w:keepLines w:val="0"/>
        <w:pageBreakBefore w:val="0"/>
        <w:widowControl/>
        <w:kinsoku w:val="0"/>
        <w:wordWrap w:val="0"/>
        <w:overflowPunct w:val="0"/>
        <w:topLinePunct w:val="0"/>
        <w:autoSpaceDE/>
        <w:autoSpaceDN/>
        <w:bidi w:val="0"/>
        <w:adjustRightInd/>
        <w:snapToGrid/>
        <w:spacing w:before="0" w:after="0" w:line="578" w:lineRule="exact"/>
        <w:ind w:firstLine="0" w:firstLineChars="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各镇（街、区）人民政府（办事处、管委会、管理服务中心</w:t>
      </w:r>
      <w:r>
        <w:rPr>
          <w:rStyle w:val="11"/>
          <w:rFonts w:hint="eastAsia" w:ascii="仿宋_GB2312" w:hAnsi="仿宋_GB2312" w:eastAsia="仿宋_GB2312" w:cs="仿宋_GB2312"/>
          <w:lang w:val="en-US" w:eastAsia="zh-CN"/>
        </w:rPr>
        <w:t>），</w:t>
      </w:r>
      <w:r>
        <w:rPr>
          <w:rFonts w:hint="eastAsia" w:ascii="仿宋_GB2312" w:hAnsi="仿宋_GB2312" w:eastAsia="仿宋_GB2312" w:cs="仿宋_GB2312"/>
          <w:b/>
          <w:bCs w:val="0"/>
          <w:kern w:val="2"/>
          <w:sz w:val="32"/>
          <w:szCs w:val="32"/>
          <w:lang w:val="en-US" w:eastAsia="zh-CN" w:bidi="ar-SA"/>
        </w:rPr>
        <w:t>县政府各部门、单位：</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《昌乐县行政应诉办法》已经</w:t>
      </w:r>
      <w:r>
        <w:rPr>
          <w:rFonts w:hint="eastAsia" w:cs="仿宋_GB2312"/>
          <w:b/>
          <w:bCs w:val="0"/>
          <w:kern w:val="2"/>
          <w:sz w:val="32"/>
          <w:szCs w:val="32"/>
          <w:lang w:val="en-US" w:eastAsia="zh-CN" w:bidi="ar-SA"/>
        </w:rPr>
        <w:t>县</w:t>
      </w:r>
      <w:r>
        <w:rPr>
          <w:rFonts w:hint="eastAsia" w:ascii="仿宋_GB2312" w:hAnsi="仿宋_GB2312" w:eastAsia="仿宋_GB2312" w:cs="仿宋_GB2312"/>
          <w:b/>
          <w:bCs w:val="0"/>
          <w:kern w:val="2"/>
          <w:sz w:val="32"/>
          <w:szCs w:val="32"/>
          <w:lang w:val="en-US" w:eastAsia="zh-CN" w:bidi="ar-SA"/>
        </w:rPr>
        <w:t>政府</w:t>
      </w:r>
      <w:r>
        <w:rPr>
          <w:rFonts w:hint="eastAsia" w:cs="仿宋_GB2312"/>
          <w:b/>
          <w:bCs w:val="0"/>
          <w:kern w:val="2"/>
          <w:sz w:val="32"/>
          <w:szCs w:val="32"/>
          <w:lang w:val="en-US" w:eastAsia="zh-CN" w:bidi="ar-SA"/>
        </w:rPr>
        <w:t>研究同意，</w:t>
      </w:r>
      <w:r>
        <w:rPr>
          <w:rFonts w:hint="eastAsia" w:ascii="仿宋_GB2312" w:hAnsi="仿宋_GB2312" w:eastAsia="仿宋_GB2312" w:cs="仿宋_GB2312"/>
          <w:b/>
          <w:bCs w:val="0"/>
          <w:kern w:val="2"/>
          <w:sz w:val="32"/>
          <w:szCs w:val="32"/>
          <w:lang w:val="en-US" w:eastAsia="zh-CN" w:bidi="ar-SA"/>
        </w:rPr>
        <w:t>现印发给你们</w:t>
      </w:r>
      <w:r>
        <w:rPr>
          <w:rFonts w:hint="eastAsia" w:cs="仿宋_GB2312"/>
          <w:b/>
          <w:bCs w:val="0"/>
          <w:kern w:val="2"/>
          <w:sz w:val="32"/>
          <w:szCs w:val="32"/>
          <w:lang w:val="en-US" w:eastAsia="zh-CN" w:bidi="ar-SA"/>
        </w:rPr>
        <w:t>，</w:t>
      </w:r>
      <w:r>
        <w:rPr>
          <w:rFonts w:hint="eastAsia" w:ascii="仿宋_GB2312" w:hAnsi="仿宋_GB2312" w:eastAsia="仿宋_GB2312" w:cs="仿宋_GB2312"/>
          <w:b/>
          <w:bCs w:val="0"/>
          <w:kern w:val="2"/>
          <w:sz w:val="32"/>
          <w:szCs w:val="32"/>
          <w:lang w:val="en-US" w:eastAsia="zh-CN" w:bidi="ar-SA"/>
        </w:rPr>
        <w:t>请认真贯彻执行。</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b/>
          <w:bCs w:val="0"/>
          <w:sz w:val="32"/>
          <w:szCs w:val="32"/>
          <w:lang w:val="en-US" w:eastAsia="zh-CN"/>
        </w:rPr>
      </w:pPr>
    </w:p>
    <w:p>
      <w:pPr>
        <w:pStyle w:val="7"/>
        <w:keepNext w:val="0"/>
        <w:keepLines w:val="0"/>
        <w:pageBreakBefore w:val="0"/>
        <w:widowControl/>
        <w:kinsoku/>
        <w:wordWrap w:val="0"/>
        <w:overflowPunct w:val="0"/>
        <w:topLinePunct w:val="0"/>
        <w:autoSpaceDE/>
        <w:autoSpaceDN/>
        <w:bidi w:val="0"/>
        <w:adjustRightInd/>
        <w:snapToGrid/>
        <w:spacing w:before="0" w:beforeAutospacing="0" w:after="0" w:afterAutospacing="0" w:line="578" w:lineRule="exact"/>
        <w:jc w:val="both"/>
        <w:textAlignment w:val="auto"/>
        <w:rPr>
          <w:rFonts w:hint="eastAsia" w:ascii="仿宋_GB2312" w:hAnsi="仿宋_GB2312" w:eastAsia="仿宋_GB2312" w:cs="仿宋_GB2312"/>
          <w:b/>
          <w:bCs w:val="0"/>
          <w:sz w:val="32"/>
          <w:szCs w:val="32"/>
          <w:lang w:val="en-US" w:eastAsia="zh-CN"/>
        </w:rPr>
      </w:pPr>
    </w:p>
    <w:p>
      <w:pPr>
        <w:pStyle w:val="7"/>
        <w:keepNext w:val="0"/>
        <w:keepLines w:val="0"/>
        <w:pageBreakBefore w:val="0"/>
        <w:widowControl/>
        <w:kinsoku/>
        <w:wordWrap w:val="0"/>
        <w:overflowPunct w:val="0"/>
        <w:topLinePunct w:val="0"/>
        <w:autoSpaceDE/>
        <w:autoSpaceDN/>
        <w:bidi w:val="0"/>
        <w:adjustRightInd/>
        <w:snapToGrid/>
        <w:spacing w:before="0" w:beforeAutospacing="0" w:after="0" w:afterAutospacing="0" w:line="578" w:lineRule="exact"/>
        <w:jc w:val="right"/>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昌乐县人民政府</w:t>
      </w:r>
      <w:r>
        <w:rPr>
          <w:rFonts w:hint="eastAsia" w:ascii="仿宋_GB2312" w:hAnsi="仿宋_GB2312" w:cs="仿宋_GB2312"/>
          <w:b/>
          <w:bCs w:val="0"/>
          <w:sz w:val="32"/>
          <w:szCs w:val="32"/>
          <w:lang w:val="en-US" w:eastAsia="zh-CN"/>
        </w:rPr>
        <w:t xml:space="preserve">         </w:t>
      </w:r>
    </w:p>
    <w:p>
      <w:pPr>
        <w:pStyle w:val="7"/>
        <w:keepNext w:val="0"/>
        <w:keepLines w:val="0"/>
        <w:pageBreakBefore w:val="0"/>
        <w:widowControl/>
        <w:kinsoku/>
        <w:wordWrap w:val="0"/>
        <w:overflowPunct w:val="0"/>
        <w:topLinePunct w:val="0"/>
        <w:autoSpaceDE/>
        <w:autoSpaceDN/>
        <w:bidi w:val="0"/>
        <w:adjustRightInd/>
        <w:snapToGrid/>
        <w:spacing w:before="0" w:beforeAutospacing="0" w:after="0" w:afterAutospacing="0" w:line="578" w:lineRule="exact"/>
        <w:jc w:val="righ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202</w:t>
      </w:r>
      <w:r>
        <w:rPr>
          <w:rFonts w:hint="eastAsia" w:ascii="仿宋_GB2312" w:hAnsi="仿宋_GB2312" w:cs="仿宋_GB2312"/>
          <w:b/>
          <w:bCs w:val="0"/>
          <w:sz w:val="32"/>
          <w:szCs w:val="32"/>
          <w:lang w:val="en-US" w:eastAsia="zh-CN"/>
        </w:rPr>
        <w:t>2</w:t>
      </w:r>
      <w:r>
        <w:rPr>
          <w:rFonts w:hint="eastAsia" w:ascii="仿宋_GB2312" w:hAnsi="仿宋_GB2312" w:eastAsia="仿宋_GB2312" w:cs="仿宋_GB2312"/>
          <w:b/>
          <w:bCs w:val="0"/>
          <w:sz w:val="32"/>
          <w:szCs w:val="32"/>
        </w:rPr>
        <w:t>年</w:t>
      </w:r>
      <w:r>
        <w:rPr>
          <w:rFonts w:hint="eastAsia" w:ascii="仿宋_GB2312" w:hAnsi="仿宋_GB2312" w:cs="仿宋_GB2312"/>
          <w:b/>
          <w:bCs w:val="0"/>
          <w:sz w:val="32"/>
          <w:szCs w:val="32"/>
          <w:lang w:val="en-US" w:eastAsia="zh-CN"/>
        </w:rPr>
        <w:t>6</w:t>
      </w:r>
      <w:r>
        <w:rPr>
          <w:rFonts w:hint="eastAsia" w:ascii="仿宋_GB2312" w:hAnsi="仿宋_GB2312" w:eastAsia="仿宋_GB2312" w:cs="仿宋_GB2312"/>
          <w:b/>
          <w:bCs w:val="0"/>
          <w:sz w:val="32"/>
          <w:szCs w:val="32"/>
        </w:rPr>
        <w:t>月</w:t>
      </w:r>
      <w:r>
        <w:rPr>
          <w:rFonts w:hint="eastAsia" w:ascii="仿宋_GB2312" w:hAnsi="仿宋_GB2312" w:cs="仿宋_GB2312"/>
          <w:b/>
          <w:bCs w:val="0"/>
          <w:sz w:val="32"/>
          <w:szCs w:val="32"/>
          <w:lang w:val="en-US" w:eastAsia="zh-CN"/>
        </w:rPr>
        <w:t>12</w:t>
      </w:r>
      <w:r>
        <w:rPr>
          <w:rFonts w:hint="eastAsia" w:ascii="仿宋_GB2312" w:hAnsi="仿宋_GB2312" w:eastAsia="仿宋_GB2312" w:cs="仿宋_GB2312"/>
          <w:b/>
          <w:bCs w:val="0"/>
          <w:sz w:val="32"/>
          <w:szCs w:val="32"/>
        </w:rPr>
        <w:t>日</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 xml:space="preserve">    </w:t>
      </w:r>
      <w:r>
        <w:rPr>
          <w:rFonts w:hint="eastAsia" w:ascii="仿宋_GB2312" w:hAnsi="仿宋_GB2312" w:eastAsia="仿宋_GB2312" w:cs="仿宋_GB2312"/>
          <w:b/>
          <w:bCs w:val="0"/>
          <w:sz w:val="32"/>
          <w:szCs w:val="32"/>
          <w:lang w:val="en-US" w:eastAsia="zh-CN"/>
        </w:rPr>
        <w:t xml:space="preserve"> </w:t>
      </w:r>
    </w:p>
    <w:p>
      <w:pPr>
        <w:pStyle w:val="7"/>
        <w:keepNext w:val="0"/>
        <w:keepLines w:val="0"/>
        <w:pageBreakBefore w:val="0"/>
        <w:widowControl/>
        <w:kinsoku/>
        <w:wordWrap/>
        <w:overflowPunct w:val="0"/>
        <w:topLinePunct w:val="0"/>
        <w:autoSpaceDE/>
        <w:autoSpaceDN/>
        <w:bidi w:val="0"/>
        <w:adjustRightInd/>
        <w:snapToGrid/>
        <w:spacing w:before="0" w:beforeAutospacing="0" w:after="0" w:afterAutospacing="0" w:line="578" w:lineRule="exact"/>
        <w:ind w:left="0" w:leftChars="0"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（此件公开发布）</w:t>
      </w:r>
    </w:p>
    <w:p>
      <w:pPr>
        <w:pStyle w:val="7"/>
        <w:keepNext w:val="0"/>
        <w:keepLines w:val="0"/>
        <w:pageBreakBefore w:val="0"/>
        <w:widowControl/>
        <w:kinsoku/>
        <w:wordWrap/>
        <w:overflowPunct w:val="0"/>
        <w:topLinePunct w:val="0"/>
        <w:autoSpaceDE/>
        <w:autoSpaceDN/>
        <w:bidi w:val="0"/>
        <w:adjustRightInd/>
        <w:snapToGrid/>
        <w:spacing w:before="0" w:beforeAutospacing="0" w:after="0" w:afterAutospacing="0" w:line="540" w:lineRule="exact"/>
        <w:ind w:left="0" w:leftChars="0" w:firstLine="643" w:firstLineChars="200"/>
        <w:jc w:val="left"/>
        <w:textAlignment w:val="auto"/>
        <w:rPr>
          <w:rFonts w:hint="eastAsia" w:ascii="仿宋_GB2312" w:hAnsi="仿宋_GB2312" w:eastAsia="仿宋_GB2312" w:cs="仿宋_GB2312"/>
          <w:b/>
          <w:bCs w:val="0"/>
          <w:sz w:val="32"/>
          <w:szCs w:val="32"/>
          <w:lang w:val="en-US" w:eastAsia="zh-CN"/>
        </w:rPr>
      </w:pPr>
    </w:p>
    <w:p>
      <w:pPr>
        <w:pStyle w:val="7"/>
        <w:keepNext w:val="0"/>
        <w:keepLines w:val="0"/>
        <w:pageBreakBefore w:val="0"/>
        <w:widowControl/>
        <w:kinsoku/>
        <w:wordWrap/>
        <w:overflowPunct w:val="0"/>
        <w:topLinePunct w:val="0"/>
        <w:autoSpaceDE/>
        <w:autoSpaceDN/>
        <w:bidi w:val="0"/>
        <w:adjustRightInd/>
        <w:snapToGrid/>
        <w:spacing w:before="0" w:beforeAutospacing="0" w:after="0" w:afterAutospacing="0" w:line="540" w:lineRule="exact"/>
        <w:ind w:left="0" w:leftChars="0" w:firstLine="643" w:firstLineChars="200"/>
        <w:jc w:val="left"/>
        <w:textAlignment w:val="auto"/>
        <w:rPr>
          <w:rFonts w:hint="eastAsia" w:ascii="仿宋_GB2312" w:hAnsi="仿宋_GB2312" w:eastAsia="仿宋_GB2312" w:cs="仿宋_GB2312"/>
          <w:b/>
          <w:bCs w:val="0"/>
          <w:sz w:val="32"/>
          <w:szCs w:val="32"/>
          <w:lang w:val="en-US" w:eastAsia="zh-CN"/>
        </w:rPr>
        <w:sectPr>
          <w:footerReference r:id="rId5" w:type="default"/>
          <w:pgSz w:w="11906" w:h="16838"/>
          <w:pgMar w:top="2098" w:right="1417" w:bottom="1984" w:left="1417" w:header="851" w:footer="1304" w:gutter="0"/>
          <w:pgNumType w:fmt="numberInDash"/>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outlineLvl w:val="9"/>
        <w:rPr>
          <w:rFonts w:hint="eastAsia" w:ascii="文星标宋" w:hAnsi="文星标宋" w:eastAsia="文星标宋" w:cs="文星标宋"/>
          <w:b/>
          <w:bCs w:val="0"/>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文星标宋" w:hAnsi="文星标宋" w:eastAsia="文星标宋" w:cs="文星标宋"/>
          <w:b/>
          <w:bCs w:val="0"/>
          <w:color w:val="auto"/>
          <w:sz w:val="44"/>
          <w:szCs w:val="44"/>
          <w:lang w:val="en-US" w:eastAsia="zh-CN"/>
        </w:rPr>
      </w:pPr>
      <w:r>
        <w:rPr>
          <w:rFonts w:hint="eastAsia" w:ascii="文星标宋" w:hAnsi="文星标宋" w:eastAsia="文星标宋" w:cs="文星标宋"/>
          <w:b/>
          <w:bCs w:val="0"/>
          <w:color w:val="auto"/>
          <w:sz w:val="44"/>
          <w:szCs w:val="44"/>
          <w:lang w:val="en-US" w:eastAsia="zh-CN"/>
        </w:rPr>
        <w:t>昌乐</w:t>
      </w:r>
      <w:r>
        <w:rPr>
          <w:rFonts w:hint="eastAsia" w:ascii="文星标宋" w:hAnsi="文星标宋" w:eastAsia="文星标宋" w:cs="文星标宋"/>
          <w:b/>
          <w:bCs w:val="0"/>
          <w:color w:val="auto"/>
          <w:sz w:val="44"/>
          <w:szCs w:val="44"/>
          <w:lang w:eastAsia="zh-CN"/>
        </w:rPr>
        <w:t>县</w:t>
      </w:r>
      <w:r>
        <w:rPr>
          <w:rFonts w:hint="eastAsia" w:ascii="文星标宋" w:hAnsi="文星标宋" w:eastAsia="文星标宋" w:cs="文星标宋"/>
          <w:b/>
          <w:bCs w:val="0"/>
          <w:color w:val="auto"/>
          <w:sz w:val="44"/>
          <w:szCs w:val="44"/>
        </w:rPr>
        <w:t>行政应诉</w:t>
      </w:r>
      <w:r>
        <w:rPr>
          <w:rFonts w:hint="eastAsia" w:ascii="文星标宋" w:hAnsi="文星标宋" w:eastAsia="文星标宋" w:cs="文星标宋"/>
          <w:b/>
          <w:bCs w:val="0"/>
          <w:color w:val="auto"/>
          <w:sz w:val="44"/>
          <w:szCs w:val="44"/>
          <w:lang w:val="en-US" w:eastAsia="zh-CN"/>
        </w:rPr>
        <w:t>办法</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textAlignment w:val="auto"/>
        <w:rPr>
          <w:rFonts w:hint="eastAsia"/>
          <w:b/>
          <w:bCs w:val="0"/>
          <w:lang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仿宋_GB2312" w:hAnsi="仿宋_GB2312" w:eastAsia="仿宋_GB2312" w:cs="仿宋_GB2312"/>
          <w:b/>
          <w:bCs w:val="0"/>
          <w:color w:val="auto"/>
          <w:kern w:val="2"/>
          <w:sz w:val="32"/>
          <w:szCs w:val="32"/>
          <w:lang w:val="en-US" w:eastAsia="zh-CN" w:bidi="ar-SA"/>
        </w:rPr>
      </w:pPr>
      <w:r>
        <w:rPr>
          <w:rFonts w:hint="eastAsia" w:ascii="黑体" w:hAnsi="黑体" w:eastAsia="黑体" w:cs="黑体"/>
          <w:b/>
          <w:bCs w:val="0"/>
          <w:color w:val="auto"/>
          <w:sz w:val="32"/>
          <w:szCs w:val="32"/>
          <w:lang w:val="en-US" w:eastAsia="zh-CN"/>
        </w:rPr>
        <w:t>第一章  总  则</w:t>
      </w:r>
    </w:p>
    <w:p>
      <w:pPr>
        <w:keepNext w:val="0"/>
        <w:keepLines w:val="0"/>
        <w:pageBreakBefore w:val="0"/>
        <w:widowControl/>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第一条</w:t>
      </w:r>
      <w:r>
        <w:rPr>
          <w:rFonts w:hint="eastAsia" w:ascii="黑体" w:hAnsi="黑体" w:eastAsia="黑体" w:cs="黑体"/>
          <w:b/>
          <w:bCs w:val="0"/>
          <w:color w:val="auto"/>
          <w:sz w:val="32"/>
          <w:szCs w:val="32"/>
        </w:rPr>
        <w:t xml:space="preserve"> </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为规范和保障行政应诉工作</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提高行政应诉质量</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推动行政机关负责人出庭应诉</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促进行政争议实质化解</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根据《中华人民共和国行政诉讼法》</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国务院办公厅</w:t>
      </w:r>
      <w:r>
        <w:rPr>
          <w:rFonts w:hint="eastAsia" w:ascii="仿宋_GB2312" w:hAnsi="仿宋_GB2312" w:eastAsia="仿宋_GB2312" w:cs="仿宋_GB2312"/>
          <w:b/>
          <w:bCs w:val="0"/>
          <w:color w:val="auto"/>
          <w:sz w:val="32"/>
          <w:szCs w:val="32"/>
        </w:rPr>
        <w:t>《关于加强和改进行政应诉工作的意见》</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国办发〔2016〕54号）</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省政府行政复议办公室</w:t>
      </w:r>
      <w:r>
        <w:rPr>
          <w:rFonts w:hint="eastAsia" w:ascii="仿宋_GB2312" w:hAnsi="仿宋_GB2312" w:eastAsia="仿宋_GB2312" w:cs="仿宋_GB2312"/>
          <w:b/>
          <w:bCs w:val="0"/>
          <w:color w:val="auto"/>
          <w:sz w:val="32"/>
          <w:szCs w:val="32"/>
        </w:rPr>
        <w:t>《</w:t>
      </w:r>
      <w:r>
        <w:rPr>
          <w:rFonts w:hint="eastAsia" w:cs="仿宋_GB2312"/>
          <w:b/>
          <w:bCs w:val="0"/>
          <w:color w:val="auto"/>
          <w:sz w:val="32"/>
          <w:szCs w:val="32"/>
          <w:lang w:val="en-US" w:eastAsia="zh-CN"/>
        </w:rPr>
        <w:t>关于印发&lt;</w:t>
      </w:r>
      <w:r>
        <w:rPr>
          <w:rFonts w:hint="eastAsia" w:ascii="仿宋_GB2312" w:hAnsi="仿宋_GB2312" w:eastAsia="仿宋_GB2312" w:cs="仿宋_GB2312"/>
          <w:b/>
          <w:bCs w:val="0"/>
          <w:color w:val="auto"/>
          <w:sz w:val="32"/>
          <w:szCs w:val="32"/>
        </w:rPr>
        <w:t>山东省行政应诉工作规则</w:t>
      </w:r>
      <w:r>
        <w:rPr>
          <w:rFonts w:hint="eastAsia" w:cs="仿宋_GB2312"/>
          <w:b/>
          <w:bCs w:val="0"/>
          <w:color w:val="auto"/>
          <w:sz w:val="32"/>
          <w:szCs w:val="32"/>
          <w:lang w:val="en-US" w:eastAsia="zh-CN"/>
        </w:rPr>
        <w:t>&gt;的通知</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鲁政复办〔2021〕10号）</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市政府</w:t>
      </w:r>
      <w:r>
        <w:rPr>
          <w:rFonts w:hint="eastAsia" w:cs="仿宋_GB2312"/>
          <w:b/>
          <w:bCs w:val="0"/>
          <w:color w:val="auto"/>
          <w:sz w:val="32"/>
          <w:szCs w:val="32"/>
          <w:lang w:val="en-US" w:eastAsia="zh-CN"/>
        </w:rPr>
        <w:t>《关于印发</w:t>
      </w:r>
      <w:r>
        <w:rPr>
          <w:rFonts w:hint="eastAsia" w:ascii="仿宋_GB2312" w:hAnsi="仿宋_GB2312" w:eastAsia="仿宋_GB2312" w:cs="仿宋_GB2312"/>
          <w:b/>
          <w:bCs w:val="0"/>
          <w:color w:val="auto"/>
          <w:sz w:val="32"/>
          <w:szCs w:val="32"/>
          <w:lang w:val="en-US" w:eastAsia="zh-CN"/>
        </w:rPr>
        <w:t>潍坊市</w:t>
      </w:r>
      <w:r>
        <w:rPr>
          <w:rFonts w:hint="eastAsia" w:ascii="仿宋_GB2312" w:hAnsi="仿宋_GB2312" w:eastAsia="仿宋_GB2312" w:cs="仿宋_GB2312"/>
          <w:b/>
          <w:bCs w:val="0"/>
          <w:color w:val="auto"/>
          <w:sz w:val="32"/>
          <w:szCs w:val="32"/>
          <w:lang w:eastAsia="zh-CN"/>
        </w:rPr>
        <w:t>行政应诉办法</w:t>
      </w:r>
      <w:r>
        <w:rPr>
          <w:rFonts w:hint="eastAsia" w:cs="仿宋_GB2312"/>
          <w:b/>
          <w:bCs w:val="0"/>
          <w:color w:val="auto"/>
          <w:sz w:val="32"/>
          <w:szCs w:val="32"/>
          <w:lang w:eastAsia="zh-CN"/>
        </w:rPr>
        <w:t>的</w:t>
      </w:r>
      <w:r>
        <w:rPr>
          <w:rFonts w:hint="eastAsia" w:cs="仿宋_GB2312"/>
          <w:b/>
          <w:bCs w:val="0"/>
          <w:color w:val="auto"/>
          <w:sz w:val="32"/>
          <w:szCs w:val="32"/>
          <w:lang w:val="en-US" w:eastAsia="zh-CN"/>
        </w:rPr>
        <w:t>通知</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潍政发〔2021〕12号）</w:t>
      </w:r>
      <w:r>
        <w:rPr>
          <w:rFonts w:hint="eastAsia" w:ascii="仿宋_GB2312" w:hAnsi="仿宋_GB2312" w:eastAsia="仿宋_GB2312" w:cs="仿宋_GB2312"/>
          <w:b/>
          <w:bCs w:val="0"/>
          <w:color w:val="auto"/>
          <w:sz w:val="32"/>
          <w:szCs w:val="32"/>
        </w:rPr>
        <w:t>等有关法律法规</w:t>
      </w:r>
      <w:r>
        <w:rPr>
          <w:rFonts w:hint="eastAsia" w:ascii="仿宋_GB2312" w:hAnsi="仿宋_GB2312" w:eastAsia="仿宋_GB2312" w:cs="仿宋_GB2312"/>
          <w:b/>
          <w:bCs w:val="0"/>
          <w:color w:val="auto"/>
          <w:sz w:val="32"/>
          <w:szCs w:val="32"/>
          <w:lang w:val="en-US" w:eastAsia="zh-CN"/>
        </w:rPr>
        <w:t>和文件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结合</w:t>
      </w:r>
      <w:r>
        <w:rPr>
          <w:rFonts w:hint="eastAsia" w:cs="仿宋_GB2312"/>
          <w:b/>
          <w:bCs w:val="0"/>
          <w:color w:val="auto"/>
          <w:sz w:val="32"/>
          <w:szCs w:val="32"/>
          <w:lang w:eastAsia="zh-CN"/>
        </w:rPr>
        <w:t>我</w:t>
      </w:r>
      <w:r>
        <w:rPr>
          <w:rFonts w:hint="eastAsia" w:ascii="仿宋_GB2312" w:hAnsi="仿宋_GB2312" w:eastAsia="仿宋_GB2312" w:cs="仿宋_GB2312"/>
          <w:b/>
          <w:bCs w:val="0"/>
          <w:color w:val="auto"/>
          <w:sz w:val="32"/>
          <w:szCs w:val="32"/>
          <w:lang w:eastAsia="zh-CN"/>
        </w:rPr>
        <w:t>县</w:t>
      </w:r>
      <w:r>
        <w:rPr>
          <w:rFonts w:hint="eastAsia" w:ascii="仿宋_GB2312" w:hAnsi="仿宋_GB2312" w:eastAsia="仿宋_GB2312" w:cs="仿宋_GB2312"/>
          <w:b/>
          <w:bCs w:val="0"/>
          <w:color w:val="auto"/>
          <w:sz w:val="32"/>
          <w:szCs w:val="32"/>
        </w:rPr>
        <w:t>实际</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制定本办法。</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第二条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本办法所称行政应</w:t>
      </w:r>
      <w:r>
        <w:rPr>
          <w:rFonts w:hint="eastAsia" w:ascii="仿宋_GB2312" w:hAnsi="仿宋_GB2312" w:eastAsia="仿宋_GB2312" w:cs="仿宋_GB2312"/>
          <w:b/>
          <w:bCs w:val="0"/>
          <w:sz w:val="32"/>
          <w:szCs w:val="32"/>
        </w:rPr>
        <w:t>诉</w:t>
      </w:r>
      <w:r>
        <w:rPr>
          <w:rFonts w:hint="eastAsia" w:cs="仿宋_GB2312"/>
          <w:b/>
          <w:bCs w:val="0"/>
          <w:sz w:val="32"/>
          <w:szCs w:val="32"/>
          <w:lang w:eastAsia="zh-CN"/>
        </w:rPr>
        <w:t>，</w:t>
      </w:r>
      <w:r>
        <w:rPr>
          <w:rFonts w:hint="eastAsia" w:ascii="仿宋_GB2312" w:hAnsi="仿宋_GB2312" w:eastAsia="仿宋_GB2312" w:cs="仿宋_GB2312"/>
          <w:b/>
          <w:bCs w:val="0"/>
          <w:sz w:val="32"/>
          <w:szCs w:val="32"/>
        </w:rPr>
        <w:t>是指</w:t>
      </w:r>
      <w:r>
        <w:rPr>
          <w:rFonts w:hint="eastAsia" w:cs="仿宋_GB2312"/>
          <w:b/>
          <w:bCs w:val="0"/>
          <w:sz w:val="32"/>
          <w:szCs w:val="32"/>
          <w:lang w:eastAsia="zh-CN"/>
        </w:rPr>
        <w:t>我</w:t>
      </w:r>
      <w:r>
        <w:rPr>
          <w:rFonts w:hint="eastAsia" w:ascii="仿宋_GB2312" w:hAnsi="仿宋_GB2312" w:eastAsia="仿宋_GB2312" w:cs="仿宋_GB2312"/>
          <w:b/>
          <w:bCs w:val="0"/>
          <w:sz w:val="32"/>
          <w:szCs w:val="32"/>
          <w:lang w:eastAsia="zh-CN"/>
        </w:rPr>
        <w:t>县</w:t>
      </w:r>
      <w:r>
        <w:rPr>
          <w:rFonts w:hint="eastAsia" w:ascii="仿宋_GB2312" w:hAnsi="仿宋_GB2312" w:eastAsia="仿宋_GB2312" w:cs="仿宋_GB2312"/>
          <w:b/>
          <w:bCs w:val="0"/>
          <w:sz w:val="32"/>
          <w:szCs w:val="32"/>
        </w:rPr>
        <w:t>各级行政机关和法律、法规授权的组织</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以下统称“行政机关”</w:t>
      </w:r>
      <w:r>
        <w:rPr>
          <w:rFonts w:hint="eastAsia" w:ascii="仿宋_GB2312" w:hAnsi="仿宋_GB2312" w:eastAsia="仿宋_GB2312" w:cs="仿宋_GB2312"/>
          <w:b/>
          <w:bCs w:val="0"/>
          <w:sz w:val="32"/>
          <w:szCs w:val="32"/>
          <w:lang w:eastAsia="zh-CN"/>
        </w:rPr>
        <w:t>）</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在公民、法人或者其他组织提起行政诉讼后</w:t>
      </w:r>
      <w:r>
        <w:rPr>
          <w:rFonts w:hint="eastAsia" w:cs="仿宋_GB2312"/>
          <w:b/>
          <w:bCs w:val="0"/>
          <w:sz w:val="32"/>
          <w:szCs w:val="32"/>
          <w:lang w:eastAsia="zh-CN"/>
        </w:rPr>
        <w:t>，</w:t>
      </w:r>
      <w:r>
        <w:rPr>
          <w:rFonts w:hint="eastAsia" w:ascii="仿宋_GB2312" w:hAnsi="仿宋_GB2312" w:eastAsia="仿宋_GB2312" w:cs="仿宋_GB2312"/>
          <w:b/>
          <w:bCs w:val="0"/>
          <w:sz w:val="32"/>
          <w:szCs w:val="32"/>
        </w:rPr>
        <w:t>经人民法院通知依法参加的行政诉讼活动。</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本办法所称应诉机关是在行政诉讼活动中作为被告、第三人的行政机关</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应诉承办单位是具体承办行政应诉事项的部门或机构。</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第三条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rPr>
        <w:t>加强</w:t>
      </w:r>
      <w:r>
        <w:rPr>
          <w:rFonts w:hint="eastAsia" w:ascii="仿宋_GB2312" w:hAnsi="仿宋_GB2312" w:eastAsia="仿宋_GB2312" w:cs="仿宋_GB2312"/>
          <w:b/>
          <w:bCs w:val="0"/>
          <w:color w:val="auto"/>
          <w:sz w:val="32"/>
          <w:szCs w:val="32"/>
          <w:lang w:val="en-US" w:eastAsia="zh-CN"/>
        </w:rPr>
        <w:t>对</w:t>
      </w:r>
      <w:r>
        <w:rPr>
          <w:rFonts w:hint="eastAsia" w:ascii="仿宋_GB2312" w:hAnsi="仿宋_GB2312" w:eastAsia="仿宋_GB2312" w:cs="仿宋_GB2312"/>
          <w:b/>
          <w:bCs w:val="0"/>
          <w:color w:val="auto"/>
          <w:sz w:val="32"/>
          <w:szCs w:val="32"/>
        </w:rPr>
        <w:t>行政应诉工作</w:t>
      </w:r>
      <w:r>
        <w:rPr>
          <w:rFonts w:hint="eastAsia" w:ascii="仿宋_GB2312" w:hAnsi="仿宋_GB2312" w:eastAsia="仿宋_GB2312" w:cs="仿宋_GB2312"/>
          <w:b/>
          <w:bCs w:val="0"/>
          <w:color w:val="auto"/>
          <w:sz w:val="32"/>
          <w:szCs w:val="32"/>
          <w:lang w:val="en-US" w:eastAsia="zh-CN"/>
        </w:rPr>
        <w:t>的</w:t>
      </w:r>
      <w:r>
        <w:rPr>
          <w:rFonts w:hint="eastAsia" w:ascii="仿宋_GB2312" w:hAnsi="仿宋_GB2312" w:eastAsia="仿宋_GB2312" w:cs="仿宋_GB2312"/>
          <w:b/>
          <w:bCs w:val="0"/>
          <w:color w:val="auto"/>
          <w:sz w:val="32"/>
          <w:szCs w:val="32"/>
        </w:rPr>
        <w:t>组织领导</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加强行政应诉队伍建设</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落实行政应诉工作保障措施。</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第四条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行政机关主要负责人是推动本机关行政应诉工作的第一责任人。出庭应诉负责人是推动被诉行政争议实质性化解工作的第一责任人。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行政机关应当建立健全行政应诉制度</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规范行政应诉办理程序</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配备具有行政应诉资格的专门人员负责应诉工作</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提高行政应诉工作质量。</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第五条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行政机关履行行政应诉职责</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应当依法答辩举证</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出庭应诉</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履行生效裁判</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参与调解和解</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接受司法监督。</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第六条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县司法局</w:t>
      </w:r>
      <w:r>
        <w:rPr>
          <w:rFonts w:hint="eastAsia" w:ascii="仿宋_GB2312" w:hAnsi="仿宋_GB2312" w:eastAsia="仿宋_GB2312" w:cs="仿宋_GB2312"/>
          <w:b/>
          <w:bCs w:val="0"/>
          <w:color w:val="auto"/>
          <w:sz w:val="32"/>
          <w:szCs w:val="32"/>
        </w:rPr>
        <w:t>负责指导、协调和监督</w:t>
      </w:r>
      <w:r>
        <w:rPr>
          <w:rFonts w:hint="eastAsia" w:cs="仿宋_GB2312"/>
          <w:b/>
          <w:bCs w:val="0"/>
          <w:color w:val="auto"/>
          <w:sz w:val="32"/>
          <w:szCs w:val="32"/>
          <w:lang w:eastAsia="zh-CN"/>
        </w:rPr>
        <w:t>我</w:t>
      </w:r>
      <w:r>
        <w:rPr>
          <w:rFonts w:hint="eastAsia" w:ascii="仿宋_GB2312" w:hAnsi="仿宋_GB2312" w:eastAsia="仿宋_GB2312" w:cs="仿宋_GB2312"/>
          <w:b/>
          <w:bCs w:val="0"/>
          <w:color w:val="auto"/>
          <w:sz w:val="32"/>
          <w:szCs w:val="32"/>
          <w:lang w:val="en-US" w:eastAsia="zh-CN"/>
        </w:rPr>
        <w:t>县</w:t>
      </w:r>
      <w:r>
        <w:rPr>
          <w:rFonts w:hint="eastAsia" w:ascii="仿宋_GB2312" w:hAnsi="仿宋_GB2312" w:eastAsia="仿宋_GB2312" w:cs="仿宋_GB2312"/>
          <w:b/>
          <w:bCs w:val="0"/>
          <w:color w:val="auto"/>
          <w:sz w:val="32"/>
          <w:szCs w:val="32"/>
        </w:rPr>
        <w:t>行政应诉工作。</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u w:val="none"/>
        </w:rPr>
      </w:pPr>
      <w:r>
        <w:rPr>
          <w:rFonts w:hint="eastAsia" w:ascii="楷体_GB2312" w:hAnsi="楷体_GB2312" w:eastAsia="楷体_GB2312" w:cs="楷体_GB2312"/>
          <w:b/>
          <w:bCs w:val="0"/>
          <w:sz w:val="32"/>
          <w:szCs w:val="32"/>
          <w:lang w:val="en-US" w:eastAsia="zh-CN"/>
        </w:rPr>
        <w:t>第七条</w:t>
      </w:r>
      <w:r>
        <w:rPr>
          <w:rFonts w:hint="eastAsia" w:ascii="仿宋_GB2312" w:hAnsi="仿宋_GB2312" w:eastAsia="仿宋_GB2312" w:cs="仿宋_GB2312"/>
          <w:b/>
          <w:bCs w:val="0"/>
          <w:color w:val="auto"/>
          <w:sz w:val="32"/>
          <w:szCs w:val="32"/>
          <w:u w:val="none"/>
        </w:rPr>
        <w:t xml:space="preserve"> </w:t>
      </w:r>
      <w:r>
        <w:rPr>
          <w:rFonts w:hint="eastAsia" w:cs="仿宋_GB2312"/>
          <w:b/>
          <w:bCs w:val="0"/>
          <w:color w:val="auto"/>
          <w:sz w:val="32"/>
          <w:szCs w:val="32"/>
          <w:u w:val="none"/>
          <w:lang w:val="en-US" w:eastAsia="zh-CN"/>
        </w:rPr>
        <w:t xml:space="preserve"> </w:t>
      </w:r>
      <w:r>
        <w:rPr>
          <w:rFonts w:hint="eastAsia" w:ascii="仿宋_GB2312" w:hAnsi="仿宋_GB2312" w:eastAsia="仿宋_GB2312" w:cs="仿宋_GB2312"/>
          <w:b/>
          <w:bCs w:val="0"/>
          <w:color w:val="auto"/>
          <w:sz w:val="32"/>
          <w:szCs w:val="32"/>
          <w:u w:val="none"/>
        </w:rPr>
        <w:t>行政应诉工作纳入法治政府建设考核指标体系</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将行政机关负责人出庭应诉、支持人民法院受理和审理行政案件、执行人民法院生效裁判、行政应诉能力建设等作为考核</w:t>
      </w:r>
      <w:r>
        <w:rPr>
          <w:rFonts w:hint="eastAsia" w:ascii="仿宋_GB2312" w:hAnsi="仿宋_GB2312" w:eastAsia="仿宋_GB2312"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监督检查</w:t>
      </w:r>
      <w:r>
        <w:rPr>
          <w:rFonts w:hint="eastAsia" w:ascii="仿宋_GB2312" w:hAnsi="仿宋_GB2312" w:eastAsia="仿宋_GB2312" w:cs="仿宋_GB2312"/>
          <w:b/>
          <w:bCs w:val="0"/>
          <w:color w:val="auto"/>
          <w:sz w:val="32"/>
          <w:szCs w:val="32"/>
          <w:u w:val="none"/>
        </w:rPr>
        <w:t>内容。</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第二章  应诉承办单位及责任</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 xml:space="preserve">第八条 </w:t>
      </w:r>
      <w:r>
        <w:rPr>
          <w:rFonts w:hint="eastAsia" w:ascii="仿宋_GB2312" w:hAnsi="仿宋_GB2312" w:eastAsia="仿宋_GB2312" w:cs="仿宋_GB2312"/>
          <w:b/>
          <w:bCs w:val="0"/>
          <w:color w:val="auto"/>
          <w:sz w:val="32"/>
          <w:szCs w:val="32"/>
        </w:rPr>
        <w:t xml:space="preserve"> 以</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rPr>
        <w:t>为被告的行政应诉案件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根据“谁负责、谁应诉、权责一致”的原则</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确定应诉承办单位。</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未经行政复议直接应诉的案件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具体承担或实施被诉行政行为的行政机关为应诉承办单位</w:t>
      </w:r>
      <w:r>
        <w:rPr>
          <w:rFonts w:hint="eastAsia" w:cs="仿宋_GB2312"/>
          <w:b/>
          <w:bCs w:val="0"/>
          <w:color w:val="auto"/>
          <w:sz w:val="32"/>
          <w:szCs w:val="32"/>
          <w:lang w:eastAsia="zh-CN"/>
        </w:rPr>
        <w:t>；</w:t>
      </w:r>
    </w:p>
    <w:p>
      <w:pPr>
        <w:keepNext w:val="0"/>
        <w:keepLines w:val="0"/>
        <w:pageBreakBefore w:val="0"/>
        <w:widowControl w:val="0"/>
        <w:kinsoku w:val="0"/>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二</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经行政复议的案件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县</w:t>
      </w:r>
      <w:r>
        <w:rPr>
          <w:rFonts w:hint="eastAsia" w:ascii="仿宋_GB2312" w:hAnsi="仿宋_GB2312" w:eastAsia="仿宋_GB2312" w:cs="仿宋_GB2312"/>
          <w:b/>
          <w:bCs w:val="0"/>
          <w:color w:val="auto"/>
          <w:sz w:val="32"/>
          <w:szCs w:val="32"/>
        </w:rPr>
        <w:t>政府作为单独被告的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lang w:eastAsia="zh-CN"/>
        </w:rPr>
        <w:t>县司法局</w:t>
      </w:r>
      <w:r>
        <w:rPr>
          <w:rFonts w:hint="eastAsia" w:ascii="仿宋_GB2312" w:hAnsi="仿宋_GB2312" w:eastAsia="仿宋_GB2312" w:cs="仿宋_GB2312"/>
          <w:b/>
          <w:bCs w:val="0"/>
          <w:color w:val="auto"/>
          <w:sz w:val="32"/>
          <w:szCs w:val="32"/>
        </w:rPr>
        <w:t>为应诉承办单位</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县</w:t>
      </w:r>
      <w:r>
        <w:rPr>
          <w:rFonts w:hint="eastAsia" w:ascii="仿宋_GB2312" w:hAnsi="仿宋_GB2312" w:eastAsia="仿宋_GB2312" w:cs="仿宋_GB2312"/>
          <w:b/>
          <w:bCs w:val="0"/>
          <w:color w:val="auto"/>
          <w:sz w:val="32"/>
          <w:szCs w:val="32"/>
        </w:rPr>
        <w:t>政府作为共同被告的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承担或实施被诉行政行为的行政机关和</w:t>
      </w:r>
      <w:r>
        <w:rPr>
          <w:rFonts w:hint="eastAsia" w:ascii="仿宋_GB2312" w:hAnsi="仿宋_GB2312" w:eastAsia="仿宋_GB2312" w:cs="仿宋_GB2312"/>
          <w:b/>
          <w:bCs w:val="0"/>
          <w:color w:val="auto"/>
          <w:sz w:val="32"/>
          <w:szCs w:val="32"/>
          <w:lang w:eastAsia="zh-CN"/>
        </w:rPr>
        <w:t>县司法局</w:t>
      </w:r>
      <w:r>
        <w:rPr>
          <w:rFonts w:hint="eastAsia" w:ascii="仿宋_GB2312" w:hAnsi="仿宋_GB2312" w:eastAsia="仿宋_GB2312" w:cs="仿宋_GB2312"/>
          <w:b/>
          <w:bCs w:val="0"/>
          <w:color w:val="auto"/>
          <w:sz w:val="32"/>
          <w:szCs w:val="32"/>
        </w:rPr>
        <w:t>为应诉承办单位</w:t>
      </w:r>
      <w:r>
        <w:rPr>
          <w:rFonts w:hint="eastAsia" w:cs="仿宋_GB2312"/>
          <w:b/>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三</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应诉承办单位不明确的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由</w:t>
      </w:r>
      <w:r>
        <w:rPr>
          <w:rFonts w:hint="eastAsia" w:ascii="仿宋_GB2312" w:hAnsi="仿宋_GB2312" w:eastAsia="仿宋_GB2312" w:cs="仿宋_GB2312"/>
          <w:b/>
          <w:bCs w:val="0"/>
          <w:color w:val="auto"/>
          <w:sz w:val="32"/>
          <w:szCs w:val="32"/>
          <w:lang w:eastAsia="zh-CN"/>
        </w:rPr>
        <w:t>县司法局</w:t>
      </w:r>
      <w:r>
        <w:rPr>
          <w:rFonts w:hint="eastAsia" w:ascii="仿宋_GB2312" w:hAnsi="仿宋_GB2312" w:eastAsia="仿宋_GB2312" w:cs="仿宋_GB2312"/>
          <w:b/>
          <w:bCs w:val="0"/>
          <w:color w:val="auto"/>
          <w:sz w:val="32"/>
          <w:szCs w:val="32"/>
        </w:rPr>
        <w:t>根据涉诉事项</w:t>
      </w:r>
      <w:r>
        <w:rPr>
          <w:rFonts w:hint="eastAsia" w:ascii="仿宋_GB2312" w:hAnsi="仿宋_GB2312" w:eastAsia="仿宋_GB2312" w:cs="仿宋_GB2312"/>
          <w:b/>
          <w:bCs w:val="0"/>
          <w:color w:val="auto"/>
          <w:sz w:val="32"/>
          <w:szCs w:val="32"/>
          <w:lang w:val="en-US" w:eastAsia="zh-CN"/>
        </w:rPr>
        <w:t>提出意见</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报县政府研究</w:t>
      </w:r>
      <w:r>
        <w:rPr>
          <w:rFonts w:hint="eastAsia" w:ascii="仿宋_GB2312" w:hAnsi="仿宋_GB2312" w:eastAsia="仿宋_GB2312" w:cs="仿宋_GB2312"/>
          <w:b/>
          <w:bCs w:val="0"/>
          <w:color w:val="auto"/>
          <w:sz w:val="32"/>
          <w:szCs w:val="32"/>
        </w:rPr>
        <w:t>予以确定。</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第九条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以县政府为被告的行政应诉案件</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县政府在确定应诉承办单位的同时</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确定一名县政府分管负责人具体负责应诉案件的组织协调并出庭应诉</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应诉承办单位应及时会同县司法局向县政府分管负责人汇报应诉案件办理情况。</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default" w:ascii="仿宋_GB2312" w:hAnsi="仿宋_GB2312" w:eastAsia="仿宋_GB2312" w:cs="仿宋_GB2312"/>
          <w:b/>
          <w:bCs w:val="0"/>
          <w:color w:val="ED7D31" w:themeColor="accent2"/>
          <w:sz w:val="32"/>
          <w:szCs w:val="32"/>
          <w:lang w:val="en-US" w:eastAsia="zh-CN"/>
          <w14:textFill>
            <w14:solidFill>
              <w14:schemeClr w14:val="accent2"/>
            </w14:solidFill>
          </w14:textFill>
        </w:rPr>
      </w:pPr>
      <w:r>
        <w:rPr>
          <w:rFonts w:hint="eastAsia" w:ascii="仿宋_GB2312" w:hAnsi="仿宋_GB2312" w:eastAsia="仿宋_GB2312" w:cs="仿宋_GB2312"/>
          <w:b/>
          <w:bCs w:val="0"/>
          <w:color w:val="auto"/>
          <w:sz w:val="32"/>
          <w:szCs w:val="32"/>
          <w:lang w:val="en-US" w:eastAsia="zh-CN"/>
        </w:rPr>
        <w:t>重大、复杂、疑难应诉案件由县政府主要负责人或确定的分管负责人召开专门案情分析研讨会</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应诉承办单位、县司法局、县政府法律顾问及其他相关部门</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单位）应参加会议并提出办理意见、建议。</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楷体_GB2312" w:hAnsi="楷体_GB2312" w:eastAsia="楷体_GB2312" w:cs="楷体_GB2312"/>
          <w:b/>
          <w:bCs w:val="0"/>
          <w:sz w:val="32"/>
          <w:szCs w:val="32"/>
          <w:lang w:val="en-US" w:eastAsia="zh-CN"/>
        </w:rPr>
        <w:t>第十条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以镇政府</w:t>
      </w:r>
      <w:r>
        <w:rPr>
          <w:rFonts w:hint="eastAsia" w:ascii="仿宋_GB2312" w:hAnsi="仿宋_GB2312" w:eastAsia="仿宋_GB2312" w:cs="仿宋_GB2312"/>
          <w:b/>
          <w:bCs w:val="0"/>
          <w:color w:val="auto"/>
          <w:sz w:val="32"/>
          <w:szCs w:val="32"/>
          <w:lang w:eastAsia="zh-CN"/>
        </w:rPr>
        <w:t>（</w:t>
      </w:r>
      <w:r>
        <w:rPr>
          <w:rFonts w:hint="eastAsia" w:cs="仿宋_GB2312"/>
          <w:b/>
          <w:bCs w:val="0"/>
          <w:color w:val="auto"/>
          <w:sz w:val="32"/>
          <w:szCs w:val="32"/>
          <w:lang w:eastAsia="zh-CN"/>
        </w:rPr>
        <w:t>街道办事处</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lang w:val="en-US" w:eastAsia="zh-CN"/>
        </w:rPr>
        <w:t>工作</w:t>
      </w:r>
      <w:r>
        <w:rPr>
          <w:rFonts w:hint="eastAsia" w:ascii="仿宋_GB2312" w:hAnsi="仿宋_GB2312" w:eastAsia="仿宋_GB2312" w:cs="仿宋_GB2312"/>
          <w:b/>
          <w:bCs w:val="0"/>
          <w:color w:val="auto"/>
          <w:sz w:val="32"/>
          <w:szCs w:val="32"/>
        </w:rPr>
        <w:t>部门为被告的行政</w:t>
      </w:r>
      <w:r>
        <w:rPr>
          <w:rFonts w:hint="eastAsia" w:ascii="仿宋_GB2312" w:hAnsi="仿宋_GB2312" w:eastAsia="仿宋_GB2312" w:cs="仿宋_GB2312"/>
          <w:b/>
          <w:bCs w:val="0"/>
          <w:color w:val="auto"/>
          <w:sz w:val="32"/>
          <w:szCs w:val="32"/>
          <w:lang w:val="en-US" w:eastAsia="zh-CN"/>
        </w:rPr>
        <w:t>应诉</w:t>
      </w:r>
      <w:r>
        <w:rPr>
          <w:rFonts w:hint="eastAsia" w:ascii="仿宋_GB2312" w:hAnsi="仿宋_GB2312" w:eastAsia="仿宋_GB2312" w:cs="仿宋_GB2312"/>
          <w:b/>
          <w:bCs w:val="0"/>
          <w:color w:val="auto"/>
          <w:sz w:val="32"/>
          <w:szCs w:val="32"/>
        </w:rPr>
        <w:t>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由其根据“谁负责、谁应诉、权责一致”的原则确定应诉承</w:t>
      </w:r>
      <w:r>
        <w:rPr>
          <w:rFonts w:hint="eastAsia" w:ascii="仿宋_GB2312" w:hAnsi="仿宋_GB2312" w:eastAsia="仿宋_GB2312" w:cs="仿宋_GB2312"/>
          <w:b/>
          <w:bCs w:val="0"/>
          <w:sz w:val="32"/>
          <w:szCs w:val="32"/>
        </w:rPr>
        <w:t>办</w:t>
      </w:r>
      <w:r>
        <w:rPr>
          <w:rFonts w:hint="eastAsia" w:ascii="仿宋_GB2312" w:hAnsi="仿宋_GB2312" w:eastAsia="仿宋_GB2312" w:cs="仿宋_GB2312"/>
          <w:b/>
          <w:bCs w:val="0"/>
          <w:sz w:val="32"/>
          <w:szCs w:val="32"/>
          <w:u w:val="none"/>
          <w:lang w:val="en-US" w:eastAsia="zh-CN"/>
        </w:rPr>
        <w:t>单位</w:t>
      </w:r>
      <w:r>
        <w:rPr>
          <w:rFonts w:hint="eastAsia" w:ascii="仿宋_GB2312" w:hAnsi="仿宋_GB2312" w:eastAsia="仿宋_GB2312" w:cs="仿宋_GB2312"/>
          <w:b/>
          <w:bCs w:val="0"/>
          <w:sz w:val="32"/>
          <w:szCs w:val="32"/>
          <w:u w:val="none"/>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highlight w:val="none"/>
          <w:u w:val="none"/>
        </w:rPr>
      </w:pPr>
      <w:r>
        <w:rPr>
          <w:rFonts w:hint="eastAsia" w:ascii="楷体_GB2312" w:hAnsi="楷体_GB2312" w:eastAsia="楷体_GB2312" w:cs="楷体_GB2312"/>
          <w:b/>
          <w:bCs w:val="0"/>
          <w:sz w:val="32"/>
          <w:szCs w:val="32"/>
          <w:lang w:val="en-US" w:eastAsia="zh-CN"/>
        </w:rPr>
        <w:t>第十一条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以</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rPr>
        <w:t>为被告的未经复议的行政应诉案件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应诉承办单位应当起草答辩状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制作证据目录</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整理证据、依据及其他材料</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highlight w:val="none"/>
        </w:rPr>
        <w:t>报</w:t>
      </w:r>
      <w:r>
        <w:rPr>
          <w:rFonts w:hint="eastAsia" w:ascii="仿宋_GB2312" w:hAnsi="仿宋_GB2312" w:eastAsia="仿宋_GB2312" w:cs="仿宋_GB2312"/>
          <w:b/>
          <w:bCs w:val="0"/>
          <w:color w:val="auto"/>
          <w:sz w:val="32"/>
          <w:szCs w:val="32"/>
          <w:highlight w:val="none"/>
          <w:lang w:eastAsia="zh-CN"/>
        </w:rPr>
        <w:t>县司法局</w:t>
      </w:r>
      <w:r>
        <w:rPr>
          <w:rFonts w:hint="eastAsia" w:ascii="仿宋_GB2312" w:hAnsi="仿宋_GB2312" w:eastAsia="仿宋_GB2312" w:cs="仿宋_GB2312"/>
          <w:b/>
          <w:bCs w:val="0"/>
          <w:color w:val="auto"/>
          <w:sz w:val="32"/>
          <w:szCs w:val="32"/>
          <w:highlight w:val="none"/>
        </w:rPr>
        <w:t>备案后</w:t>
      </w:r>
      <w:r>
        <w:rPr>
          <w:rFonts w:hint="eastAsia"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在法定期限内提交人民法院</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u w:val="none"/>
        </w:rPr>
        <w:t>收到开庭传票</w:t>
      </w:r>
      <w:r>
        <w:rPr>
          <w:rFonts w:hint="eastAsia" w:ascii="仿宋_GB2312" w:hAnsi="仿宋_GB2312" w:eastAsia="仿宋_GB2312" w:cs="仿宋_GB2312"/>
          <w:b/>
          <w:bCs w:val="0"/>
          <w:color w:val="auto"/>
          <w:sz w:val="32"/>
          <w:szCs w:val="32"/>
          <w:highlight w:val="none"/>
          <w:u w:val="none"/>
          <w:lang w:val="en-US" w:eastAsia="zh-CN"/>
        </w:rPr>
        <w:t>后</w:t>
      </w:r>
      <w:r>
        <w:rPr>
          <w:rFonts w:hint="eastAsia" w:cs="仿宋_GB2312"/>
          <w:b/>
          <w:bCs w:val="0"/>
          <w:color w:val="auto"/>
          <w:sz w:val="32"/>
          <w:szCs w:val="32"/>
          <w:highlight w:val="none"/>
          <w:u w:val="none"/>
          <w:lang w:val="en-US" w:eastAsia="zh-CN"/>
        </w:rPr>
        <w:t>，</w:t>
      </w:r>
      <w:r>
        <w:rPr>
          <w:rFonts w:hint="eastAsia" w:ascii="仿宋_GB2312" w:hAnsi="仿宋_GB2312" w:eastAsia="仿宋_GB2312" w:cs="仿宋_GB2312"/>
          <w:b/>
          <w:bCs w:val="0"/>
          <w:color w:val="auto"/>
          <w:sz w:val="32"/>
          <w:szCs w:val="32"/>
          <w:highlight w:val="none"/>
          <w:u w:val="none"/>
          <w:lang w:val="en-US" w:eastAsia="zh-CN"/>
        </w:rPr>
        <w:t>由</w:t>
      </w:r>
      <w:r>
        <w:rPr>
          <w:rFonts w:hint="eastAsia" w:ascii="仿宋_GB2312" w:hAnsi="仿宋_GB2312" w:eastAsia="仿宋_GB2312" w:cs="仿宋_GB2312"/>
          <w:b/>
          <w:bCs w:val="0"/>
          <w:color w:val="auto"/>
          <w:sz w:val="32"/>
          <w:szCs w:val="32"/>
          <w:highlight w:val="none"/>
          <w:u w:val="none"/>
        </w:rPr>
        <w:t>应诉承办单位</w:t>
      </w:r>
      <w:r>
        <w:rPr>
          <w:rFonts w:hint="eastAsia" w:ascii="仿宋_GB2312" w:hAnsi="仿宋_GB2312" w:eastAsia="仿宋_GB2312" w:cs="仿宋_GB2312"/>
          <w:b/>
          <w:bCs w:val="0"/>
          <w:color w:val="auto"/>
          <w:sz w:val="32"/>
          <w:szCs w:val="32"/>
          <w:highlight w:val="none"/>
          <w:u w:val="none"/>
          <w:lang w:val="en-US" w:eastAsia="zh-CN"/>
        </w:rPr>
        <w:t>向县政府确定的分管负责人汇报并协调县政府</w:t>
      </w:r>
      <w:r>
        <w:rPr>
          <w:rFonts w:hint="eastAsia" w:ascii="仿宋_GB2312" w:hAnsi="仿宋_GB2312" w:eastAsia="仿宋_GB2312" w:cs="仿宋_GB2312"/>
          <w:b/>
          <w:bCs w:val="0"/>
          <w:color w:val="auto"/>
          <w:sz w:val="32"/>
          <w:szCs w:val="32"/>
          <w:highlight w:val="none"/>
          <w:u w:val="none"/>
        </w:rPr>
        <w:t>负责人依法出庭应诉。</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人民法院认为需要组织现场调查的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应诉承办单位应当积极配合。</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u w:val="none"/>
          <w:lang w:val="en-US" w:eastAsia="zh-CN"/>
        </w:rPr>
      </w:pPr>
      <w:r>
        <w:rPr>
          <w:rFonts w:hint="eastAsia" w:ascii="楷体_GB2312" w:hAnsi="楷体_GB2312" w:eastAsia="楷体_GB2312" w:cs="楷体_GB2312"/>
          <w:b/>
          <w:bCs w:val="0"/>
          <w:sz w:val="32"/>
          <w:szCs w:val="32"/>
          <w:lang w:val="en-US" w:eastAsia="zh-CN"/>
        </w:rPr>
        <w:t>第十二条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以</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rPr>
        <w:t>为被告的经复议的行政应诉案件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u w:val="none"/>
          <w:lang w:val="en-US" w:eastAsia="zh-CN"/>
        </w:rPr>
        <w:t>县政府</w:t>
      </w:r>
      <w:r>
        <w:rPr>
          <w:rFonts w:hint="eastAsia" w:ascii="仿宋_GB2312" w:hAnsi="仿宋_GB2312" w:eastAsia="仿宋_GB2312" w:cs="仿宋_GB2312"/>
          <w:b/>
          <w:bCs w:val="0"/>
          <w:color w:val="auto"/>
          <w:sz w:val="32"/>
          <w:szCs w:val="32"/>
          <w:u w:val="none"/>
        </w:rPr>
        <w:t>作为共同被告</w:t>
      </w:r>
      <w:r>
        <w:rPr>
          <w:rFonts w:hint="eastAsia" w:ascii="仿宋_GB2312" w:hAnsi="仿宋_GB2312" w:eastAsia="仿宋_GB2312" w:cs="仿宋_GB2312"/>
          <w:b/>
          <w:bCs w:val="0"/>
          <w:color w:val="auto"/>
          <w:sz w:val="32"/>
          <w:szCs w:val="32"/>
          <w:u w:val="none"/>
          <w:lang w:val="en-US" w:eastAsia="zh-CN"/>
        </w:rPr>
        <w:t>的</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rPr>
        <w:t>由作出原行政行为的行政机关对原行政行为的合法性进行举证</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县政府</w:t>
      </w:r>
      <w:r>
        <w:rPr>
          <w:rFonts w:hint="eastAsia" w:ascii="仿宋_GB2312" w:hAnsi="仿宋_GB2312" w:eastAsia="仿宋_GB2312" w:cs="仿宋_GB2312"/>
          <w:b/>
          <w:bCs w:val="0"/>
          <w:color w:val="auto"/>
          <w:sz w:val="32"/>
          <w:szCs w:val="32"/>
          <w:u w:val="none"/>
        </w:rPr>
        <w:t>对行政复议决定的程序合法性进行举证</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县政府</w:t>
      </w:r>
      <w:r>
        <w:rPr>
          <w:rFonts w:hint="eastAsia" w:ascii="仿宋_GB2312" w:hAnsi="仿宋_GB2312" w:eastAsia="仿宋_GB2312" w:cs="仿宋_GB2312"/>
          <w:b/>
          <w:bCs w:val="0"/>
          <w:color w:val="auto"/>
          <w:sz w:val="32"/>
          <w:szCs w:val="32"/>
          <w:u w:val="none"/>
        </w:rPr>
        <w:t>作为单独被告的</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县政府</w:t>
      </w:r>
      <w:r>
        <w:rPr>
          <w:rFonts w:hint="eastAsia" w:ascii="仿宋_GB2312" w:hAnsi="仿宋_GB2312" w:eastAsia="仿宋_GB2312" w:cs="仿宋_GB2312"/>
          <w:b/>
          <w:bCs w:val="0"/>
          <w:color w:val="auto"/>
          <w:sz w:val="32"/>
          <w:szCs w:val="32"/>
          <w:u w:val="none"/>
        </w:rPr>
        <w:t>对复议决定的合法性进行举证</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必要时</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可以要求作出原行政行为的行政机关予以协助。</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第十三条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应诉承办单位应当在答辩状、证据目录、法定代表人身份证明书和授权委托书上加盖应诉机关印章</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并及时提交人民法院。</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因不可抗力或者其他正当事由</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应诉承办单位不能在举证期限内提交的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应当在期限届满前向人民法院提出延长举证期限的书面申请。</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楷体_GB2312" w:hAnsi="楷体_GB2312" w:eastAsia="楷体_GB2312" w:cs="楷体_GB2312"/>
          <w:b/>
          <w:bCs w:val="0"/>
          <w:sz w:val="32"/>
          <w:szCs w:val="32"/>
          <w:lang w:val="en-US" w:eastAsia="zh-CN"/>
        </w:rPr>
        <w:t>第十四条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u w:val="none"/>
        </w:rPr>
        <w:t>应诉承办单位应就被诉行政行为开展败诉风险评估。存在实体性败诉风险的</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应诉承办单位应当于提交答辩材料前3个工作日内</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向应诉机关报告。</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仿宋_GB2312" w:hAnsi="仿宋_GB2312" w:eastAsia="仿宋_GB2312" w:cs="仿宋_GB2312"/>
          <w:b/>
          <w:bCs w:val="0"/>
          <w:sz w:val="32"/>
          <w:szCs w:val="32"/>
          <w:lang w:val="en-US" w:eastAsia="zh-CN"/>
        </w:rPr>
      </w:pPr>
      <w:r>
        <w:rPr>
          <w:rFonts w:hint="eastAsia" w:ascii="黑体" w:hAnsi="黑体" w:eastAsia="黑体" w:cs="黑体"/>
          <w:b/>
          <w:bCs w:val="0"/>
          <w:sz w:val="32"/>
          <w:szCs w:val="32"/>
          <w:lang w:val="en-US" w:eastAsia="zh-CN"/>
        </w:rPr>
        <w:t>第三章  出庭</w:t>
      </w:r>
      <w:bookmarkStart w:id="0" w:name="_GoBack"/>
      <w:bookmarkEnd w:id="0"/>
      <w:r>
        <w:rPr>
          <w:rFonts w:hint="eastAsia" w:ascii="黑体" w:hAnsi="黑体" w:eastAsia="黑体" w:cs="黑体"/>
          <w:b/>
          <w:bCs w:val="0"/>
          <w:sz w:val="32"/>
          <w:szCs w:val="32"/>
          <w:lang w:val="en-US" w:eastAsia="zh-CN"/>
        </w:rPr>
        <w:t>应诉</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楷体_GB2312" w:hAnsi="楷体_GB2312" w:eastAsia="楷体_GB2312" w:cs="楷体_GB2312"/>
          <w:b/>
          <w:bCs w:val="0"/>
          <w:sz w:val="32"/>
          <w:szCs w:val="32"/>
          <w:lang w:val="en-US" w:eastAsia="zh-CN"/>
        </w:rPr>
        <w:t>第十五条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行政机关负责人应当严格按照《中华人民共和国行政诉讼法》及其司法解释的规定出庭应诉。</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行政机关负责人包括正职负责人、副职负责人、参与分管被诉行政行为实施工作的副职级别的负责人以及其他参与分管的负责人。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行政机关负责人出庭应诉的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应当于开庭前向人民法院提交出庭应诉负责人的身份证明。身份证明应当载明该负责人的姓名、职务等基本信息</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加盖应诉机关印章。</w:t>
      </w:r>
    </w:p>
    <w:p>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highlight w:val="none"/>
        </w:rPr>
      </w:pPr>
      <w:r>
        <w:rPr>
          <w:rFonts w:hint="eastAsia" w:ascii="楷体_GB2312" w:hAnsi="楷体_GB2312" w:eastAsia="楷体_GB2312" w:cs="楷体_GB2312"/>
          <w:b/>
          <w:bCs w:val="0"/>
          <w:sz w:val="32"/>
          <w:szCs w:val="32"/>
          <w:lang w:val="en-US" w:eastAsia="zh-CN"/>
        </w:rPr>
        <w:t xml:space="preserve">第十六条 </w:t>
      </w:r>
      <w:r>
        <w:rPr>
          <w:rFonts w:hint="eastAsia" w:ascii="黑体" w:hAnsi="黑体" w:eastAsia="黑体" w:cs="黑体"/>
          <w:b/>
          <w:bCs w:val="0"/>
          <w:sz w:val="32"/>
          <w:szCs w:val="32"/>
          <w:lang w:val="en-US" w:eastAsia="zh-CN"/>
        </w:rPr>
        <w:t xml:space="preserve"> </w:t>
      </w:r>
      <w:r>
        <w:rPr>
          <w:rFonts w:hint="eastAsia" w:ascii="仿宋_GB2312" w:hAnsi="仿宋_GB2312" w:eastAsia="仿宋_GB2312" w:cs="仿宋_GB2312"/>
          <w:b/>
          <w:bCs w:val="0"/>
          <w:sz w:val="32"/>
          <w:szCs w:val="32"/>
        </w:rPr>
        <w:t>应诉机关应当按照“谁分管、谁出庭”的原则</w:t>
      </w:r>
      <w:r>
        <w:rPr>
          <w:rFonts w:hint="eastAsia" w:cs="仿宋_GB2312"/>
          <w:b/>
          <w:bCs w:val="0"/>
          <w:sz w:val="32"/>
          <w:szCs w:val="32"/>
          <w:lang w:eastAsia="zh-CN"/>
        </w:rPr>
        <w:t>，</w:t>
      </w:r>
      <w:r>
        <w:rPr>
          <w:rFonts w:hint="eastAsia" w:ascii="仿宋_GB2312" w:hAnsi="仿宋_GB2312" w:eastAsia="仿宋_GB2312" w:cs="仿宋_GB2312"/>
          <w:b/>
          <w:bCs w:val="0"/>
          <w:sz w:val="32"/>
          <w:szCs w:val="32"/>
        </w:rPr>
        <w:t>确定相应行政机关</w:t>
      </w:r>
      <w:r>
        <w:rPr>
          <w:rFonts w:hint="eastAsia" w:ascii="仿宋_GB2312" w:hAnsi="仿宋_GB2312" w:eastAsia="仿宋_GB2312" w:cs="仿宋_GB2312"/>
          <w:b/>
          <w:bCs w:val="0"/>
          <w:sz w:val="32"/>
          <w:szCs w:val="32"/>
          <w:highlight w:val="none"/>
        </w:rPr>
        <w:t>负责人出庭应诉。</w:t>
      </w:r>
    </w:p>
    <w:p>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highlight w:val="none"/>
          <w:u w:val="none"/>
        </w:rPr>
      </w:pPr>
      <w:r>
        <w:rPr>
          <w:rFonts w:hint="eastAsia" w:ascii="楷体_GB2312" w:hAnsi="楷体_GB2312" w:eastAsia="楷体_GB2312" w:cs="楷体_GB2312"/>
          <w:b/>
          <w:bCs w:val="0"/>
          <w:sz w:val="32"/>
          <w:szCs w:val="32"/>
          <w:lang w:val="en-US" w:eastAsia="zh-CN"/>
        </w:rPr>
        <w:t xml:space="preserve">第十七条 </w:t>
      </w:r>
      <w:r>
        <w:rPr>
          <w:rFonts w:hint="eastAsia" w:ascii="仿宋_GB2312" w:hAnsi="仿宋_GB2312" w:eastAsia="仿宋_GB2312" w:cs="仿宋_GB2312"/>
          <w:b/>
          <w:bCs w:val="0"/>
          <w:sz w:val="32"/>
          <w:szCs w:val="32"/>
          <w:highlight w:val="none"/>
          <w:u w:val="none"/>
        </w:rPr>
        <w:t xml:space="preserve"> </w:t>
      </w:r>
      <w:r>
        <w:rPr>
          <w:rFonts w:hint="eastAsia" w:ascii="仿宋_GB2312" w:hAnsi="仿宋_GB2312" w:eastAsia="仿宋_GB2312" w:cs="仿宋_GB2312"/>
          <w:b/>
          <w:bCs w:val="0"/>
          <w:color w:val="auto"/>
          <w:sz w:val="32"/>
          <w:szCs w:val="32"/>
          <w:highlight w:val="none"/>
          <w:u w:val="none"/>
        </w:rPr>
        <w:t>推行</w:t>
      </w:r>
      <w:r>
        <w:rPr>
          <w:rFonts w:hint="eastAsia" w:ascii="仿宋_GB2312" w:hAnsi="仿宋_GB2312" w:eastAsia="仿宋_GB2312" w:cs="仿宋_GB2312"/>
          <w:b/>
          <w:bCs w:val="0"/>
          <w:color w:val="auto"/>
          <w:sz w:val="32"/>
          <w:szCs w:val="32"/>
          <w:highlight w:val="none"/>
          <w:u w:val="none"/>
          <w:lang w:eastAsia="zh-CN"/>
        </w:rPr>
        <w:t>县</w:t>
      </w:r>
      <w:r>
        <w:rPr>
          <w:rFonts w:hint="eastAsia" w:ascii="仿宋_GB2312" w:hAnsi="仿宋_GB2312" w:eastAsia="仿宋_GB2312" w:cs="仿宋_GB2312"/>
          <w:b/>
          <w:bCs w:val="0"/>
          <w:color w:val="auto"/>
          <w:sz w:val="32"/>
          <w:szCs w:val="32"/>
          <w:highlight w:val="none"/>
          <w:u w:val="none"/>
        </w:rPr>
        <w:t>政府负责人带头出庭应诉制度。对重大、复杂的行政应诉案件</w:t>
      </w:r>
      <w:r>
        <w:rPr>
          <w:rFonts w:hint="eastAsia" w:cs="仿宋_GB2312"/>
          <w:b/>
          <w:bCs w:val="0"/>
          <w:color w:val="auto"/>
          <w:sz w:val="32"/>
          <w:szCs w:val="32"/>
          <w:highlight w:val="none"/>
          <w:u w:val="none"/>
          <w:lang w:eastAsia="zh-CN"/>
        </w:rPr>
        <w:t>，</w:t>
      </w:r>
      <w:r>
        <w:rPr>
          <w:rFonts w:hint="eastAsia" w:ascii="仿宋_GB2312" w:hAnsi="仿宋_GB2312" w:eastAsia="仿宋_GB2312" w:cs="仿宋_GB2312"/>
          <w:b/>
          <w:bCs w:val="0"/>
          <w:color w:val="auto"/>
          <w:sz w:val="32"/>
          <w:szCs w:val="32"/>
          <w:highlight w:val="none"/>
          <w:u w:val="none"/>
          <w:lang w:eastAsia="zh-CN"/>
        </w:rPr>
        <w:t>县</w:t>
      </w:r>
      <w:r>
        <w:rPr>
          <w:rFonts w:hint="eastAsia" w:ascii="仿宋_GB2312" w:hAnsi="仿宋_GB2312" w:eastAsia="仿宋_GB2312" w:cs="仿宋_GB2312"/>
          <w:b/>
          <w:bCs w:val="0"/>
          <w:color w:val="auto"/>
          <w:sz w:val="32"/>
          <w:szCs w:val="32"/>
          <w:highlight w:val="none"/>
          <w:u w:val="none"/>
        </w:rPr>
        <w:t>政府负责人应当依法带头出庭应诉。</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 xml:space="preserve">第十八条 </w:t>
      </w:r>
      <w:r>
        <w:rPr>
          <w:rFonts w:hint="eastAsia" w:ascii="仿宋_GB2312" w:hAnsi="仿宋_GB2312" w:eastAsia="仿宋_GB2312" w:cs="仿宋_GB2312"/>
          <w:b/>
          <w:bCs w:val="0"/>
          <w:sz w:val="32"/>
          <w:szCs w:val="32"/>
        </w:rPr>
        <w:t xml:space="preserve"> 属于下列情形之一的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行政机关正职负责人应当出庭应诉:</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sz w:val="32"/>
          <w:szCs w:val="32"/>
          <w:lang w:eastAsia="zh-CN"/>
        </w:rPr>
        <w:t>涉及重大公共利益的</w:t>
      </w:r>
      <w:r>
        <w:rPr>
          <w:rFonts w:hint="eastAsia" w:cs="仿宋_GB2312"/>
          <w:b/>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（二）社会关注度高的</w:t>
      </w:r>
      <w:r>
        <w:rPr>
          <w:rFonts w:hint="eastAsia" w:cs="仿宋_GB2312"/>
          <w:b/>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（三）可能引发群体性事件的</w:t>
      </w:r>
      <w:r>
        <w:rPr>
          <w:rFonts w:hint="eastAsia" w:cs="仿宋_GB2312"/>
          <w:b/>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检察机关提起行政公益诉讼或抗诉的</w:t>
      </w:r>
      <w:r>
        <w:rPr>
          <w:rFonts w:hint="eastAsia" w:cs="仿宋_GB2312"/>
          <w:b/>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五）行政机关正职负责人应当出庭应诉的其他情形。</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楷体_GB2312" w:hAnsi="楷体_GB2312" w:eastAsia="楷体_GB2312" w:cs="楷体_GB2312"/>
          <w:b/>
          <w:bCs w:val="0"/>
          <w:sz w:val="32"/>
          <w:szCs w:val="32"/>
          <w:lang w:val="en-US" w:eastAsia="zh-CN"/>
        </w:rPr>
        <w:t xml:space="preserve">第十九条 </w:t>
      </w:r>
      <w:r>
        <w:rPr>
          <w:rFonts w:hint="eastAsia" w:ascii="仿宋_GB2312" w:hAnsi="仿宋_GB2312" w:eastAsia="仿宋_GB2312" w:cs="仿宋_GB2312"/>
          <w:b/>
          <w:bCs w:val="0"/>
          <w:color w:val="auto"/>
          <w:sz w:val="32"/>
          <w:szCs w:val="32"/>
        </w:rPr>
        <w:t xml:space="preserve"> </w:t>
      </w:r>
      <w:r>
        <w:rPr>
          <w:rFonts w:hint="eastAsia" w:ascii="仿宋_GB2312" w:hAnsi="仿宋_GB2312" w:eastAsia="仿宋_GB2312" w:cs="仿宋_GB2312"/>
          <w:b/>
          <w:bCs w:val="0"/>
          <w:color w:val="auto"/>
          <w:sz w:val="32"/>
          <w:szCs w:val="32"/>
          <w:u w:val="none"/>
        </w:rPr>
        <w:t>涉企业行政案件</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是指原告或第三人至少有一方为企业法人的行政应诉案件。涉企业行政案件</w:t>
      </w:r>
      <w:r>
        <w:rPr>
          <w:rFonts w:hint="eastAsia" w:ascii="仿宋_GB2312" w:hAnsi="仿宋_GB2312" w:eastAsia="仿宋_GB2312" w:cs="仿宋_GB2312"/>
          <w:b/>
          <w:bCs w:val="0"/>
          <w:color w:val="auto"/>
          <w:sz w:val="32"/>
          <w:szCs w:val="32"/>
          <w:u w:val="none"/>
          <w:lang w:val="en-US" w:eastAsia="zh-CN"/>
        </w:rPr>
        <w:t>部门</w:t>
      </w:r>
      <w:r>
        <w:rPr>
          <w:rFonts w:hint="eastAsia" w:ascii="仿宋_GB2312" w:hAnsi="仿宋_GB2312" w:eastAsia="仿宋_GB2312" w:cs="仿宋_GB2312"/>
          <w:b/>
          <w:bCs w:val="0"/>
          <w:color w:val="auto"/>
          <w:sz w:val="32"/>
          <w:szCs w:val="32"/>
          <w:u w:val="none"/>
        </w:rPr>
        <w:t>负责人必须出庭应诉</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lang w:val="en-US" w:eastAsia="zh-CN"/>
        </w:rPr>
        <w:t>并严格按照第二十一条规定积极帮助企业化解行政争议。</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第二十条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经行政复议的行政</w:t>
      </w:r>
      <w:r>
        <w:rPr>
          <w:rFonts w:hint="eastAsia" w:ascii="仿宋_GB2312" w:hAnsi="仿宋_GB2312" w:eastAsia="仿宋_GB2312" w:cs="仿宋_GB2312"/>
          <w:b/>
          <w:bCs w:val="0"/>
          <w:sz w:val="32"/>
          <w:szCs w:val="32"/>
          <w:lang w:val="en-US" w:eastAsia="zh-CN"/>
        </w:rPr>
        <w:t>应诉</w:t>
      </w:r>
      <w:r>
        <w:rPr>
          <w:rFonts w:hint="eastAsia" w:ascii="仿宋_GB2312" w:hAnsi="仿宋_GB2312" w:eastAsia="仿宋_GB2312" w:cs="仿宋_GB2312"/>
          <w:b/>
          <w:bCs w:val="0"/>
          <w:sz w:val="32"/>
          <w:szCs w:val="32"/>
        </w:rPr>
        <w:t>案件</w:t>
      </w:r>
      <w:r>
        <w:rPr>
          <w:rFonts w:hint="eastAsia" w:cs="仿宋_GB2312"/>
          <w:b/>
          <w:bCs w:val="0"/>
          <w:sz w:val="32"/>
          <w:szCs w:val="32"/>
          <w:lang w:eastAsia="zh-CN"/>
        </w:rPr>
        <w:t>，</w:t>
      </w:r>
      <w:r>
        <w:rPr>
          <w:rFonts w:hint="eastAsia" w:ascii="仿宋_GB2312" w:hAnsi="仿宋_GB2312" w:eastAsia="仿宋_GB2312" w:cs="仿宋_GB2312"/>
          <w:b/>
          <w:bCs w:val="0"/>
          <w:sz w:val="32"/>
          <w:szCs w:val="32"/>
          <w:lang w:val="en-US" w:eastAsia="zh-CN"/>
        </w:rPr>
        <w:t>县政府作</w:t>
      </w:r>
      <w:r>
        <w:rPr>
          <w:rFonts w:hint="eastAsia" w:ascii="仿宋_GB2312" w:hAnsi="仿宋_GB2312" w:eastAsia="仿宋_GB2312" w:cs="仿宋_GB2312"/>
          <w:b/>
          <w:bCs w:val="0"/>
          <w:sz w:val="32"/>
          <w:szCs w:val="32"/>
        </w:rPr>
        <w:t>为单独被告的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行政复议机构负责人可以视同</w:t>
      </w:r>
      <w:r>
        <w:rPr>
          <w:rFonts w:hint="eastAsia" w:ascii="仿宋_GB2312" w:hAnsi="仿宋_GB2312" w:eastAsia="仿宋_GB2312" w:cs="仿宋_GB2312"/>
          <w:b/>
          <w:bCs w:val="0"/>
          <w:sz w:val="32"/>
          <w:szCs w:val="32"/>
          <w:lang w:val="en-US" w:eastAsia="zh-CN"/>
        </w:rPr>
        <w:t>县政府</w:t>
      </w:r>
      <w:r>
        <w:rPr>
          <w:rFonts w:hint="eastAsia" w:ascii="仿宋_GB2312" w:hAnsi="仿宋_GB2312" w:eastAsia="仿宋_GB2312" w:cs="仿宋_GB2312"/>
          <w:b/>
          <w:bCs w:val="0"/>
          <w:sz w:val="32"/>
          <w:szCs w:val="32"/>
        </w:rPr>
        <w:t>其他参与分管的负责人出庭应诉</w:t>
      </w:r>
      <w:r>
        <w:rPr>
          <w:rFonts w:hint="eastAsia" w:cs="仿宋_GB2312"/>
          <w:b/>
          <w:bCs w:val="0"/>
          <w:sz w:val="32"/>
          <w:szCs w:val="32"/>
          <w:lang w:eastAsia="zh-CN"/>
        </w:rPr>
        <w:t>；</w:t>
      </w:r>
      <w:r>
        <w:rPr>
          <w:rFonts w:hint="eastAsia" w:ascii="仿宋_GB2312" w:hAnsi="仿宋_GB2312" w:eastAsia="仿宋_GB2312" w:cs="仿宋_GB2312"/>
          <w:b/>
          <w:bCs w:val="0"/>
          <w:sz w:val="32"/>
          <w:szCs w:val="32"/>
        </w:rPr>
        <w:t>作出原行政行为的行政机关与</w:t>
      </w:r>
      <w:r>
        <w:rPr>
          <w:rFonts w:hint="eastAsia" w:ascii="仿宋_GB2312" w:hAnsi="仿宋_GB2312" w:eastAsia="仿宋_GB2312" w:cs="仿宋_GB2312"/>
          <w:b/>
          <w:bCs w:val="0"/>
          <w:sz w:val="32"/>
          <w:szCs w:val="32"/>
          <w:lang w:val="en-US" w:eastAsia="zh-CN"/>
        </w:rPr>
        <w:t>县政府</w:t>
      </w:r>
      <w:r>
        <w:rPr>
          <w:rFonts w:hint="eastAsia" w:ascii="仿宋_GB2312" w:hAnsi="仿宋_GB2312" w:eastAsia="仿宋_GB2312" w:cs="仿宋_GB2312"/>
          <w:b/>
          <w:bCs w:val="0"/>
          <w:sz w:val="32"/>
          <w:szCs w:val="32"/>
        </w:rPr>
        <w:t>为共同被告的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作出原行政行为的行政机关负责人应当出庭应诉</w:t>
      </w:r>
      <w:r>
        <w:rPr>
          <w:rFonts w:hint="eastAsia" w:cs="仿宋_GB2312"/>
          <w:b/>
          <w:bCs w:val="0"/>
          <w:sz w:val="32"/>
          <w:szCs w:val="32"/>
          <w:lang w:eastAsia="zh-CN"/>
        </w:rPr>
        <w:t>，</w:t>
      </w:r>
      <w:r>
        <w:rPr>
          <w:rFonts w:hint="eastAsia" w:ascii="仿宋_GB2312" w:hAnsi="仿宋_GB2312" w:eastAsia="仿宋_GB2312" w:cs="仿宋_GB2312"/>
          <w:b/>
          <w:bCs w:val="0"/>
          <w:sz w:val="32"/>
          <w:szCs w:val="32"/>
          <w:lang w:val="en-US" w:eastAsia="zh-CN"/>
        </w:rPr>
        <w:t>县政府</w:t>
      </w:r>
      <w:r>
        <w:rPr>
          <w:rFonts w:hint="eastAsia" w:ascii="仿宋_GB2312" w:hAnsi="仿宋_GB2312" w:eastAsia="仿宋_GB2312" w:cs="仿宋_GB2312"/>
          <w:b/>
          <w:bCs w:val="0"/>
          <w:sz w:val="32"/>
          <w:szCs w:val="32"/>
        </w:rPr>
        <w:t>可仅委托工作人员出庭应诉</w:t>
      </w:r>
      <w:r>
        <w:rPr>
          <w:rFonts w:hint="eastAsia" w:cs="仿宋_GB2312"/>
          <w:b/>
          <w:bCs w:val="0"/>
          <w:sz w:val="32"/>
          <w:szCs w:val="32"/>
          <w:lang w:eastAsia="zh-CN"/>
        </w:rPr>
        <w:t>，</w:t>
      </w:r>
      <w:r>
        <w:rPr>
          <w:rFonts w:hint="eastAsia" w:ascii="仿宋_GB2312" w:hAnsi="仿宋_GB2312" w:eastAsia="仿宋_GB2312" w:cs="仿宋_GB2312"/>
          <w:b/>
          <w:bCs w:val="0"/>
          <w:sz w:val="32"/>
          <w:szCs w:val="32"/>
        </w:rPr>
        <w:t>无需提交负责人不能出庭情况说明。</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 xml:space="preserve">第二十一条 </w:t>
      </w:r>
      <w:r>
        <w:rPr>
          <w:rFonts w:hint="eastAsia" w:ascii="仿宋_GB2312" w:hAnsi="仿宋_GB2312" w:eastAsia="仿宋_GB2312" w:cs="仿宋_GB2312"/>
          <w:b/>
          <w:bCs w:val="0"/>
          <w:color w:val="auto"/>
          <w:sz w:val="32"/>
          <w:szCs w:val="32"/>
          <w:lang w:val="en-US" w:eastAsia="zh-CN"/>
        </w:rPr>
        <w:t xml:space="preserve"> 行政机关负责人应当积极履行行政应诉职责</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主动参与庭审发言</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配合人民法院查明案情</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积极协助人民法院实质性化解行政争议</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力求达到案结事了、息诉罢讼的法律与社会效果。</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第二十二条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应诉机关或应诉承办单位应当于人民法院确</w:t>
      </w:r>
      <w:r>
        <w:rPr>
          <w:rFonts w:hint="eastAsia" w:ascii="仿宋_GB2312" w:hAnsi="仿宋_GB2312" w:eastAsia="仿宋_GB2312" w:cs="仿宋_GB2312"/>
          <w:b/>
          <w:bCs w:val="0"/>
          <w:color w:val="auto"/>
          <w:sz w:val="32"/>
          <w:szCs w:val="32"/>
        </w:rPr>
        <w:t>定的开庭时</w:t>
      </w:r>
      <w:r>
        <w:rPr>
          <w:rFonts w:hint="eastAsia" w:ascii="仿宋_GB2312" w:hAnsi="仿宋_GB2312" w:eastAsia="仿宋_GB2312" w:cs="仿宋_GB2312"/>
          <w:b/>
          <w:bCs w:val="0"/>
          <w:color w:val="auto"/>
          <w:sz w:val="32"/>
          <w:szCs w:val="32"/>
          <w:u w:val="none"/>
        </w:rPr>
        <w:t>间</w:t>
      </w:r>
      <w:r>
        <w:rPr>
          <w:rFonts w:hint="eastAsia" w:ascii="仿宋_GB2312" w:hAnsi="仿宋_GB2312" w:eastAsia="仿宋_GB2312" w:cs="仿宋_GB2312"/>
          <w:b/>
          <w:bCs w:val="0"/>
          <w:color w:val="auto"/>
          <w:sz w:val="32"/>
          <w:szCs w:val="32"/>
          <w:u w:val="none"/>
          <w:lang w:val="en-US" w:eastAsia="zh-CN"/>
        </w:rPr>
        <w:t>2</w:t>
      </w:r>
      <w:r>
        <w:rPr>
          <w:rFonts w:hint="eastAsia" w:ascii="仿宋_GB2312" w:hAnsi="仿宋_GB2312" w:eastAsia="仿宋_GB2312" w:cs="仿宋_GB2312"/>
          <w:b/>
          <w:bCs w:val="0"/>
          <w:color w:val="auto"/>
          <w:sz w:val="32"/>
          <w:szCs w:val="32"/>
          <w:u w:val="none"/>
        </w:rPr>
        <w:t>日</w:t>
      </w:r>
      <w:r>
        <w:rPr>
          <w:rFonts w:hint="eastAsia" w:ascii="仿宋_GB2312" w:hAnsi="仿宋_GB2312" w:eastAsia="仿宋_GB2312" w:cs="仿宋_GB2312"/>
          <w:b/>
          <w:bCs w:val="0"/>
          <w:color w:val="auto"/>
          <w:sz w:val="32"/>
          <w:szCs w:val="32"/>
        </w:rPr>
        <w:t>之前</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将开庭传票和确定的拟出庭负责人报</w:t>
      </w:r>
      <w:r>
        <w:rPr>
          <w:rFonts w:hint="eastAsia" w:ascii="仿宋_GB2312" w:hAnsi="仿宋_GB2312" w:eastAsia="仿宋_GB2312" w:cs="仿宋_GB2312"/>
          <w:b/>
          <w:bCs w:val="0"/>
          <w:color w:val="auto"/>
          <w:sz w:val="32"/>
          <w:szCs w:val="32"/>
          <w:lang w:eastAsia="zh-CN"/>
        </w:rPr>
        <w:t>县司法局</w:t>
      </w:r>
      <w:r>
        <w:rPr>
          <w:rFonts w:hint="eastAsia" w:ascii="仿宋_GB2312" w:hAnsi="仿宋_GB2312" w:eastAsia="仿宋_GB2312" w:cs="仿宋_GB2312"/>
          <w:b/>
          <w:bCs w:val="0"/>
          <w:color w:val="auto"/>
          <w:sz w:val="32"/>
          <w:szCs w:val="32"/>
        </w:rPr>
        <w:t>备案。</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color w:val="auto"/>
          <w:sz w:val="32"/>
          <w:szCs w:val="32"/>
          <w:lang w:val="en-US" w:eastAsia="zh-CN"/>
        </w:rPr>
        <w:t>未按时备案</w:t>
      </w:r>
      <w:r>
        <w:rPr>
          <w:rFonts w:hint="eastAsia" w:ascii="仿宋_GB2312" w:hAnsi="仿宋_GB2312" w:eastAsia="仿宋_GB2312" w:cs="仿宋_GB2312"/>
          <w:b/>
          <w:bCs w:val="0"/>
          <w:color w:val="auto"/>
          <w:sz w:val="32"/>
          <w:szCs w:val="32"/>
        </w:rPr>
        <w:t>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由县司法局</w:t>
      </w:r>
      <w:r>
        <w:rPr>
          <w:rFonts w:hint="eastAsia" w:ascii="仿宋_GB2312" w:hAnsi="仿宋_GB2312" w:eastAsia="仿宋_GB2312" w:cs="仿宋_GB2312"/>
          <w:b/>
          <w:bCs w:val="0"/>
          <w:color w:val="auto"/>
          <w:sz w:val="32"/>
          <w:szCs w:val="32"/>
        </w:rPr>
        <w:t>以书</w:t>
      </w:r>
      <w:r>
        <w:rPr>
          <w:rFonts w:hint="eastAsia" w:ascii="仿宋_GB2312" w:hAnsi="仿宋_GB2312" w:eastAsia="仿宋_GB2312" w:cs="仿宋_GB2312"/>
          <w:b/>
          <w:bCs w:val="0"/>
          <w:sz w:val="32"/>
          <w:szCs w:val="32"/>
        </w:rPr>
        <w:t>面形式向该机关或单位发送负责人出庭应诉督促函。</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第二十三条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color w:val="auto"/>
          <w:sz w:val="32"/>
          <w:szCs w:val="32"/>
        </w:rPr>
        <w:t>对镇政府</w:t>
      </w:r>
      <w:r>
        <w:rPr>
          <w:rFonts w:hint="eastAsia" w:ascii="仿宋_GB2312" w:hAnsi="仿宋_GB2312" w:eastAsia="仿宋_GB2312" w:cs="仿宋_GB2312"/>
          <w:b/>
          <w:bCs w:val="0"/>
          <w:color w:val="auto"/>
          <w:sz w:val="32"/>
          <w:szCs w:val="32"/>
          <w:lang w:eastAsia="zh-CN"/>
        </w:rPr>
        <w:t>（</w:t>
      </w:r>
      <w:r>
        <w:rPr>
          <w:rFonts w:hint="eastAsia" w:cs="仿宋_GB2312"/>
          <w:b/>
          <w:bCs w:val="0"/>
          <w:color w:val="auto"/>
          <w:sz w:val="32"/>
          <w:szCs w:val="32"/>
          <w:lang w:eastAsia="zh-CN"/>
        </w:rPr>
        <w:t>街道办事处</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lang w:val="en-US" w:eastAsia="zh-CN"/>
        </w:rPr>
        <w:t>工作</w:t>
      </w:r>
      <w:r>
        <w:rPr>
          <w:rFonts w:hint="eastAsia" w:ascii="仿宋_GB2312" w:hAnsi="仿宋_GB2312" w:eastAsia="仿宋_GB2312" w:cs="仿宋_GB2312"/>
          <w:b/>
          <w:bCs w:val="0"/>
          <w:color w:val="auto"/>
          <w:sz w:val="32"/>
          <w:szCs w:val="32"/>
        </w:rPr>
        <w:t>部门</w:t>
      </w:r>
      <w:r>
        <w:rPr>
          <w:rFonts w:hint="eastAsia" w:ascii="仿宋_GB2312" w:hAnsi="仿宋_GB2312" w:eastAsia="仿宋_GB2312" w:cs="仿宋_GB2312"/>
          <w:b/>
          <w:bCs w:val="0"/>
          <w:color w:val="auto"/>
          <w:sz w:val="32"/>
          <w:szCs w:val="32"/>
          <w:lang w:val="en-US" w:eastAsia="zh-CN"/>
        </w:rPr>
        <w:t>不</w:t>
      </w:r>
      <w:r>
        <w:rPr>
          <w:rFonts w:hint="eastAsia" w:ascii="仿宋_GB2312" w:hAnsi="仿宋_GB2312" w:eastAsia="仿宋_GB2312" w:cs="仿宋_GB2312"/>
          <w:b/>
          <w:bCs w:val="0"/>
          <w:color w:val="auto"/>
          <w:sz w:val="32"/>
          <w:szCs w:val="32"/>
        </w:rPr>
        <w:t>履行负责人出庭应诉职责的</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由</w:t>
      </w:r>
      <w:r>
        <w:rPr>
          <w:rFonts w:hint="eastAsia" w:ascii="仿宋_GB2312" w:hAnsi="仿宋_GB2312" w:eastAsia="仿宋_GB2312" w:cs="仿宋_GB2312"/>
          <w:b/>
          <w:bCs w:val="0"/>
          <w:color w:val="auto"/>
          <w:sz w:val="32"/>
          <w:szCs w:val="32"/>
          <w:lang w:eastAsia="zh-CN"/>
        </w:rPr>
        <w:t>县</w:t>
      </w:r>
      <w:r>
        <w:rPr>
          <w:rFonts w:hint="eastAsia" w:ascii="仿宋_GB2312" w:hAnsi="仿宋_GB2312" w:eastAsia="仿宋_GB2312" w:cs="仿宋_GB2312"/>
          <w:b/>
          <w:bCs w:val="0"/>
          <w:color w:val="auto"/>
          <w:sz w:val="32"/>
          <w:szCs w:val="32"/>
        </w:rPr>
        <w:t>司法</w:t>
      </w:r>
      <w:r>
        <w:rPr>
          <w:rFonts w:hint="eastAsia" w:ascii="仿宋_GB2312" w:hAnsi="仿宋_GB2312" w:eastAsia="仿宋_GB2312" w:cs="仿宋_GB2312"/>
          <w:b/>
          <w:bCs w:val="0"/>
          <w:color w:val="auto"/>
          <w:sz w:val="32"/>
          <w:szCs w:val="32"/>
          <w:lang w:val="en-US" w:eastAsia="zh-CN"/>
        </w:rPr>
        <w:t>局</w:t>
      </w:r>
      <w:r>
        <w:rPr>
          <w:rFonts w:hint="eastAsia" w:ascii="仿宋_GB2312" w:hAnsi="仿宋_GB2312" w:eastAsia="仿宋_GB2312" w:cs="仿宋_GB2312"/>
          <w:b/>
          <w:bCs w:val="0"/>
          <w:color w:val="auto"/>
          <w:sz w:val="32"/>
          <w:szCs w:val="32"/>
        </w:rPr>
        <w:t>报经</w:t>
      </w:r>
      <w:r>
        <w:rPr>
          <w:rFonts w:hint="eastAsia" w:ascii="仿宋_GB2312" w:hAnsi="仿宋_GB2312" w:eastAsia="仿宋_GB2312" w:cs="仿宋_GB2312"/>
          <w:b/>
          <w:bCs w:val="0"/>
          <w:color w:val="auto"/>
          <w:sz w:val="32"/>
          <w:szCs w:val="32"/>
          <w:lang w:val="en-US" w:eastAsia="zh-CN"/>
        </w:rPr>
        <w:t>县</w:t>
      </w:r>
      <w:r>
        <w:rPr>
          <w:rFonts w:hint="eastAsia" w:ascii="仿宋_GB2312" w:hAnsi="仿宋_GB2312" w:eastAsia="仿宋_GB2312" w:cs="仿宋_GB2312"/>
          <w:b/>
          <w:bCs w:val="0"/>
          <w:color w:val="auto"/>
          <w:sz w:val="32"/>
          <w:szCs w:val="32"/>
        </w:rPr>
        <w:t>政府同意后予以通报批评。</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第二十四条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应诉机关负责人出庭应诉的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可以另行委托1-2名诉讼代理人</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其中至少1名应为本行政机关熟悉业务的工作人员</w:t>
      </w:r>
      <w:r>
        <w:rPr>
          <w:rFonts w:hint="eastAsia" w:cs="仿宋_GB2312"/>
          <w:b/>
          <w:bCs w:val="0"/>
          <w:sz w:val="32"/>
          <w:szCs w:val="32"/>
          <w:lang w:eastAsia="zh-CN"/>
        </w:rPr>
        <w:t>，</w:t>
      </w:r>
      <w:r>
        <w:rPr>
          <w:rFonts w:hint="eastAsia" w:ascii="仿宋_GB2312" w:hAnsi="仿宋_GB2312" w:eastAsia="仿宋_GB2312" w:cs="仿宋_GB2312"/>
          <w:b/>
          <w:bCs w:val="0"/>
          <w:sz w:val="32"/>
          <w:szCs w:val="32"/>
        </w:rPr>
        <w:t>不得仅委托律师出庭。</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行政机关应当充分发挥公职律师和政府法律顾问在行政应诉中的作用。</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 xml:space="preserve">第二十五条 </w:t>
      </w:r>
      <w:r>
        <w:rPr>
          <w:rFonts w:hint="eastAsia" w:ascii="仿宋_GB2312" w:hAnsi="仿宋_GB2312" w:eastAsia="仿宋_GB2312" w:cs="仿宋_GB2312"/>
          <w:b/>
          <w:bCs w:val="0"/>
          <w:sz w:val="32"/>
          <w:szCs w:val="32"/>
        </w:rPr>
        <w:t xml:space="preserve"> 诉讼代理人应当在行政机关授权委托权限范围内进行诉讼活动。向人民法院提交的材料</w:t>
      </w:r>
      <w:r>
        <w:rPr>
          <w:rFonts w:hint="eastAsia" w:cs="仿宋_GB2312"/>
          <w:b/>
          <w:bCs w:val="0"/>
          <w:sz w:val="32"/>
          <w:szCs w:val="32"/>
          <w:lang w:eastAsia="zh-CN"/>
        </w:rPr>
        <w:t>，</w:t>
      </w:r>
      <w:r>
        <w:rPr>
          <w:rFonts w:hint="eastAsia" w:ascii="仿宋_GB2312" w:hAnsi="仿宋_GB2312" w:eastAsia="仿宋_GB2312" w:cs="仿宋_GB2312"/>
          <w:b/>
          <w:bCs w:val="0"/>
          <w:sz w:val="32"/>
          <w:szCs w:val="32"/>
        </w:rPr>
        <w:t>需经委托机关认可</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诉讼进展中的重要情况</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应当及时报告委托机关。</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 xml:space="preserve">第二十六条 </w:t>
      </w:r>
      <w:r>
        <w:rPr>
          <w:rFonts w:hint="eastAsia" w:ascii="仿宋_GB2312" w:hAnsi="仿宋_GB2312" w:eastAsia="仿宋_GB2312" w:cs="仿宋_GB2312"/>
          <w:b/>
          <w:bCs w:val="0"/>
          <w:sz w:val="32"/>
          <w:szCs w:val="32"/>
        </w:rPr>
        <w:t xml:space="preserve"> 应诉机关负责人及诉讼代理人应当根据庭审要求</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围绕争议焦点</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充分陈述事实和理由</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出示相关证据、依据。针对行政行为的合法性和适当性</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证据的真实性、合法性、关联性和证明目的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适用依据的准确性等进行质证和辩论。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第二十七条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人民法院组织行政争议审前调解和解活动的</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行政机关诉讼代理人应当积极配合</w:t>
      </w:r>
      <w:r>
        <w:rPr>
          <w:rFonts w:hint="eastAsia" w:cs="仿宋_GB2312"/>
          <w:b/>
          <w:bCs w:val="0"/>
          <w:sz w:val="32"/>
          <w:szCs w:val="32"/>
          <w:lang w:eastAsia="zh-CN"/>
        </w:rPr>
        <w:t>，</w:t>
      </w:r>
      <w:r>
        <w:rPr>
          <w:rFonts w:hint="eastAsia" w:ascii="仿宋_GB2312" w:hAnsi="仿宋_GB2312" w:eastAsia="仿宋_GB2312" w:cs="仿宋_GB2312"/>
          <w:b/>
          <w:bCs w:val="0"/>
          <w:sz w:val="32"/>
          <w:szCs w:val="32"/>
        </w:rPr>
        <w:t>超出授权范围的事项应当及时向委托机关报告。</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审前调解和解应当坚持自愿原则</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应诉机关或应诉承办单位不得以欺骗、胁迫等方式使原告撤诉</w:t>
      </w:r>
      <w:r>
        <w:rPr>
          <w:rFonts w:hint="eastAsia" w:cs="仿宋_GB2312"/>
          <w:b/>
          <w:bCs w:val="0"/>
          <w:sz w:val="32"/>
          <w:szCs w:val="32"/>
          <w:lang w:eastAsia="zh-CN"/>
        </w:rPr>
        <w:t>，</w:t>
      </w:r>
      <w:r>
        <w:rPr>
          <w:rFonts w:hint="eastAsia" w:ascii="仿宋_GB2312" w:hAnsi="仿宋_GB2312" w:eastAsia="仿宋_GB2312" w:cs="仿宋_GB2312"/>
          <w:b/>
          <w:bCs w:val="0"/>
          <w:sz w:val="32"/>
          <w:szCs w:val="32"/>
        </w:rPr>
        <w:t>不得损害国家利益、社会公共利益和他人利益。</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第四章  上诉再审及裁判履行</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楷体_GB2312" w:hAnsi="楷体_GB2312" w:eastAsia="楷体_GB2312" w:cs="楷体_GB2312"/>
          <w:b/>
          <w:bCs w:val="0"/>
          <w:sz w:val="32"/>
          <w:szCs w:val="32"/>
          <w:lang w:val="en-US" w:eastAsia="zh-CN"/>
        </w:rPr>
        <w:t>第二十八条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u w:val="none"/>
        </w:rPr>
        <w:t>行政机关收到人民法院裁判文书后</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应当视情况分别作出以下处理:</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lang w:eastAsia="zh-CN"/>
        </w:rPr>
      </w:pPr>
      <w:r>
        <w:rPr>
          <w:rFonts w:hint="eastAsia" w:ascii="仿宋_GB2312" w:hAnsi="仿宋_GB2312" w:eastAsia="仿宋_GB2312" w:cs="仿宋_GB2312"/>
          <w:b/>
          <w:bCs w:val="0"/>
          <w:sz w:val="32"/>
          <w:szCs w:val="32"/>
          <w:u w:val="none"/>
          <w:lang w:eastAsia="zh-CN"/>
        </w:rPr>
        <w:t>（</w:t>
      </w:r>
      <w:r>
        <w:rPr>
          <w:rFonts w:hint="eastAsia" w:ascii="仿宋_GB2312" w:hAnsi="仿宋_GB2312" w:eastAsia="仿宋_GB2312" w:cs="仿宋_GB2312"/>
          <w:b/>
          <w:bCs w:val="0"/>
          <w:sz w:val="32"/>
          <w:szCs w:val="32"/>
          <w:u w:val="none"/>
        </w:rPr>
        <w:t>一</w:t>
      </w:r>
      <w:r>
        <w:rPr>
          <w:rFonts w:hint="eastAsia" w:ascii="仿宋_GB2312" w:hAnsi="仿宋_GB2312" w:eastAsia="仿宋_GB2312" w:cs="仿宋_GB2312"/>
          <w:b/>
          <w:bCs w:val="0"/>
          <w:sz w:val="32"/>
          <w:szCs w:val="32"/>
          <w:u w:val="none"/>
          <w:lang w:eastAsia="zh-CN"/>
        </w:rPr>
        <w:t>）</w:t>
      </w:r>
      <w:r>
        <w:rPr>
          <w:rFonts w:hint="eastAsia" w:ascii="仿宋_GB2312" w:hAnsi="仿宋_GB2312" w:eastAsia="仿宋_GB2312" w:cs="仿宋_GB2312"/>
          <w:b/>
          <w:bCs w:val="0"/>
          <w:sz w:val="32"/>
          <w:szCs w:val="32"/>
          <w:u w:val="none"/>
        </w:rPr>
        <w:t>认为应当上诉或申请再审的</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在5日内提出上诉或申请再审建议</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经批准后按法定程序办理</w:t>
      </w:r>
      <w:r>
        <w:rPr>
          <w:rFonts w:hint="eastAsia" w:cs="仿宋_GB2312"/>
          <w:b/>
          <w:bCs w:val="0"/>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sz w:val="32"/>
          <w:szCs w:val="32"/>
          <w:u w:val="none"/>
          <w:lang w:eastAsia="zh-CN"/>
        </w:rPr>
        <w:t>（</w:t>
      </w:r>
      <w:r>
        <w:rPr>
          <w:rFonts w:hint="eastAsia" w:ascii="仿宋_GB2312" w:hAnsi="仿宋_GB2312" w:eastAsia="仿宋_GB2312" w:cs="仿宋_GB2312"/>
          <w:b/>
          <w:bCs w:val="0"/>
          <w:sz w:val="32"/>
          <w:szCs w:val="32"/>
          <w:u w:val="none"/>
        </w:rPr>
        <w:t>二</w:t>
      </w:r>
      <w:r>
        <w:rPr>
          <w:rFonts w:hint="eastAsia" w:ascii="仿宋_GB2312" w:hAnsi="仿宋_GB2312" w:eastAsia="仿宋_GB2312" w:cs="仿宋_GB2312"/>
          <w:b/>
          <w:bCs w:val="0"/>
          <w:sz w:val="32"/>
          <w:szCs w:val="32"/>
          <w:u w:val="none"/>
          <w:lang w:eastAsia="zh-CN"/>
        </w:rPr>
        <w:t>）</w:t>
      </w:r>
      <w:r>
        <w:rPr>
          <w:rFonts w:hint="eastAsia" w:ascii="仿宋_GB2312" w:hAnsi="仿宋_GB2312" w:eastAsia="仿宋_GB2312" w:cs="仿宋_GB2312"/>
          <w:b/>
          <w:bCs w:val="0"/>
          <w:sz w:val="32"/>
          <w:szCs w:val="32"/>
          <w:u w:val="none"/>
        </w:rPr>
        <w:t>裁判文书有履行内容或者需要作进一步处理的</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及时提出工作意见报本单位负责人。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第二十九条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rPr>
        <w:t>对发生法律效力的人民法院判决、裁定、调解书</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应诉机关应当自觉履行。应诉承办单位负责裁判履行的组织实施</w:t>
      </w:r>
      <w:r>
        <w:rPr>
          <w:rFonts w:hint="eastAsia" w:cs="仿宋_GB2312"/>
          <w:b/>
          <w:bCs w:val="0"/>
          <w:sz w:val="32"/>
          <w:szCs w:val="32"/>
          <w:lang w:eastAsia="zh-CN"/>
        </w:rPr>
        <w:t>，</w:t>
      </w:r>
      <w:r>
        <w:rPr>
          <w:rFonts w:hint="eastAsia" w:ascii="仿宋_GB2312" w:hAnsi="仿宋_GB2312" w:eastAsia="仿宋_GB2312" w:cs="仿宋_GB2312"/>
          <w:b/>
          <w:bCs w:val="0"/>
          <w:sz w:val="32"/>
          <w:szCs w:val="32"/>
        </w:rPr>
        <w:t>相关部门按照各自职责予以配合。</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行政机关负责人应当督促本机关及时、自觉履行人民法院生效裁判文书。</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default" w:ascii="仿宋_GB2312" w:hAnsi="仿宋_GB2312" w:eastAsia="仿宋_GB2312" w:cs="仿宋_GB2312"/>
          <w:b/>
          <w:bCs w:val="0"/>
          <w:color w:val="auto"/>
          <w:sz w:val="32"/>
          <w:szCs w:val="32"/>
          <w:u w:val="none"/>
          <w:lang w:val="en-US" w:eastAsia="zh-CN"/>
        </w:rPr>
      </w:pPr>
      <w:r>
        <w:rPr>
          <w:rFonts w:hint="eastAsia" w:ascii="楷体_GB2312" w:hAnsi="楷体_GB2312" w:eastAsia="楷体_GB2312" w:cs="楷体_GB2312"/>
          <w:b/>
          <w:bCs w:val="0"/>
          <w:sz w:val="32"/>
          <w:szCs w:val="32"/>
          <w:lang w:val="en-US" w:eastAsia="zh-CN"/>
        </w:rPr>
        <w:t xml:space="preserve">第三十条 </w:t>
      </w:r>
      <w:r>
        <w:rPr>
          <w:rFonts w:hint="eastAsia" w:ascii="仿宋_GB2312" w:hAnsi="仿宋_GB2312" w:eastAsia="仿宋_GB2312" w:cs="仿宋_GB2312"/>
          <w:b/>
          <w:bCs w:val="0"/>
          <w:color w:val="auto"/>
          <w:sz w:val="32"/>
          <w:szCs w:val="32"/>
          <w:u w:val="none"/>
        </w:rPr>
        <w:t xml:space="preserve"> </w:t>
      </w:r>
      <w:r>
        <w:rPr>
          <w:rFonts w:hint="eastAsia" w:ascii="仿宋_GB2312" w:hAnsi="仿宋_GB2312" w:eastAsia="仿宋_GB2312" w:cs="仿宋_GB2312"/>
          <w:b/>
          <w:bCs w:val="0"/>
          <w:color w:val="auto"/>
          <w:sz w:val="32"/>
          <w:szCs w:val="32"/>
          <w:u w:val="none"/>
          <w:lang w:val="en-US" w:eastAsia="zh-CN"/>
        </w:rPr>
        <w:t>在行政诉讼中被人民法院作出撤销、确认违法、无效、变更、责令履行职责、重新作出行政行为、履行给付义务或者承担赔偿责任等判决的案件</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lang w:val="en-US" w:eastAsia="zh-CN"/>
        </w:rPr>
        <w:t>应诉承办单位应当于收到判决书之日起3日内向县政府确定的分管负责人作出书面报告</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lang w:val="en-US" w:eastAsia="zh-CN"/>
        </w:rPr>
        <w:t>并于5日内将书面报告及领导批示抄送县司法局。</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b/>
          <w:bCs w:val="0"/>
          <w:lang w:val="en-US" w:eastAsia="zh-CN"/>
        </w:rPr>
      </w:pPr>
      <w:r>
        <w:rPr>
          <w:rFonts w:hint="eastAsia" w:ascii="仿宋_GB2312" w:hAnsi="仿宋_GB2312" w:eastAsia="仿宋_GB2312" w:cs="仿宋_GB2312"/>
          <w:b/>
          <w:bCs w:val="0"/>
          <w:color w:val="auto"/>
          <w:sz w:val="32"/>
          <w:szCs w:val="32"/>
          <w:u w:val="none"/>
        </w:rPr>
        <w:t>对</w:t>
      </w:r>
      <w:r>
        <w:rPr>
          <w:rFonts w:hint="eastAsia" w:ascii="仿宋_GB2312" w:hAnsi="仿宋_GB2312" w:eastAsia="仿宋_GB2312" w:cs="仿宋_GB2312"/>
          <w:b/>
          <w:bCs w:val="0"/>
          <w:color w:val="auto"/>
          <w:sz w:val="32"/>
          <w:szCs w:val="32"/>
          <w:u w:val="none"/>
          <w:lang w:val="en-US" w:eastAsia="zh-CN"/>
        </w:rPr>
        <w:t>造成重大影响或者</w:t>
      </w:r>
      <w:r>
        <w:rPr>
          <w:rFonts w:hint="eastAsia" w:ascii="仿宋_GB2312" w:hAnsi="仿宋_GB2312" w:eastAsia="仿宋_GB2312" w:cs="仿宋_GB2312"/>
          <w:b/>
          <w:bCs w:val="0"/>
          <w:color w:val="auto"/>
          <w:sz w:val="32"/>
          <w:szCs w:val="32"/>
          <w:u w:val="none"/>
        </w:rPr>
        <w:t>同一行政领域多次出现败诉、具有普遍性的行政诉讼案件</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应诉承办单位应当分析研究</w:t>
      </w:r>
      <w:r>
        <w:rPr>
          <w:rFonts w:hint="eastAsia" w:ascii="仿宋_GB2312" w:hAnsi="仿宋_GB2312" w:eastAsia="仿宋_GB2312" w:cs="仿宋_GB2312"/>
          <w:b/>
          <w:bCs w:val="0"/>
          <w:color w:val="auto"/>
          <w:sz w:val="32"/>
          <w:szCs w:val="32"/>
          <w:u w:val="none"/>
          <w:lang w:val="en-US" w:eastAsia="zh-CN"/>
        </w:rPr>
        <w:t>原因</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制定改进措施</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向县政府常务会议作专题汇报</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并</w:t>
      </w:r>
      <w:r>
        <w:rPr>
          <w:rFonts w:hint="eastAsia" w:ascii="仿宋_GB2312" w:hAnsi="仿宋_GB2312" w:eastAsia="仿宋_GB2312" w:cs="仿宋_GB2312"/>
          <w:b/>
          <w:bCs w:val="0"/>
          <w:color w:val="auto"/>
          <w:sz w:val="32"/>
          <w:szCs w:val="32"/>
          <w:u w:val="none"/>
        </w:rPr>
        <w:t>抄送</w:t>
      </w:r>
      <w:r>
        <w:rPr>
          <w:rFonts w:hint="eastAsia" w:ascii="仿宋_GB2312" w:hAnsi="仿宋_GB2312" w:eastAsia="仿宋_GB2312" w:cs="仿宋_GB2312"/>
          <w:b/>
          <w:bCs w:val="0"/>
          <w:color w:val="auto"/>
          <w:sz w:val="32"/>
          <w:szCs w:val="32"/>
          <w:u w:val="none"/>
          <w:lang w:eastAsia="zh-CN"/>
        </w:rPr>
        <w:t>县司法局</w:t>
      </w:r>
      <w:r>
        <w:rPr>
          <w:rFonts w:hint="eastAsia" w:ascii="仿宋_GB2312" w:hAnsi="仿宋_GB2312" w:eastAsia="仿宋_GB2312" w:cs="仿宋_GB2312"/>
          <w:b/>
          <w:bCs w:val="0"/>
          <w:color w:val="auto"/>
          <w:sz w:val="32"/>
          <w:szCs w:val="32"/>
          <w:u w:val="none"/>
        </w:rPr>
        <w:t>。</w:t>
      </w:r>
    </w:p>
    <w:p>
      <w:pPr>
        <w:keepNext w:val="0"/>
        <w:keepLines w:val="0"/>
        <w:pageBreakBefore w:val="0"/>
        <w:widowControl w:val="0"/>
        <w:numPr>
          <w:ilvl w:val="-1"/>
          <w:numId w:val="0"/>
        </w:numPr>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shd w:val="clear" w:color="auto" w:fill="auto"/>
          <w:lang w:val="en-US" w:eastAsia="zh-CN"/>
        </w:rPr>
      </w:pPr>
    </w:p>
    <w:p>
      <w:pPr>
        <w:keepNext w:val="0"/>
        <w:keepLines w:val="0"/>
        <w:pageBreakBefore w:val="0"/>
        <w:widowControl w:val="0"/>
        <w:numPr>
          <w:ilvl w:val="-1"/>
          <w:numId w:val="0"/>
        </w:numPr>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shd w:val="clear" w:color="auto" w:fill="auto"/>
          <w:lang w:val="en-US" w:eastAsia="zh-CN"/>
        </w:rPr>
      </w:pPr>
      <w:r>
        <w:rPr>
          <w:rFonts w:hint="eastAsia" w:ascii="黑体" w:hAnsi="黑体" w:eastAsia="黑体" w:cs="黑体"/>
          <w:b/>
          <w:bCs w:val="0"/>
          <w:color w:val="auto"/>
          <w:sz w:val="32"/>
          <w:szCs w:val="32"/>
          <w:shd w:val="clear" w:color="auto" w:fill="auto"/>
          <w:lang w:val="en-US" w:eastAsia="zh-CN"/>
        </w:rPr>
        <w:t>第五章  责任追究</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u w:val="none"/>
          <w:lang w:val="en-US" w:eastAsia="zh-CN"/>
        </w:rPr>
      </w:pPr>
      <w:r>
        <w:rPr>
          <w:rFonts w:hint="eastAsia" w:ascii="楷体_GB2312" w:hAnsi="楷体_GB2312" w:eastAsia="楷体_GB2312" w:cs="楷体_GB2312"/>
          <w:b/>
          <w:bCs w:val="0"/>
          <w:sz w:val="32"/>
          <w:szCs w:val="32"/>
          <w:lang w:val="en-US" w:eastAsia="zh-CN"/>
        </w:rPr>
        <w:t>第三十一条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u w:val="none"/>
          <w:lang w:val="en-US" w:eastAsia="zh-CN"/>
        </w:rPr>
        <w:t>行政机关及其工作人员因违法行为或消极应诉导致行政行为被行政复议纠错或被人民法院判决败诉、行政机关负责人未出庭应诉的</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lang w:val="en-US" w:eastAsia="zh-CN"/>
        </w:rPr>
        <w:t>依照有关法律、法规和</w:t>
      </w:r>
      <w:r>
        <w:rPr>
          <w:rFonts w:hint="eastAsia" w:cs="仿宋_GB2312"/>
          <w:b/>
          <w:bCs w:val="0"/>
          <w:color w:val="auto"/>
          <w:sz w:val="32"/>
          <w:szCs w:val="32"/>
          <w:u w:val="none"/>
          <w:lang w:val="en-US" w:eastAsia="zh-CN"/>
        </w:rPr>
        <w:t>县纪委、县委组织部、县监委、县司法局、县人社局</w:t>
      </w:r>
      <w:r>
        <w:rPr>
          <w:rFonts w:hint="eastAsia" w:ascii="仿宋_GB2312" w:hAnsi="仿宋_GB2312" w:eastAsia="仿宋_GB2312" w:cs="仿宋_GB2312"/>
          <w:b/>
          <w:bCs w:val="0"/>
          <w:color w:val="auto"/>
          <w:sz w:val="32"/>
          <w:szCs w:val="32"/>
          <w:u w:val="none"/>
          <w:lang w:val="en-US" w:eastAsia="zh-CN"/>
        </w:rPr>
        <w:t>《</w:t>
      </w:r>
      <w:r>
        <w:rPr>
          <w:rFonts w:hint="eastAsia" w:cs="仿宋_GB2312"/>
          <w:b/>
          <w:bCs w:val="0"/>
          <w:color w:val="auto"/>
          <w:sz w:val="32"/>
          <w:szCs w:val="32"/>
          <w:u w:val="none"/>
          <w:lang w:val="en-US" w:eastAsia="zh-CN"/>
        </w:rPr>
        <w:t>关于印发&lt;</w:t>
      </w:r>
      <w:r>
        <w:rPr>
          <w:rFonts w:hint="eastAsia" w:ascii="仿宋_GB2312" w:hAnsi="仿宋_GB2312" w:eastAsia="仿宋_GB2312" w:cs="仿宋_GB2312"/>
          <w:b/>
          <w:bCs w:val="0"/>
          <w:color w:val="auto"/>
          <w:sz w:val="32"/>
          <w:szCs w:val="32"/>
          <w:u w:val="none"/>
          <w:lang w:val="en-US" w:eastAsia="zh-CN"/>
        </w:rPr>
        <w:t>昌乐县行政败诉案件过错责任追究办法</w:t>
      </w:r>
      <w:r>
        <w:rPr>
          <w:rFonts w:hint="eastAsia" w:cs="仿宋_GB2312"/>
          <w:b/>
          <w:bCs w:val="0"/>
          <w:color w:val="auto"/>
          <w:sz w:val="32"/>
          <w:szCs w:val="32"/>
          <w:u w:val="none"/>
          <w:lang w:val="en-US" w:eastAsia="zh-CN"/>
        </w:rPr>
        <w:t>&gt;的通知</w:t>
      </w:r>
      <w:r>
        <w:rPr>
          <w:rFonts w:hint="eastAsia" w:ascii="仿宋_GB2312" w:hAnsi="仿宋_GB2312" w:eastAsia="仿宋_GB2312" w:cs="仿宋_GB2312"/>
          <w:b/>
          <w:bCs w:val="0"/>
          <w:color w:val="auto"/>
          <w:sz w:val="32"/>
          <w:szCs w:val="32"/>
          <w:u w:val="none"/>
          <w:lang w:val="en-US" w:eastAsia="zh-CN"/>
        </w:rPr>
        <w:t>》</w:t>
      </w:r>
      <w:r>
        <w:rPr>
          <w:rFonts w:hint="eastAsia" w:cs="仿宋_GB2312"/>
          <w:b/>
          <w:bCs w:val="0"/>
          <w:color w:val="auto"/>
          <w:sz w:val="32"/>
          <w:szCs w:val="32"/>
          <w:u w:val="none"/>
          <w:lang w:val="en-US" w:eastAsia="zh-CN"/>
        </w:rPr>
        <w:t>（乐司字</w:t>
      </w:r>
      <w:r>
        <w:rPr>
          <w:rFonts w:hint="eastAsia" w:ascii="仿宋_GB2312" w:hAnsi="仿宋_GB2312" w:eastAsia="仿宋_GB2312" w:cs="仿宋_GB2312"/>
          <w:b/>
          <w:bCs w:val="0"/>
          <w:sz w:val="32"/>
          <w:szCs w:val="32"/>
        </w:rPr>
        <w:t>〔20</w:t>
      </w:r>
      <w:r>
        <w:rPr>
          <w:rFonts w:hint="eastAsia" w:ascii="仿宋_GB2312" w:hAnsi="仿宋_GB2312" w:eastAsia="仿宋_GB2312" w:cs="仿宋_GB2312"/>
          <w:b/>
          <w:bCs w:val="0"/>
          <w:color w:val="auto"/>
          <w:sz w:val="32"/>
          <w:szCs w:val="32"/>
        </w:rPr>
        <w:t>2</w:t>
      </w:r>
      <w:r>
        <w:rPr>
          <w:rFonts w:hint="eastAsia"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w:t>
      </w:r>
      <w:r>
        <w:rPr>
          <w:rFonts w:hint="eastAsia" w:cs="仿宋_GB2312"/>
          <w:b/>
          <w:bCs w:val="0"/>
          <w:color w:val="auto"/>
          <w:sz w:val="32"/>
          <w:szCs w:val="32"/>
          <w:u w:val="none"/>
          <w:lang w:val="en-US" w:eastAsia="zh-CN"/>
        </w:rPr>
        <w:t>14号）</w:t>
      </w:r>
      <w:r>
        <w:rPr>
          <w:rFonts w:hint="eastAsia" w:ascii="仿宋_GB2312" w:hAnsi="仿宋_GB2312" w:eastAsia="仿宋_GB2312" w:cs="仿宋_GB2312"/>
          <w:b/>
          <w:bCs w:val="0"/>
          <w:color w:val="auto"/>
          <w:sz w:val="32"/>
          <w:szCs w:val="32"/>
          <w:u w:val="none"/>
          <w:lang w:val="en-US" w:eastAsia="zh-CN"/>
        </w:rPr>
        <w:t>追究责任。</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default" w:ascii="仿宋_GB2312" w:hAnsi="仿宋_GB2312" w:eastAsia="仿宋_GB2312" w:cs="仿宋_GB2312"/>
          <w:b/>
          <w:bCs w:val="0"/>
          <w:color w:val="FF0000"/>
          <w:sz w:val="32"/>
          <w:szCs w:val="32"/>
          <w:lang w:val="en-US" w:eastAsia="zh-CN"/>
        </w:rPr>
      </w:pPr>
      <w:r>
        <w:rPr>
          <w:rFonts w:hint="eastAsia" w:ascii="楷体_GB2312" w:hAnsi="楷体_GB2312" w:eastAsia="楷体_GB2312" w:cs="楷体_GB2312"/>
          <w:b/>
          <w:bCs w:val="0"/>
          <w:sz w:val="32"/>
          <w:szCs w:val="32"/>
          <w:lang w:val="en-US" w:eastAsia="zh-CN"/>
        </w:rPr>
        <w:t>第三十二条</w:t>
      </w:r>
      <w:r>
        <w:rPr>
          <w:rFonts w:hint="eastAsia" w:ascii="仿宋_GB2312" w:hAnsi="仿宋_GB2312" w:eastAsia="仿宋_GB2312" w:cs="仿宋_GB2312"/>
          <w:b/>
          <w:bCs w:val="0"/>
          <w:color w:val="FF0000"/>
          <w:sz w:val="32"/>
          <w:szCs w:val="32"/>
          <w:lang w:val="en-US" w:eastAsia="zh-CN"/>
        </w:rPr>
        <w:t xml:space="preserve"> </w:t>
      </w:r>
      <w:r>
        <w:rPr>
          <w:rFonts w:hint="eastAsia" w:cs="仿宋_GB2312"/>
          <w:b/>
          <w:bCs w:val="0"/>
          <w:color w:val="FF0000"/>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应诉承办单位在办理行政应诉案件过程中发现行政机关工作人员涉嫌职务违法犯罪的</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应当将案件线索移送</w:t>
      </w:r>
      <w:r>
        <w:rPr>
          <w:rFonts w:hint="eastAsia" w:cs="仿宋_GB2312"/>
          <w:b/>
          <w:bCs w:val="0"/>
          <w:color w:val="auto"/>
          <w:sz w:val="32"/>
          <w:szCs w:val="32"/>
          <w:lang w:val="en-US" w:eastAsia="zh-CN"/>
        </w:rPr>
        <w:t>县纪检</w:t>
      </w:r>
      <w:r>
        <w:rPr>
          <w:rFonts w:hint="eastAsia" w:ascii="仿宋_GB2312" w:hAnsi="仿宋_GB2312" w:eastAsia="仿宋_GB2312" w:cs="仿宋_GB2312"/>
          <w:b/>
          <w:bCs w:val="0"/>
          <w:color w:val="auto"/>
          <w:sz w:val="32"/>
          <w:szCs w:val="32"/>
          <w:lang w:val="en-US" w:eastAsia="zh-CN"/>
        </w:rPr>
        <w:t>监察机关处理。</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仿宋_GB2312" w:hAnsi="仿宋_GB2312" w:eastAsia="仿宋_GB2312" w:cs="仿宋_GB2312"/>
          <w:b/>
          <w:bCs w:val="0"/>
          <w:sz w:val="32"/>
          <w:szCs w:val="32"/>
          <w:lang w:val="en-US" w:eastAsia="zh-CN"/>
        </w:rPr>
      </w:pPr>
      <w:r>
        <w:rPr>
          <w:rFonts w:hint="eastAsia" w:ascii="黑体" w:hAnsi="黑体" w:eastAsia="黑体" w:cs="黑体"/>
          <w:b/>
          <w:bCs w:val="0"/>
          <w:sz w:val="32"/>
          <w:szCs w:val="32"/>
          <w:lang w:val="en-US" w:eastAsia="zh-CN"/>
        </w:rPr>
        <w:t>第六章  应诉综合制度</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u w:val="none"/>
        </w:rPr>
      </w:pPr>
      <w:r>
        <w:rPr>
          <w:rFonts w:hint="eastAsia" w:ascii="楷体_GB2312" w:hAnsi="楷体_GB2312" w:eastAsia="楷体_GB2312" w:cs="楷体_GB2312"/>
          <w:b/>
          <w:bCs w:val="0"/>
          <w:sz w:val="32"/>
          <w:szCs w:val="32"/>
          <w:lang w:val="en-US" w:eastAsia="zh-CN"/>
        </w:rPr>
        <w:t>第三十三条</w:t>
      </w:r>
      <w:r>
        <w:rPr>
          <w:rFonts w:hint="eastAsia" w:ascii="仿宋_GB2312" w:hAnsi="仿宋_GB2312" w:eastAsia="仿宋_GB2312" w:cs="仿宋_GB2312"/>
          <w:b/>
          <w:bCs w:val="0"/>
          <w:sz w:val="32"/>
          <w:szCs w:val="32"/>
        </w:rPr>
        <w:t xml:space="preserve"> </w:t>
      </w:r>
      <w:r>
        <w:rPr>
          <w:rFonts w:hint="eastAsia" w:cs="仿宋_GB2312"/>
          <w:b/>
          <w:bCs w:val="0"/>
          <w:sz w:val="32"/>
          <w:szCs w:val="32"/>
          <w:lang w:val="en-US" w:eastAsia="zh-CN"/>
        </w:rPr>
        <w:t xml:space="preserve"> </w:t>
      </w:r>
      <w:r>
        <w:rPr>
          <w:rFonts w:hint="eastAsia" w:ascii="仿宋_GB2312" w:hAnsi="仿宋_GB2312" w:eastAsia="仿宋_GB2312" w:cs="仿宋_GB2312"/>
          <w:b/>
          <w:bCs w:val="0"/>
          <w:sz w:val="32"/>
          <w:szCs w:val="32"/>
          <w:u w:val="none"/>
        </w:rPr>
        <w:t>行政机关收到人民法院的行政应诉法律文书后</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应当在3日内登记</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及时确定行政应诉承办单位</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明确行政应诉承办人员。不得无故不登记或延迟登记</w:t>
      </w:r>
      <w:r>
        <w:rPr>
          <w:rFonts w:hint="eastAsia" w:cs="仿宋_GB2312"/>
          <w:b/>
          <w:bCs w:val="0"/>
          <w:sz w:val="32"/>
          <w:szCs w:val="32"/>
          <w:u w:val="none"/>
          <w:lang w:eastAsia="zh-CN"/>
        </w:rPr>
        <w:t>，</w:t>
      </w:r>
      <w:r>
        <w:rPr>
          <w:rFonts w:hint="eastAsia" w:ascii="仿宋_GB2312" w:hAnsi="仿宋_GB2312" w:eastAsia="仿宋_GB2312" w:cs="仿宋_GB2312"/>
          <w:b/>
          <w:bCs w:val="0"/>
          <w:sz w:val="32"/>
          <w:szCs w:val="32"/>
          <w:u w:val="none"/>
        </w:rPr>
        <w:t>不得以被告不适格为由拒绝承担应诉职责。</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u w:val="none"/>
        </w:rPr>
      </w:pPr>
      <w:r>
        <w:rPr>
          <w:rFonts w:hint="eastAsia" w:ascii="楷体_GB2312" w:hAnsi="楷体_GB2312" w:eastAsia="楷体_GB2312" w:cs="楷体_GB2312"/>
          <w:b/>
          <w:bCs w:val="0"/>
          <w:sz w:val="32"/>
          <w:szCs w:val="32"/>
          <w:lang w:val="en-US" w:eastAsia="zh-CN"/>
        </w:rPr>
        <w:t>第三十四条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u w:val="none"/>
          <w:lang w:val="en-US" w:eastAsia="zh-CN"/>
        </w:rPr>
        <w:t>行政机关应建立行政应诉报告制度。行政应诉案件应诉承办单位</w:t>
      </w:r>
      <w:r>
        <w:rPr>
          <w:rFonts w:hint="eastAsia" w:ascii="仿宋_GB2312" w:hAnsi="仿宋_GB2312" w:eastAsia="仿宋_GB2312" w:cs="仿宋_GB2312"/>
          <w:b/>
          <w:bCs w:val="0"/>
          <w:color w:val="auto"/>
          <w:sz w:val="32"/>
          <w:szCs w:val="32"/>
          <w:u w:val="none"/>
        </w:rPr>
        <w:t>收到人民法院的</w:t>
      </w:r>
      <w:r>
        <w:rPr>
          <w:rFonts w:hint="eastAsia" w:ascii="仿宋_GB2312" w:hAnsi="仿宋_GB2312" w:eastAsia="仿宋_GB2312" w:cs="仿宋_GB2312"/>
          <w:b/>
          <w:bCs w:val="0"/>
          <w:color w:val="auto"/>
          <w:sz w:val="32"/>
          <w:szCs w:val="32"/>
          <w:u w:val="none"/>
          <w:lang w:val="en-US" w:eastAsia="zh-CN"/>
        </w:rPr>
        <w:t>应诉通知书、开庭传票、裁判文书</w:t>
      </w:r>
      <w:r>
        <w:rPr>
          <w:rFonts w:hint="eastAsia" w:ascii="仿宋_GB2312" w:hAnsi="仿宋_GB2312" w:eastAsia="仿宋_GB2312" w:cs="仿宋_GB2312"/>
          <w:b/>
          <w:bCs w:val="0"/>
          <w:color w:val="auto"/>
          <w:sz w:val="32"/>
          <w:szCs w:val="32"/>
          <w:u w:val="none"/>
        </w:rPr>
        <w:t>后</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应会同县司法局迅速组织研判案情</w:t>
      </w:r>
      <w:r>
        <w:rPr>
          <w:rFonts w:hint="eastAsia" w:cs="仿宋_GB2312"/>
          <w:b/>
          <w:bCs w:val="0"/>
          <w:color w:val="auto"/>
          <w:sz w:val="32"/>
          <w:szCs w:val="32"/>
          <w:u w:val="none"/>
          <w:lang w:val="en-US" w:eastAsia="zh-CN"/>
        </w:rPr>
        <w:t>，</w:t>
      </w:r>
      <w:r>
        <w:rPr>
          <w:rFonts w:hint="eastAsia" w:ascii="仿宋_GB2312" w:hAnsi="仿宋_GB2312" w:eastAsia="仿宋_GB2312" w:cs="仿宋_GB2312"/>
          <w:b/>
          <w:bCs w:val="0"/>
          <w:color w:val="auto"/>
          <w:sz w:val="32"/>
          <w:szCs w:val="32"/>
          <w:u w:val="none"/>
          <w:lang w:val="en-US" w:eastAsia="zh-CN"/>
        </w:rPr>
        <w:t>及时将案件情况报告县政府有关领导</w:t>
      </w:r>
      <w:r>
        <w:rPr>
          <w:rFonts w:hint="eastAsia" w:ascii="仿宋_GB2312" w:hAnsi="仿宋_GB2312" w:eastAsia="仿宋_GB2312" w:cs="仿宋_GB2312"/>
          <w:b/>
          <w:bCs w:val="0"/>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第三十五条</w:t>
      </w:r>
      <w:r>
        <w:rPr>
          <w:rFonts w:hint="eastAsia" w:ascii="黑体" w:hAnsi="黑体" w:eastAsia="黑体" w:cs="黑体"/>
          <w:b/>
          <w:bCs w:val="0"/>
          <w:sz w:val="32"/>
          <w:szCs w:val="32"/>
        </w:rPr>
        <w:t xml:space="preserve"> </w:t>
      </w:r>
      <w:r>
        <w:rPr>
          <w:rFonts w:hint="eastAsia" w:ascii="黑体" w:hAnsi="黑体" w:eastAsia="黑体" w:cs="黑体"/>
          <w:b/>
          <w:bCs w:val="0"/>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县司法局</w:t>
      </w:r>
      <w:r>
        <w:rPr>
          <w:rFonts w:hint="eastAsia" w:ascii="仿宋_GB2312" w:hAnsi="仿宋_GB2312" w:eastAsia="仿宋_GB2312" w:cs="仿宋_GB2312"/>
          <w:b/>
          <w:bCs w:val="0"/>
          <w:color w:val="auto"/>
          <w:sz w:val="32"/>
          <w:szCs w:val="32"/>
        </w:rPr>
        <w:t>应当采取集中授课、旁听庭审、参观学习等形式加强对行政应诉工作人员的业务培训</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每年至少开展一次集中学习培训。</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 xml:space="preserve">第三十六条 </w:t>
      </w:r>
      <w:r>
        <w:rPr>
          <w:rFonts w:hint="eastAsia" w:ascii="仿宋_GB2312" w:hAnsi="仿宋_GB2312" w:eastAsia="仿宋_GB2312" w:cs="仿宋_GB2312"/>
          <w:b/>
          <w:bCs w:val="0"/>
          <w:color w:val="auto"/>
          <w:sz w:val="32"/>
          <w:szCs w:val="32"/>
        </w:rPr>
        <w:t xml:space="preserve"> 行政机关要认真落实国家工作人员旁听庭审机制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选取典型行政案件</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组织行政机关负责人和行政执法人员参加旁听庭审</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增强行政机关工作人员依法行政意识。</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第三十七条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县司法局</w:t>
      </w:r>
      <w:r>
        <w:rPr>
          <w:rFonts w:hint="eastAsia" w:ascii="仿宋_GB2312" w:hAnsi="仿宋_GB2312" w:eastAsia="仿宋_GB2312" w:cs="仿宋_GB2312"/>
          <w:b/>
          <w:bCs w:val="0"/>
          <w:color w:val="auto"/>
          <w:sz w:val="32"/>
          <w:szCs w:val="32"/>
        </w:rPr>
        <w:t>应</w:t>
      </w:r>
      <w:r>
        <w:rPr>
          <w:rFonts w:hint="eastAsia" w:ascii="仿宋_GB2312" w:hAnsi="仿宋_GB2312" w:eastAsia="仿宋_GB2312" w:cs="仿宋_GB2312"/>
          <w:b/>
          <w:bCs w:val="0"/>
          <w:sz w:val="32"/>
          <w:szCs w:val="32"/>
        </w:rPr>
        <w:t>当对</w:t>
      </w:r>
      <w:r>
        <w:rPr>
          <w:rFonts w:hint="eastAsia" w:ascii="仿宋_GB2312" w:hAnsi="仿宋_GB2312" w:eastAsia="仿宋_GB2312" w:cs="仿宋_GB2312"/>
          <w:b/>
          <w:bCs w:val="0"/>
          <w:sz w:val="32"/>
          <w:szCs w:val="32"/>
          <w:lang w:val="en-US" w:eastAsia="zh-CN"/>
        </w:rPr>
        <w:t>上一年度全县</w:t>
      </w:r>
      <w:r>
        <w:rPr>
          <w:rFonts w:hint="eastAsia" w:ascii="仿宋_GB2312" w:hAnsi="仿宋_GB2312" w:eastAsia="仿宋_GB2312" w:cs="仿宋_GB2312"/>
          <w:b/>
          <w:bCs w:val="0"/>
          <w:sz w:val="32"/>
          <w:szCs w:val="32"/>
        </w:rPr>
        <w:t>行政应诉案件进行统计、分析、总结</w:t>
      </w:r>
      <w:r>
        <w:rPr>
          <w:rFonts w:hint="eastAsia" w:ascii="仿宋_GB2312" w:hAnsi="仿宋_GB2312" w:eastAsia="仿宋_GB2312" w:cs="仿宋_GB2312"/>
          <w:b/>
          <w:bCs w:val="0"/>
          <w:sz w:val="32"/>
          <w:szCs w:val="32"/>
          <w:lang w:val="en-US" w:eastAsia="zh-CN"/>
        </w:rPr>
        <w:t>并形成书面报告</w:t>
      </w:r>
      <w:r>
        <w:rPr>
          <w:rFonts w:hint="eastAsia" w:cs="仿宋_GB2312"/>
          <w:b/>
          <w:bCs w:val="0"/>
          <w:sz w:val="32"/>
          <w:szCs w:val="32"/>
          <w:lang w:val="en-US" w:eastAsia="zh-CN"/>
        </w:rPr>
        <w:t>，</w:t>
      </w:r>
      <w:r>
        <w:rPr>
          <w:rFonts w:hint="eastAsia" w:ascii="仿宋_GB2312" w:hAnsi="仿宋_GB2312" w:eastAsia="仿宋_GB2312" w:cs="仿宋_GB2312"/>
          <w:b/>
          <w:bCs w:val="0"/>
          <w:sz w:val="32"/>
          <w:szCs w:val="32"/>
          <w:lang w:val="en-US" w:eastAsia="zh-CN"/>
        </w:rPr>
        <w:t>报经县政府同意后于</w:t>
      </w:r>
      <w:r>
        <w:rPr>
          <w:rFonts w:hint="eastAsia" w:ascii="仿宋_GB2312" w:hAnsi="仿宋_GB2312" w:eastAsia="仿宋_GB2312" w:cs="仿宋_GB2312"/>
          <w:b/>
          <w:bCs w:val="0"/>
          <w:sz w:val="32"/>
          <w:szCs w:val="32"/>
        </w:rPr>
        <w:t>每年</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月</w:t>
      </w: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日前</w:t>
      </w:r>
      <w:r>
        <w:rPr>
          <w:rFonts w:hint="eastAsia" w:ascii="仿宋_GB2312" w:hAnsi="仿宋_GB2312" w:eastAsia="仿宋_GB2312" w:cs="仿宋_GB2312"/>
          <w:b/>
          <w:bCs w:val="0"/>
          <w:sz w:val="32"/>
          <w:szCs w:val="32"/>
          <w:lang w:val="en-US" w:eastAsia="zh-CN"/>
        </w:rPr>
        <w:t>报</w:t>
      </w:r>
      <w:r>
        <w:rPr>
          <w:rFonts w:hint="eastAsia" w:ascii="仿宋_GB2312" w:hAnsi="仿宋_GB2312" w:eastAsia="仿宋_GB2312" w:cs="仿宋_GB2312"/>
          <w:b/>
          <w:bCs w:val="0"/>
          <w:color w:val="auto"/>
          <w:sz w:val="32"/>
          <w:szCs w:val="32"/>
          <w:lang w:val="en-US" w:eastAsia="zh-CN"/>
        </w:rPr>
        <w:t>市</w:t>
      </w:r>
      <w:r>
        <w:rPr>
          <w:rFonts w:hint="eastAsia" w:ascii="仿宋_GB2312" w:hAnsi="仿宋_GB2312" w:eastAsia="仿宋_GB2312" w:cs="仿宋_GB2312"/>
          <w:b/>
          <w:bCs w:val="0"/>
          <w:color w:val="auto"/>
          <w:sz w:val="32"/>
          <w:szCs w:val="32"/>
        </w:rPr>
        <w:t>政府</w:t>
      </w:r>
      <w:r>
        <w:rPr>
          <w:rFonts w:hint="eastAsia" w:ascii="仿宋_GB2312" w:hAnsi="仿宋_GB2312" w:eastAsia="仿宋_GB2312" w:cs="仿宋_GB2312"/>
          <w:b/>
          <w:bCs w:val="0"/>
          <w:sz w:val="32"/>
          <w:szCs w:val="32"/>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县政府定期通报全县行政应诉工作及行政机关负责人出庭应诉情况</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同时抄送县纪委监委机关。</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color w:val="auto"/>
          <w:sz w:val="32"/>
          <w:szCs w:val="32"/>
        </w:rPr>
        <w:t>镇政府</w:t>
      </w:r>
      <w:r>
        <w:rPr>
          <w:rFonts w:hint="eastAsia" w:ascii="仿宋_GB2312" w:hAnsi="仿宋_GB2312" w:eastAsia="仿宋_GB2312" w:cs="仿宋_GB2312"/>
          <w:b/>
          <w:bCs w:val="0"/>
          <w:color w:val="auto"/>
          <w:sz w:val="32"/>
          <w:szCs w:val="32"/>
          <w:lang w:eastAsia="zh-CN"/>
        </w:rPr>
        <w:t>（</w:t>
      </w:r>
      <w:r>
        <w:rPr>
          <w:rFonts w:hint="eastAsia" w:cs="仿宋_GB2312"/>
          <w:b/>
          <w:bCs w:val="0"/>
          <w:color w:val="auto"/>
          <w:sz w:val="32"/>
          <w:szCs w:val="32"/>
          <w:lang w:eastAsia="zh-CN"/>
        </w:rPr>
        <w:t>街道办事处</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eastAsia="zh-CN"/>
        </w:rPr>
        <w:t>、县政府</w:t>
      </w:r>
      <w:r>
        <w:rPr>
          <w:rFonts w:hint="eastAsia" w:ascii="仿宋_GB2312" w:hAnsi="仿宋_GB2312" w:eastAsia="仿宋_GB2312" w:cs="仿宋_GB2312"/>
          <w:b/>
          <w:bCs w:val="0"/>
          <w:color w:val="auto"/>
          <w:sz w:val="32"/>
          <w:szCs w:val="32"/>
          <w:lang w:val="en-US" w:eastAsia="zh-CN"/>
        </w:rPr>
        <w:t>工作</w:t>
      </w:r>
      <w:r>
        <w:rPr>
          <w:rFonts w:hint="eastAsia" w:ascii="仿宋_GB2312" w:hAnsi="仿宋_GB2312" w:eastAsia="仿宋_GB2312" w:cs="仿宋_GB2312"/>
          <w:b/>
          <w:bCs w:val="0"/>
          <w:color w:val="auto"/>
          <w:sz w:val="32"/>
          <w:szCs w:val="32"/>
        </w:rPr>
        <w:t>部门应当定期对本机关的行政应诉情况进行统计、分析、总结</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并</w:t>
      </w:r>
      <w:r>
        <w:rPr>
          <w:rFonts w:hint="eastAsia" w:ascii="仿宋_GB2312" w:hAnsi="仿宋_GB2312" w:eastAsia="仿宋_GB2312" w:cs="仿宋_GB2312"/>
          <w:b/>
          <w:bCs w:val="0"/>
          <w:color w:val="auto"/>
          <w:sz w:val="32"/>
          <w:szCs w:val="32"/>
          <w:u w:val="none"/>
        </w:rPr>
        <w:t>向</w:t>
      </w:r>
      <w:r>
        <w:rPr>
          <w:rFonts w:hint="eastAsia" w:ascii="仿宋_GB2312" w:hAnsi="仿宋_GB2312" w:eastAsia="仿宋_GB2312" w:cs="仿宋_GB2312"/>
          <w:b/>
          <w:bCs w:val="0"/>
          <w:color w:val="auto"/>
          <w:sz w:val="32"/>
          <w:szCs w:val="32"/>
          <w:u w:val="none"/>
          <w:lang w:val="en-US" w:eastAsia="zh-CN"/>
        </w:rPr>
        <w:t>县政府书面</w:t>
      </w:r>
      <w:r>
        <w:rPr>
          <w:rFonts w:hint="eastAsia" w:ascii="仿宋_GB2312" w:hAnsi="仿宋_GB2312" w:eastAsia="仿宋_GB2312" w:cs="仿宋_GB2312"/>
          <w:b/>
          <w:bCs w:val="0"/>
          <w:color w:val="auto"/>
          <w:sz w:val="32"/>
          <w:szCs w:val="32"/>
          <w:u w:val="none"/>
        </w:rPr>
        <w:t>报告</w:t>
      </w:r>
      <w:r>
        <w:rPr>
          <w:rFonts w:hint="eastAsia"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lang w:val="en-US" w:eastAsia="zh-CN"/>
        </w:rPr>
        <w:t>同时抄送县司法局。</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对重大复杂、社会关注度高、可能引发群体性事件等行政案件</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应诉机关或应诉承办单位应当主动及时向</w:t>
      </w:r>
      <w:r>
        <w:rPr>
          <w:rFonts w:hint="eastAsia" w:ascii="仿宋_GB2312" w:hAnsi="仿宋_GB2312" w:eastAsia="仿宋_GB2312" w:cs="仿宋_GB2312"/>
          <w:b/>
          <w:bCs w:val="0"/>
          <w:color w:val="auto"/>
          <w:sz w:val="32"/>
          <w:szCs w:val="32"/>
          <w:lang w:val="en-US" w:eastAsia="zh-CN"/>
        </w:rPr>
        <w:t>县</w:t>
      </w:r>
      <w:r>
        <w:rPr>
          <w:rFonts w:hint="eastAsia" w:ascii="仿宋_GB2312" w:hAnsi="仿宋_GB2312" w:eastAsia="仿宋_GB2312" w:cs="仿宋_GB2312"/>
          <w:b/>
          <w:bCs w:val="0"/>
          <w:sz w:val="32"/>
          <w:szCs w:val="32"/>
        </w:rPr>
        <w:t>政府报告。</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第三十八条</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县</w:t>
      </w:r>
      <w:r>
        <w:rPr>
          <w:rFonts w:hint="eastAsia" w:ascii="仿宋_GB2312" w:hAnsi="仿宋_GB2312" w:eastAsia="仿宋_GB2312" w:cs="仿宋_GB2312"/>
          <w:b/>
          <w:bCs w:val="0"/>
          <w:color w:val="auto"/>
          <w:sz w:val="32"/>
          <w:szCs w:val="32"/>
          <w:lang w:val="en-US" w:eastAsia="zh-CN"/>
        </w:rPr>
        <w:t>司法局</w:t>
      </w:r>
      <w:r>
        <w:rPr>
          <w:rFonts w:hint="eastAsia" w:ascii="仿宋_GB2312" w:hAnsi="仿宋_GB2312" w:eastAsia="仿宋_GB2312" w:cs="仿宋_GB2312"/>
          <w:b/>
          <w:bCs w:val="0"/>
          <w:color w:val="auto"/>
          <w:sz w:val="32"/>
          <w:szCs w:val="32"/>
        </w:rPr>
        <w:t>应当按照</w:t>
      </w:r>
      <w:r>
        <w:rPr>
          <w:rFonts w:hint="eastAsia" w:ascii="仿宋_GB2312" w:hAnsi="仿宋_GB2312" w:eastAsia="仿宋_GB2312" w:cs="仿宋_GB2312"/>
          <w:b/>
          <w:bCs w:val="0"/>
          <w:color w:val="auto"/>
          <w:sz w:val="32"/>
          <w:szCs w:val="32"/>
          <w:u w:val="none"/>
          <w:lang w:val="en-US" w:eastAsia="zh-CN"/>
        </w:rPr>
        <w:t>上级</w:t>
      </w:r>
      <w:r>
        <w:rPr>
          <w:rFonts w:hint="eastAsia" w:ascii="仿宋_GB2312" w:hAnsi="仿宋_GB2312" w:eastAsia="仿宋_GB2312" w:cs="仿宋_GB2312"/>
          <w:b/>
          <w:bCs w:val="0"/>
          <w:color w:val="auto"/>
          <w:sz w:val="32"/>
          <w:szCs w:val="32"/>
        </w:rPr>
        <w:t>要求</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发挥信息化平台在办理行政应诉案件中的作用</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借助信息化平台加大对行政应诉工作的指导、协调和监督力度。</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应诉机关在收到人民法院送达的起诉状、立案通知书等材料以及裁判文书后</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应当及时上传至山东省行政应诉管理平台。</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第三十九条</w:t>
      </w:r>
      <w:r>
        <w:rPr>
          <w:rFonts w:hint="eastAsia" w:ascii="仿宋_GB2312" w:hAnsi="仿宋_GB2312" w:eastAsia="仿宋_GB2312" w:cs="仿宋_GB2312"/>
          <w:b/>
          <w:bCs w:val="0"/>
          <w:color w:val="auto"/>
          <w:sz w:val="32"/>
          <w:szCs w:val="32"/>
        </w:rPr>
        <w:t xml:space="preserve"> </w:t>
      </w:r>
      <w:r>
        <w:rPr>
          <w:rFonts w:hint="eastAsia"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行政</w:t>
      </w:r>
      <w:r>
        <w:rPr>
          <w:rFonts w:hint="eastAsia" w:ascii="仿宋_GB2312" w:hAnsi="仿宋_GB2312" w:eastAsia="仿宋_GB2312" w:cs="仿宋_GB2312"/>
          <w:b/>
          <w:bCs w:val="0"/>
          <w:color w:val="auto"/>
          <w:sz w:val="32"/>
          <w:szCs w:val="32"/>
          <w:lang w:val="en-US" w:eastAsia="zh-CN"/>
        </w:rPr>
        <w:t>应诉</w:t>
      </w:r>
      <w:r>
        <w:rPr>
          <w:rFonts w:hint="eastAsia" w:ascii="仿宋_GB2312" w:hAnsi="仿宋_GB2312" w:eastAsia="仿宋_GB2312" w:cs="仿宋_GB2312"/>
          <w:b/>
          <w:bCs w:val="0"/>
          <w:color w:val="auto"/>
          <w:sz w:val="32"/>
          <w:szCs w:val="32"/>
        </w:rPr>
        <w:t>案件终结后</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行政机关应当按照有关规定</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rPr>
        <w:t>将案件材料立卷归档。有条件的行政机关可以建立行政应诉案卷电子化档案。</w:t>
      </w:r>
      <w:r>
        <w:rPr>
          <w:rFonts w:hint="eastAsia" w:ascii="仿宋_GB2312" w:hAnsi="仿宋_GB2312" w:eastAsia="仿宋_GB2312" w:cs="仿宋_GB2312"/>
          <w:b/>
          <w:bCs w:val="0"/>
          <w:color w:val="auto"/>
          <w:sz w:val="32"/>
          <w:szCs w:val="32"/>
          <w:lang w:eastAsia="zh-CN"/>
        </w:rPr>
        <w:t>县</w:t>
      </w:r>
      <w:r>
        <w:rPr>
          <w:rFonts w:hint="eastAsia" w:ascii="仿宋_GB2312" w:hAnsi="仿宋_GB2312" w:eastAsia="仿宋_GB2312" w:cs="仿宋_GB2312"/>
          <w:b/>
          <w:bCs w:val="0"/>
          <w:color w:val="auto"/>
          <w:sz w:val="32"/>
          <w:szCs w:val="32"/>
          <w:lang w:val="en-US" w:eastAsia="zh-CN"/>
        </w:rPr>
        <w:t>司法局</w:t>
      </w:r>
      <w:r>
        <w:rPr>
          <w:rFonts w:hint="eastAsia" w:ascii="仿宋_GB2312" w:hAnsi="仿宋_GB2312" w:eastAsia="仿宋_GB2312" w:cs="仿宋_GB2312"/>
          <w:b/>
          <w:bCs w:val="0"/>
          <w:color w:val="auto"/>
          <w:sz w:val="32"/>
          <w:szCs w:val="32"/>
        </w:rPr>
        <w:t>应定期组织行政应诉案卷评查工作。</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sz w:val="32"/>
          <w:szCs w:val="32"/>
          <w:lang w:val="en-US" w:eastAsia="zh-CN"/>
        </w:rPr>
        <w:t xml:space="preserve">第四十条 </w:t>
      </w:r>
      <w:r>
        <w:rPr>
          <w:rFonts w:hint="eastAsia" w:ascii="仿宋_GB2312" w:hAnsi="仿宋_GB2312" w:eastAsia="仿宋_GB2312" w:cs="仿宋_GB2312"/>
          <w:b/>
          <w:bCs w:val="0"/>
          <w:color w:val="auto"/>
          <w:sz w:val="32"/>
          <w:szCs w:val="32"/>
        </w:rPr>
        <w:t xml:space="preserve"> </w:t>
      </w:r>
      <w:r>
        <w:rPr>
          <w:rFonts w:hint="eastAsia" w:ascii="仿宋_GB2312" w:hAnsi="仿宋_GB2312" w:eastAsia="仿宋_GB2312" w:cs="仿宋_GB2312"/>
          <w:b/>
          <w:bCs w:val="0"/>
          <w:color w:val="auto"/>
          <w:sz w:val="32"/>
          <w:szCs w:val="32"/>
          <w:lang w:val="en-US" w:eastAsia="zh-CN"/>
        </w:rPr>
        <w:t>县司法局</w:t>
      </w:r>
      <w:r>
        <w:rPr>
          <w:rFonts w:hint="eastAsia" w:ascii="仿宋_GB2312" w:hAnsi="仿宋_GB2312" w:eastAsia="仿宋_GB2312" w:cs="仿宋_GB2312"/>
          <w:b/>
          <w:bCs w:val="0"/>
          <w:color w:val="auto"/>
          <w:sz w:val="32"/>
          <w:szCs w:val="32"/>
        </w:rPr>
        <w:t>应当加强与</w:t>
      </w:r>
      <w:r>
        <w:rPr>
          <w:rFonts w:hint="eastAsia" w:ascii="仿宋_GB2312" w:hAnsi="仿宋_GB2312" w:eastAsia="仿宋_GB2312" w:cs="仿宋_GB2312"/>
          <w:b/>
          <w:bCs w:val="0"/>
          <w:color w:val="auto"/>
          <w:sz w:val="32"/>
          <w:szCs w:val="32"/>
          <w:lang w:val="en-US" w:eastAsia="zh-CN"/>
        </w:rPr>
        <w:t>行政机关、</w:t>
      </w:r>
      <w:r>
        <w:rPr>
          <w:rFonts w:hint="eastAsia" w:ascii="仿宋_GB2312" w:hAnsi="仿宋_GB2312" w:eastAsia="仿宋_GB2312" w:cs="仿宋_GB2312"/>
          <w:b/>
          <w:bCs w:val="0"/>
          <w:color w:val="auto"/>
          <w:sz w:val="32"/>
          <w:szCs w:val="32"/>
        </w:rPr>
        <w:t>人民法院、人民检察院沟通联络</w:t>
      </w:r>
      <w:r>
        <w:rPr>
          <w:rFonts w:hint="eastAsia"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强化案情通报、信息共享</w:t>
      </w:r>
      <w:r>
        <w:rPr>
          <w:rFonts w:hint="eastAsia" w:cs="仿宋_GB2312"/>
          <w:b/>
          <w:bCs w:val="0"/>
          <w:color w:val="auto"/>
          <w:sz w:val="32"/>
          <w:szCs w:val="32"/>
          <w:lang w:val="en-US" w:eastAsia="zh-CN"/>
        </w:rPr>
        <w:t>，</w:t>
      </w:r>
      <w:r>
        <w:rPr>
          <w:rFonts w:hint="eastAsia" w:ascii="仿宋_GB2312" w:hAnsi="仿宋_GB2312" w:eastAsia="仿宋_GB2312" w:cs="仿宋_GB2312"/>
          <w:b/>
          <w:bCs w:val="0"/>
          <w:color w:val="auto"/>
          <w:sz w:val="32"/>
          <w:szCs w:val="32"/>
        </w:rPr>
        <w:t>健全完善行政应诉与行政审判、行政法律监督联席会议制度。</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楷体_GB2312" w:hAnsi="楷体_GB2312" w:eastAsia="楷体_GB2312" w:cs="楷体_GB2312"/>
          <w:b/>
          <w:bCs w:val="0"/>
          <w:sz w:val="32"/>
          <w:szCs w:val="32"/>
          <w:lang w:val="en-US" w:eastAsia="zh-CN"/>
        </w:rPr>
        <w:t xml:space="preserve">第四十一条 </w:t>
      </w:r>
      <w:r>
        <w:rPr>
          <w:rFonts w:hint="eastAsia" w:ascii="仿宋_GB2312" w:hAnsi="仿宋_GB2312" w:eastAsia="仿宋_GB2312" w:cs="仿宋_GB2312"/>
          <w:b/>
          <w:bCs w:val="0"/>
          <w:sz w:val="32"/>
          <w:szCs w:val="32"/>
        </w:rPr>
        <w:t xml:space="preserve"> 行政机关制作行政应诉法律文书</w:t>
      </w:r>
      <w:r>
        <w:rPr>
          <w:rFonts w:hint="eastAsia" w:cs="仿宋_GB2312"/>
          <w:b/>
          <w:bCs w:val="0"/>
          <w:sz w:val="32"/>
          <w:szCs w:val="32"/>
          <w:lang w:eastAsia="zh-CN"/>
        </w:rPr>
        <w:t>，</w:t>
      </w:r>
      <w:r>
        <w:rPr>
          <w:rFonts w:hint="eastAsia" w:ascii="仿宋_GB2312" w:hAnsi="仿宋_GB2312" w:eastAsia="仿宋_GB2312" w:cs="仿宋_GB2312"/>
          <w:b/>
          <w:bCs w:val="0"/>
          <w:sz w:val="32"/>
          <w:szCs w:val="32"/>
        </w:rPr>
        <w:t>可以使用本机关印章或者本机关的行政应诉专用章。</w:t>
      </w: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ind w:firstLine="0" w:firstLineChars="0"/>
        <w:jc w:val="center"/>
        <w:textAlignment w:val="auto"/>
        <w:outlineLvl w:val="9"/>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第七章  附  则</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outlineLvl w:val="9"/>
        <w:rPr>
          <w:rFonts w:hint="eastAsia"/>
          <w:b/>
          <w:bCs w:val="0"/>
          <w:lang w:eastAsia="zh-CN"/>
        </w:rPr>
      </w:pPr>
      <w:r>
        <w:rPr>
          <w:rFonts w:hint="eastAsia" w:ascii="楷体_GB2312" w:hAnsi="楷体_GB2312" w:eastAsia="楷体_GB2312" w:cs="楷体_GB2312"/>
          <w:b/>
          <w:bCs w:val="0"/>
          <w:sz w:val="32"/>
          <w:szCs w:val="32"/>
          <w:lang w:val="en-US" w:eastAsia="zh-CN"/>
        </w:rPr>
        <w:t xml:space="preserve">第四十二条 </w:t>
      </w:r>
      <w:r>
        <w:rPr>
          <w:rFonts w:hint="eastAsia" w:ascii="黑体" w:hAnsi="黑体" w:eastAsia="黑体" w:cs="黑体"/>
          <w:b/>
          <w:bCs w:val="0"/>
          <w:sz w:val="32"/>
          <w:szCs w:val="32"/>
          <w:lang w:val="en-US" w:eastAsia="zh-CN"/>
        </w:rPr>
        <w:t xml:space="preserve"> </w:t>
      </w:r>
      <w:r>
        <w:rPr>
          <w:rFonts w:hint="eastAsia" w:ascii="仿宋_GB2312" w:hAnsi="仿宋_GB2312" w:eastAsia="仿宋_GB2312" w:cs="仿宋_GB2312"/>
          <w:b/>
          <w:bCs w:val="0"/>
          <w:sz w:val="32"/>
          <w:szCs w:val="32"/>
          <w:lang w:val="en-US" w:eastAsia="zh-CN"/>
        </w:rPr>
        <w:t>本办法自公布之日起施行。</w:t>
      </w:r>
    </w:p>
    <w:p>
      <w:pPr>
        <w:keepNext w:val="0"/>
        <w:keepLines w:val="0"/>
        <w:pageBreakBefore w:val="0"/>
        <w:widowControl w:val="0"/>
        <w:kinsoku/>
        <w:wordWrap/>
        <w:overflowPunct w:val="0"/>
        <w:topLinePunct w:val="0"/>
        <w:autoSpaceDE/>
        <w:autoSpaceDN/>
        <w:bidi w:val="0"/>
        <w:adjustRightInd/>
        <w:snapToGrid/>
        <w:spacing w:line="578" w:lineRule="exact"/>
        <w:ind w:left="0" w:leftChars="0" w:firstLine="0" w:firstLineChars="0"/>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ind w:left="0" w:leftChars="0" w:firstLine="0" w:firstLineChars="0"/>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b/>
          <w:bCs w:val="0"/>
        </w:rPr>
      </w:pP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eastAsia="仿宋_GB2312"/>
          <w:b/>
          <w:bCs w:val="0"/>
          <w:color w:val="000000"/>
          <w:lang w:val="en-US" w:eastAsia="zh-CN"/>
        </w:rPr>
      </w:pPr>
    </w:p>
    <w:p>
      <w:pPr>
        <w:pStyle w:val="2"/>
        <w:keepNext w:val="0"/>
        <w:keepLines w:val="0"/>
        <w:pageBreakBefore w:val="0"/>
        <w:overflowPunct w:val="0"/>
        <w:topLinePunct w:val="0"/>
        <w:autoSpaceDE/>
        <w:autoSpaceDN/>
        <w:bidi w:val="0"/>
        <w:snapToGrid/>
        <w:ind w:left="0" w:leftChars="0" w:firstLine="0" w:firstLineChars="0"/>
        <w:jc w:val="both"/>
        <w:textAlignment w:val="auto"/>
        <w:rPr>
          <w:rFonts w:hint="eastAsia"/>
          <w:b/>
          <w:bCs w:val="0"/>
          <w:lang w:val="en-US" w:eastAsia="zh-CN"/>
        </w:rPr>
      </w:pPr>
    </w:p>
    <w:p>
      <w:pPr>
        <w:pStyle w:val="2"/>
        <w:keepNext w:val="0"/>
        <w:keepLines w:val="0"/>
        <w:pageBreakBefore w:val="0"/>
        <w:overflowPunct w:val="0"/>
        <w:topLinePunct w:val="0"/>
        <w:autoSpaceDE/>
        <w:autoSpaceDN/>
        <w:bidi w:val="0"/>
        <w:snapToGrid/>
        <w:ind w:left="0" w:leftChars="0" w:firstLine="0" w:firstLineChars="0"/>
        <w:jc w:val="both"/>
        <w:textAlignment w:val="auto"/>
        <w:rPr>
          <w:rFonts w:hint="eastAsia"/>
          <w:b/>
          <w:bCs w:val="0"/>
          <w:lang w:val="en-US" w:eastAsia="zh-CN"/>
        </w:rPr>
      </w:pPr>
    </w:p>
    <w:p>
      <w:pPr>
        <w:keepNext w:val="0"/>
        <w:keepLines w:val="0"/>
        <w:pageBreakBefore w:val="0"/>
        <w:widowControl/>
        <w:kinsoku/>
        <w:wordWrap/>
        <w:overflowPunct w:val="0"/>
        <w:topLinePunct w:val="0"/>
        <w:autoSpaceDE/>
        <w:autoSpaceDN/>
        <w:bidi w:val="0"/>
        <w:adjustRightInd w:val="0"/>
        <w:snapToGrid/>
        <w:spacing w:after="120" w:line="1200" w:lineRule="exact"/>
        <w:ind w:right="-93" w:rightChars="-29"/>
        <w:textAlignment w:val="auto"/>
        <w:rPr>
          <w:rFonts w:hint="eastAsia" w:hAnsi="仿宋" w:cs="Arial"/>
          <w:b/>
          <w:bCs w:val="0"/>
          <w:kern w:val="0"/>
        </w:rPr>
      </w:pPr>
    </w:p>
    <w:p>
      <w:pPr>
        <w:keepNext w:val="0"/>
        <w:keepLines w:val="0"/>
        <w:pageBreakBefore w:val="0"/>
        <w:overflowPunct w:val="0"/>
        <w:topLinePunct w:val="0"/>
        <w:autoSpaceDE/>
        <w:autoSpaceDN/>
        <w:bidi w:val="0"/>
        <w:snapToGrid/>
        <w:spacing w:line="578" w:lineRule="exact"/>
        <w:ind w:firstLine="321" w:firstLineChars="100"/>
        <w:textAlignment w:val="auto"/>
        <w:rPr>
          <w:rFonts w:hint="eastAsia" w:eastAsia="仿宋_GB2312"/>
          <w:b/>
          <w:bCs w:val="0"/>
          <w:spacing w:val="4"/>
          <w:kern w:val="0"/>
          <w:sz w:val="28"/>
          <w:szCs w:val="28"/>
          <w:lang w:eastAsia="zh-CN"/>
        </w:rPr>
      </w:pPr>
      <w:r>
        <w:rPr>
          <w:rFonts w:hint="eastAsia" w:ascii="黑体" w:eastAsia="黑体"/>
          <w:b/>
          <w:bCs w:val="0"/>
          <w:kern w:val="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46990</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7pt;height:0pt;width:453.55pt;mso-position-horizontal:center;z-index:251659264;mso-width-relative:page;mso-height-relative:page;" filled="f" stroked="t" coordsize="21600,21600" o:gfxdata="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WWTq1AAAAAQBAAAPAAAAAAAAAAEAIAAAACIAAABkcnMvZG93bnJldi54bWxQSwECFAAU&#10;AAAACACHTuJAbTibMfUBAADlAwAADgAAAAAAAAABACAAAAAjAQAAZHJzL2Uyb0RvYy54bWxQSwUG&#10;AAAAAAYABgBZAQAAigUAAAAA&#10;">
                <v:fill on="f" focussize="0,0"/>
                <v:stroke weight="1pt" color="#000000" joinstyle="round"/>
                <v:imagedata o:title=""/>
                <o:lock v:ext="edit" aspectratio="f"/>
              </v:line>
            </w:pict>
          </mc:Fallback>
        </mc:AlternateContent>
      </w:r>
      <w:r>
        <w:rPr>
          <w:rFonts w:hint="eastAsia"/>
          <w:b/>
          <w:bCs w:val="0"/>
          <w:kern w:val="0"/>
          <w:sz w:val="28"/>
          <w:szCs w:val="28"/>
        </w:rPr>
        <w:t>抄送：县</w:t>
      </w:r>
      <w:r>
        <w:rPr>
          <w:rFonts w:hint="eastAsia"/>
          <w:b/>
          <w:bCs w:val="0"/>
          <w:spacing w:val="4"/>
          <w:kern w:val="0"/>
          <w:sz w:val="28"/>
          <w:szCs w:val="28"/>
        </w:rPr>
        <w:t>委各部门</w:t>
      </w:r>
      <w:r>
        <w:rPr>
          <w:rFonts w:hint="eastAsia"/>
          <w:b/>
          <w:bCs w:val="0"/>
          <w:spacing w:val="4"/>
          <w:kern w:val="0"/>
          <w:sz w:val="28"/>
          <w:szCs w:val="28"/>
          <w:lang w:eastAsia="zh-CN"/>
        </w:rPr>
        <w:t>，</w:t>
      </w:r>
      <w:r>
        <w:rPr>
          <w:rFonts w:hint="eastAsia"/>
          <w:b/>
          <w:bCs w:val="0"/>
          <w:spacing w:val="4"/>
          <w:kern w:val="0"/>
          <w:sz w:val="28"/>
          <w:szCs w:val="28"/>
        </w:rPr>
        <w:t>县人大常委会办公室</w:t>
      </w:r>
      <w:r>
        <w:rPr>
          <w:rFonts w:hint="eastAsia"/>
          <w:b/>
          <w:bCs w:val="0"/>
          <w:spacing w:val="4"/>
          <w:kern w:val="0"/>
          <w:sz w:val="28"/>
          <w:szCs w:val="28"/>
          <w:lang w:eastAsia="zh-CN"/>
        </w:rPr>
        <w:t>，</w:t>
      </w:r>
      <w:r>
        <w:rPr>
          <w:rFonts w:hint="eastAsia"/>
          <w:b/>
          <w:bCs w:val="0"/>
          <w:spacing w:val="4"/>
          <w:kern w:val="0"/>
          <w:sz w:val="28"/>
          <w:szCs w:val="28"/>
        </w:rPr>
        <w:t>县政协办公室</w:t>
      </w:r>
      <w:r>
        <w:rPr>
          <w:rFonts w:hint="eastAsia"/>
          <w:b/>
          <w:bCs w:val="0"/>
          <w:spacing w:val="4"/>
          <w:kern w:val="0"/>
          <w:sz w:val="28"/>
          <w:szCs w:val="28"/>
          <w:lang w:eastAsia="zh-CN"/>
        </w:rPr>
        <w:t>，</w:t>
      </w:r>
      <w:r>
        <w:rPr>
          <w:rFonts w:hint="eastAsia"/>
          <w:b/>
          <w:bCs w:val="0"/>
          <w:spacing w:val="4"/>
          <w:kern w:val="0"/>
          <w:sz w:val="28"/>
          <w:szCs w:val="28"/>
        </w:rPr>
        <w:t>县法院</w:t>
      </w:r>
      <w:r>
        <w:rPr>
          <w:rFonts w:hint="eastAsia"/>
          <w:b/>
          <w:bCs w:val="0"/>
          <w:spacing w:val="4"/>
          <w:kern w:val="0"/>
          <w:sz w:val="28"/>
          <w:szCs w:val="28"/>
          <w:lang w:eastAsia="zh-CN"/>
        </w:rPr>
        <w:t>，</w:t>
      </w:r>
    </w:p>
    <w:p>
      <w:pPr>
        <w:keepNext w:val="0"/>
        <w:keepLines w:val="0"/>
        <w:pageBreakBefore w:val="0"/>
        <w:overflowPunct w:val="0"/>
        <w:topLinePunct w:val="0"/>
        <w:autoSpaceDE/>
        <w:autoSpaceDN/>
        <w:bidi w:val="0"/>
        <w:snapToGrid/>
        <w:spacing w:line="578" w:lineRule="exact"/>
        <w:ind w:firstLine="1156" w:firstLineChars="400"/>
        <w:textAlignment w:val="auto"/>
        <w:rPr>
          <w:rFonts w:hint="eastAsia"/>
          <w:b/>
          <w:bCs w:val="0"/>
          <w:kern w:val="0"/>
          <w:sz w:val="28"/>
          <w:szCs w:val="28"/>
        </w:rPr>
      </w:pPr>
      <w:r>
        <w:rPr>
          <w:rFonts w:hint="eastAsia"/>
          <w:b/>
          <w:bCs w:val="0"/>
          <w:spacing w:val="4"/>
          <w:kern w:val="0"/>
          <w:sz w:val="28"/>
          <w:szCs w:val="28"/>
        </w:rPr>
        <w:t>县检察院</w:t>
      </w:r>
      <w:r>
        <w:rPr>
          <w:rFonts w:hint="eastAsia"/>
          <w:b/>
          <w:bCs w:val="0"/>
          <w:spacing w:val="4"/>
          <w:kern w:val="0"/>
          <w:sz w:val="28"/>
          <w:szCs w:val="28"/>
          <w:lang w:eastAsia="zh-CN"/>
        </w:rPr>
        <w:t>，</w:t>
      </w:r>
      <w:r>
        <w:rPr>
          <w:rFonts w:hint="eastAsia"/>
          <w:b/>
          <w:bCs w:val="0"/>
          <w:spacing w:val="4"/>
          <w:kern w:val="0"/>
          <w:sz w:val="28"/>
          <w:szCs w:val="28"/>
        </w:rPr>
        <w:t>县人武部。</w:t>
      </w:r>
    </w:p>
    <w:p>
      <w:pPr>
        <w:keepNext w:val="0"/>
        <w:keepLines w:val="0"/>
        <w:pageBreakBefore w:val="0"/>
        <w:overflowPunct w:val="0"/>
        <w:topLinePunct w:val="0"/>
        <w:autoSpaceDE/>
        <w:autoSpaceDN/>
        <w:bidi w:val="0"/>
        <w:snapToGrid/>
        <w:spacing w:line="578" w:lineRule="exact"/>
        <w:ind w:firstLine="281" w:firstLineChars="100"/>
        <w:textAlignment w:val="auto"/>
        <w:rPr>
          <w:b/>
          <w:bCs w:val="0"/>
        </w:rPr>
      </w:pPr>
      <w:r>
        <w:rPr>
          <w:rFonts w:hint="eastAsia"/>
          <w:b/>
          <w:bCs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32385</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2.55pt;height:0pt;width:453.55pt;z-index:251661312;mso-width-relative:page;mso-height-relative:page;" filled="f" stroked="t" coordsize="21600,21600" o:gfxdata="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b+m9XTAAAABQEAAA8AAAAAAAAAAQAgAAAAIgAAAGRycy9kb3ducmV2LnhtbFBLAQIUABQA&#10;AAAIAIdO4kA9tHoa9QEAAOQDAAAOAAAAAAAAAAEAIAAAACIBAABkcnMvZTJvRG9jLnhtbFBLBQYA&#10;AAAABgAGAFkBAACJBQAAAAA=&#10;">
                <v:fill on="f" focussize="0,0"/>
                <v:stroke color="#000000" joinstyle="round"/>
                <v:imagedata o:title=""/>
                <o:lock v:ext="edit" aspectratio="f"/>
              </v:line>
            </w:pict>
          </mc:Fallback>
        </mc:AlternateContent>
      </w:r>
      <w:r>
        <w:rPr>
          <w:rFonts w:hint="eastAsia"/>
          <w:b/>
          <w:bCs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411480</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pt;height:0pt;width:453.55pt;z-index:251660288;mso-width-relative:page;mso-height-relative:page;" filled="f" stroked="t" coordsize="21600,21600" o:gfxdata="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dlA+fVAAAABgEAAA8AAAAAAAAAAQAgAAAAIgAAAGRycy9kb3ducmV2LnhtbFBLAQIU&#10;ABQAAAAIAIdO4kB6pSWU9gEAAOUDAAAOAAAAAAAAAAEAIAAAACQBAABkcnMvZTJvRG9jLnhtbFBL&#10;BQYAAAAABgAGAFkBAACMBQAAAAA=&#10;">
                <v:fill on="f" focussize="0,0"/>
                <v:stroke weight="1pt" color="#000000" joinstyle="round"/>
                <v:imagedata o:title=""/>
                <o:lock v:ext="edit" aspectratio="f"/>
              </v:line>
            </w:pict>
          </mc:Fallback>
        </mc:AlternateContent>
      </w:r>
      <w:r>
        <w:rPr>
          <w:rFonts w:hint="eastAsia"/>
          <w:b/>
          <w:bCs w:val="0"/>
          <w:kern w:val="0"/>
          <w:sz w:val="28"/>
          <w:szCs w:val="28"/>
        </w:rPr>
        <w:t xml:space="preserve">昌乐县人民政府办公室　　　   　 　    </w:t>
      </w:r>
      <w:r>
        <w:rPr>
          <w:rFonts w:hint="eastAsia"/>
          <w:b/>
          <w:bCs w:val="0"/>
          <w:kern w:val="0"/>
          <w:sz w:val="28"/>
          <w:szCs w:val="28"/>
          <w:lang w:val="en-US" w:eastAsia="zh-CN"/>
        </w:rPr>
        <w:t xml:space="preserve"> </w:t>
      </w:r>
      <w:r>
        <w:rPr>
          <w:rFonts w:hint="eastAsia"/>
          <w:b/>
          <w:bCs w:val="0"/>
          <w:kern w:val="0"/>
          <w:sz w:val="28"/>
          <w:szCs w:val="28"/>
        </w:rPr>
        <w:t xml:space="preserve"> </w:t>
      </w:r>
      <w:r>
        <w:rPr>
          <w:rFonts w:hint="eastAsia"/>
          <w:b/>
          <w:bCs w:val="0"/>
          <w:kern w:val="0"/>
          <w:sz w:val="28"/>
          <w:szCs w:val="28"/>
          <w:lang w:val="en-US" w:eastAsia="zh-CN"/>
        </w:rPr>
        <w:t xml:space="preserve">  </w:t>
      </w:r>
      <w:r>
        <w:rPr>
          <w:rFonts w:hint="eastAsia"/>
          <w:b/>
          <w:bCs w:val="0"/>
          <w:kern w:val="0"/>
          <w:sz w:val="28"/>
          <w:szCs w:val="28"/>
        </w:rPr>
        <w:t>202</w:t>
      </w:r>
      <w:r>
        <w:rPr>
          <w:rFonts w:hint="eastAsia"/>
          <w:b/>
          <w:bCs w:val="0"/>
          <w:kern w:val="0"/>
          <w:sz w:val="28"/>
          <w:szCs w:val="28"/>
          <w:lang w:val="en-US" w:eastAsia="zh-CN"/>
        </w:rPr>
        <w:t>2</w:t>
      </w:r>
      <w:r>
        <w:rPr>
          <w:rFonts w:hint="eastAsia"/>
          <w:b/>
          <w:bCs w:val="0"/>
          <w:kern w:val="0"/>
          <w:sz w:val="28"/>
          <w:szCs w:val="28"/>
        </w:rPr>
        <w:t>年</w:t>
      </w:r>
      <w:r>
        <w:rPr>
          <w:rFonts w:hint="eastAsia"/>
          <w:b/>
          <w:bCs w:val="0"/>
          <w:kern w:val="0"/>
          <w:sz w:val="28"/>
          <w:szCs w:val="28"/>
          <w:lang w:val="en-US" w:eastAsia="zh-CN"/>
        </w:rPr>
        <w:t>6</w:t>
      </w:r>
      <w:r>
        <w:rPr>
          <w:rFonts w:hint="eastAsia"/>
          <w:b/>
          <w:bCs w:val="0"/>
          <w:kern w:val="0"/>
          <w:sz w:val="28"/>
          <w:szCs w:val="28"/>
        </w:rPr>
        <w:t>月</w:t>
      </w:r>
      <w:r>
        <w:rPr>
          <w:rFonts w:hint="eastAsia"/>
          <w:b/>
          <w:bCs w:val="0"/>
          <w:kern w:val="0"/>
          <w:sz w:val="28"/>
          <w:szCs w:val="28"/>
          <w:lang w:val="en-US" w:eastAsia="zh-CN"/>
        </w:rPr>
        <w:t>12</w:t>
      </w:r>
      <w:r>
        <w:rPr>
          <w:rFonts w:hint="eastAsia"/>
          <w:b/>
          <w:bCs w:val="0"/>
          <w:kern w:val="0"/>
          <w:sz w:val="28"/>
          <w:szCs w:val="28"/>
        </w:rPr>
        <w:t>日印发</w:t>
      </w:r>
    </w:p>
    <w:sectPr>
      <w:pgSz w:w="11906" w:h="16838"/>
      <w:pgMar w:top="2098" w:right="1417" w:bottom="1984" w:left="1417" w:header="851" w:footer="130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eastAsia="仿宋_GB2312"/>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- 1 -</w:t>
                          </w:r>
                          <w:r>
                            <w:rPr>
                              <w:rFonts w:hint="eastAsia" w:asciiTheme="majorEastAsia" w:hAnsiTheme="majorEastAsia" w:eastAsiaTheme="majorEastAsia" w:cstheme="major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ind w:left="0" w:leftChars="0" w:firstLine="0" w:firstLineChars="0"/>
                      <w:rPr>
                        <w:rFonts w:hint="eastAsia" w:eastAsia="仿宋_GB2312"/>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- 1 -</w:t>
                    </w:r>
                    <w:r>
                      <w:rPr>
                        <w:rFonts w:hint="eastAsia" w:asciiTheme="majorEastAsia" w:hAnsiTheme="majorEastAsia" w:eastAsiaTheme="majorEastAsia" w:cstheme="majorEastAsia"/>
                        <w:b/>
                        <w:bCs/>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jcxYmNkYmZlYzYzNGJiZmQwZjVlYTRiMzNkMTYifQ=="/>
  </w:docVars>
  <w:rsids>
    <w:rsidRoot w:val="00000000"/>
    <w:rsid w:val="017B3366"/>
    <w:rsid w:val="040F3EE2"/>
    <w:rsid w:val="053C410E"/>
    <w:rsid w:val="0CA2335B"/>
    <w:rsid w:val="112F11DF"/>
    <w:rsid w:val="113F30AF"/>
    <w:rsid w:val="11B77768"/>
    <w:rsid w:val="128D7AED"/>
    <w:rsid w:val="17CF16C8"/>
    <w:rsid w:val="182367CA"/>
    <w:rsid w:val="193232ED"/>
    <w:rsid w:val="1AC76234"/>
    <w:rsid w:val="1D1826D2"/>
    <w:rsid w:val="1F311911"/>
    <w:rsid w:val="21746591"/>
    <w:rsid w:val="24A507DD"/>
    <w:rsid w:val="2614011D"/>
    <w:rsid w:val="26F8675D"/>
    <w:rsid w:val="275A1D16"/>
    <w:rsid w:val="27DF110B"/>
    <w:rsid w:val="2C21283D"/>
    <w:rsid w:val="32E27994"/>
    <w:rsid w:val="34AD6273"/>
    <w:rsid w:val="35332744"/>
    <w:rsid w:val="361200D2"/>
    <w:rsid w:val="397D37D1"/>
    <w:rsid w:val="3A0C0681"/>
    <w:rsid w:val="3C6A28E6"/>
    <w:rsid w:val="3CBE34F4"/>
    <w:rsid w:val="3CE04049"/>
    <w:rsid w:val="40853243"/>
    <w:rsid w:val="44951C7E"/>
    <w:rsid w:val="49030153"/>
    <w:rsid w:val="4C835CE3"/>
    <w:rsid w:val="4E942761"/>
    <w:rsid w:val="50AE7406"/>
    <w:rsid w:val="54AE14B8"/>
    <w:rsid w:val="59F8048E"/>
    <w:rsid w:val="5B3D5EE1"/>
    <w:rsid w:val="5D7C17B9"/>
    <w:rsid w:val="61E57EE5"/>
    <w:rsid w:val="645C44A3"/>
    <w:rsid w:val="6AB20EA6"/>
    <w:rsid w:val="6EA6621E"/>
    <w:rsid w:val="6EF152AD"/>
    <w:rsid w:val="72C13B37"/>
    <w:rsid w:val="74135D90"/>
    <w:rsid w:val="79217191"/>
    <w:rsid w:val="7AF66F73"/>
    <w:rsid w:val="7B1837C6"/>
    <w:rsid w:val="7C9A30F4"/>
    <w:rsid w:val="7E2E5F98"/>
    <w:rsid w:val="7ECE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hAnsi="仿宋_GB2312" w:eastAsia="仿宋_GB2312" w:cs="Times New Roman"/>
      <w:kern w:val="2"/>
      <w:sz w:val="32"/>
      <w:szCs w:val="32"/>
      <w:lang w:val="en-US" w:eastAsia="zh-CN" w:bidi="ar-SA"/>
    </w:rPr>
  </w:style>
  <w:style w:type="paragraph" w:styleId="3">
    <w:name w:val="heading 3"/>
    <w:basedOn w:val="1"/>
    <w:next w:val="1"/>
    <w:qFormat/>
    <w:uiPriority w:val="0"/>
    <w:pPr>
      <w:keepNext/>
      <w:keepLines/>
      <w:spacing w:line="560" w:lineRule="exact"/>
      <w:outlineLvl w:val="2"/>
    </w:pPr>
    <w:rPr>
      <w:rFonts w:ascii="Times New Roman" w:hAnsi="Times New Roman" w:eastAsia="黑体"/>
      <w:kern w:val="0"/>
      <w:sz w:val="2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rFonts w:ascii="Calibri Light" w:hAnsi="Calibri Light" w:eastAsia="宋体"/>
      <w:b/>
      <w:bCs/>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ind w:firstLine="0" w:firstLineChars="0"/>
    </w:pPr>
    <w:rPr>
      <w:b/>
    </w:rPr>
  </w:style>
  <w:style w:type="paragraph" w:styleId="7">
    <w:name w:val="Normal (Web)"/>
    <w:basedOn w:val="1"/>
    <w:link w:val="11"/>
    <w:qFormat/>
    <w:uiPriority w:val="0"/>
    <w:pPr>
      <w:spacing w:beforeAutospacing="1"/>
    </w:pPr>
    <w:rPr>
      <w:rFonts w:ascii="Times New Roman" w:hAnsi="Times New Roman"/>
      <w:kern w:val="0"/>
    </w:rPr>
  </w:style>
  <w:style w:type="character" w:styleId="10">
    <w:name w:val="page number"/>
    <w:basedOn w:val="9"/>
    <w:qFormat/>
    <w:uiPriority w:val="0"/>
    <w:rPr>
      <w:rFonts w:cs="Times New Roman"/>
    </w:rPr>
  </w:style>
  <w:style w:type="character" w:customStyle="1" w:styleId="11">
    <w:name w:val="普通(网站) Char"/>
    <w:link w:val="7"/>
    <w:qFormat/>
    <w:uiPriority w:val="0"/>
    <w:rPr>
      <w:rFonts w:ascii="Times New Roman" w:hAnsi="Times New Roman"/>
      <w:kern w:val="0"/>
    </w:rPr>
  </w:style>
  <w:style w:type="character" w:customStyle="1" w:styleId="12">
    <w:name w:val="标题 Char"/>
    <w:link w:val="2"/>
    <w:qFormat/>
    <w:uiPriority w:val="0"/>
    <w:rPr>
      <w:rFonts w:ascii="Calibri Light" w:hAnsi="Calibri Light" w:eastAsia="宋体"/>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4597</Words>
  <Characters>4626</Characters>
  <Lines>0</Lines>
  <Paragraphs>0</Paragraphs>
  <TotalTime>4</TotalTime>
  <ScaleCrop>false</ScaleCrop>
  <LinksUpToDate>false</LinksUpToDate>
  <CharactersWithSpaces>4751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2022-06-02T13:31:00Z</dcterms:created>
  <dc:creator>Administrator</dc:creator>
  <cp:lastModifiedBy>Administrator</cp:lastModifiedBy>
  <cp:lastPrinted>2022-06-08T08:41:00Z</cp:lastPrinted>
  <dcterms:modified xsi:type="dcterms:W3CDTF">2022-06-14T01:06:42Z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99A9DE351BB24D36A7553AA0DB342C3A</vt:lpwstr>
  </property>
</Properties>
</file>