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wordWrap/>
        <w:overflowPunct/>
        <w:topLinePunct w:val="0"/>
        <w:autoSpaceDE/>
        <w:autoSpaceDN/>
        <w:bidi w:val="0"/>
        <w:adjustRightInd/>
        <w:snapToGrid/>
        <w:spacing w:line="578" w:lineRule="exact"/>
        <w:ind w:firstLine="880" w:firstLineChars="200"/>
        <w:jc w:val="center"/>
        <w:textAlignment w:val="auto"/>
        <w:rPr>
          <w:rFonts w:hint="eastAsia" w:ascii="文星标宋" w:hAnsi="文星标宋" w:eastAsia="文星标宋" w:cs="文星标宋"/>
          <w:b/>
          <w:bCs/>
          <w:color w:val="auto"/>
          <w:sz w:val="44"/>
          <w:szCs w:val="44"/>
          <w:lang w:eastAsia="zh-CN"/>
        </w:rPr>
      </w:pPr>
      <w:bookmarkStart w:id="0" w:name="_GoBack"/>
      <w:bookmarkEnd w:id="0"/>
      <w:r>
        <w:rPr>
          <w:sz w:val="44"/>
        </w:rPr>
        <mc:AlternateContent>
          <mc:Choice Requires="wps">
            <w:drawing>
              <wp:anchor distT="0" distB="0" distL="114300" distR="114300" simplePos="0" relativeHeight="251668480" behindDoc="0" locked="0" layoutInCell="1" allowOverlap="1">
                <wp:simplePos x="0" y="0"/>
                <wp:positionH relativeFrom="column">
                  <wp:posOffset>-402590</wp:posOffset>
                </wp:positionH>
                <wp:positionV relativeFrom="paragraph">
                  <wp:posOffset>-758825</wp:posOffset>
                </wp:positionV>
                <wp:extent cx="1993265" cy="447675"/>
                <wp:effectExtent l="0" t="0" r="6985" b="9525"/>
                <wp:wrapNone/>
                <wp:docPr id="9" name="文本框 9"/>
                <wp:cNvGraphicFramePr/>
                <a:graphic xmlns:a="http://schemas.openxmlformats.org/drawingml/2006/main">
                  <a:graphicData uri="http://schemas.microsoft.com/office/word/2010/wordprocessingShape">
                    <wps:wsp>
                      <wps:cNvSpPr txBox="1"/>
                      <wps:spPr>
                        <a:xfrm>
                          <a:off x="1003935" y="1430020"/>
                          <a:ext cx="1993265" cy="447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rPr>
                            </w:pPr>
                            <w:r>
                              <w:rPr>
                                <w:rFonts w:hint="eastAsia" w:ascii="黑体" w:hAnsi="黑体" w:eastAsia="黑体" w:cs="黑体"/>
                              </w:rPr>
                              <w:t>CLDR-2022-0010002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59.75pt;height:35.25pt;width:156.95pt;z-index:251668480;mso-width-relative:page;mso-height-relative:page;" fillcolor="#FFFFFF [3201]" filled="t" stroked="f" coordsize="21600,21600" o:gfxdata="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7yXwtcA&#10;AAAMAQAADwAAAAAAAAABACAAAAAiAAAAZHJzL2Rvd25yZXYueG1sUEsBAhQAFAAAAAgAh07iQA1u&#10;ZZhZAgAAmwQAAA4AAAAAAAAAAQAgAAAAJgEAAGRycy9lMm9Eb2MueG1sUEsFBgAAAAAGAAYAWQEA&#10;APEFAAAAAA==&#10;">
                <v:fill on="t" focussize="0,0"/>
                <v:stroke on="f" weight="0.5pt"/>
                <v:imagedata o:title=""/>
                <o:lock v:ext="edit" aspectratio="f"/>
                <v:textbox>
                  <w:txbxContent>
                    <w:p>
                      <w:pPr>
                        <w:rPr>
                          <w:rFonts w:hint="eastAsia" w:ascii="黑体" w:hAnsi="黑体" w:eastAsia="黑体" w:cs="黑体"/>
                        </w:rPr>
                      </w:pPr>
                      <w:r>
                        <w:rPr>
                          <w:rFonts w:hint="eastAsia" w:ascii="黑体" w:hAnsi="黑体" w:eastAsia="黑体" w:cs="黑体"/>
                        </w:rPr>
                        <w:t>CLDR-2022-0010002</w:t>
                      </w:r>
                    </w:p>
                  </w:txbxContent>
                </v:textbox>
              </v:shape>
            </w:pict>
          </mc:Fallback>
        </mc:AlternateContent>
      </w:r>
    </w:p>
    <w:p>
      <w:pPr>
        <w:pStyle w:val="9"/>
        <w:keepNext w:val="0"/>
        <w:keepLines w:val="0"/>
        <w:pageBreakBefore w:val="0"/>
        <w:widowControl w:val="0"/>
        <w:kinsoku/>
        <w:wordWrap/>
        <w:overflowPunct/>
        <w:topLinePunct w:val="0"/>
        <w:autoSpaceDE/>
        <w:autoSpaceDN/>
        <w:bidi w:val="0"/>
        <w:adjustRightInd/>
        <w:snapToGrid/>
        <w:spacing w:line="578" w:lineRule="exact"/>
        <w:ind w:firstLine="881" w:firstLineChars="200"/>
        <w:jc w:val="center"/>
        <w:textAlignment w:val="auto"/>
        <w:rPr>
          <w:rFonts w:hint="eastAsia" w:ascii="文星标宋" w:hAnsi="文星标宋" w:eastAsia="文星标宋" w:cs="文星标宋"/>
          <w:b/>
          <w:bCs/>
          <w:color w:val="auto"/>
          <w:sz w:val="44"/>
          <w:szCs w:val="44"/>
          <w:lang w:eastAsia="zh-CN"/>
        </w:rPr>
      </w:pPr>
    </w:p>
    <w:p>
      <w:pPr>
        <w:pStyle w:val="9"/>
        <w:keepNext w:val="0"/>
        <w:keepLines w:val="0"/>
        <w:pageBreakBefore w:val="0"/>
        <w:widowControl w:val="0"/>
        <w:kinsoku/>
        <w:wordWrap/>
        <w:overflowPunct/>
        <w:topLinePunct w:val="0"/>
        <w:autoSpaceDE/>
        <w:autoSpaceDN/>
        <w:bidi w:val="0"/>
        <w:adjustRightInd/>
        <w:snapToGrid/>
        <w:spacing w:line="578" w:lineRule="exact"/>
        <w:ind w:firstLine="881" w:firstLineChars="200"/>
        <w:jc w:val="center"/>
        <w:textAlignment w:val="auto"/>
        <w:rPr>
          <w:rFonts w:hint="eastAsia" w:ascii="文星标宋" w:hAnsi="文星标宋" w:eastAsia="文星标宋" w:cs="文星标宋"/>
          <w:b/>
          <w:bCs/>
          <w:color w:val="auto"/>
          <w:sz w:val="44"/>
          <w:szCs w:val="44"/>
          <w:lang w:eastAsia="zh-CN"/>
        </w:rPr>
      </w:pPr>
    </w:p>
    <w:p>
      <w:pPr>
        <w:pStyle w:val="9"/>
        <w:keepNext w:val="0"/>
        <w:keepLines w:val="0"/>
        <w:pageBreakBefore w:val="0"/>
        <w:widowControl w:val="0"/>
        <w:kinsoku/>
        <w:wordWrap/>
        <w:overflowPunct/>
        <w:topLinePunct w:val="0"/>
        <w:autoSpaceDE/>
        <w:autoSpaceDN/>
        <w:bidi w:val="0"/>
        <w:adjustRightInd/>
        <w:snapToGrid/>
        <w:spacing w:line="578" w:lineRule="exact"/>
        <w:ind w:firstLine="881" w:firstLineChars="200"/>
        <w:jc w:val="center"/>
        <w:textAlignment w:val="auto"/>
        <w:rPr>
          <w:rFonts w:hint="eastAsia" w:ascii="文星标宋" w:hAnsi="文星标宋" w:eastAsia="文星标宋" w:cs="文星标宋"/>
          <w:b/>
          <w:bCs/>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乐政字〔202</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21</w:t>
      </w:r>
      <w:r>
        <w:rPr>
          <w:rFonts w:hint="eastAsia" w:ascii="仿宋_GB2312" w:hAnsi="仿宋_GB2312" w:eastAsia="仿宋_GB2312" w:cs="仿宋_GB2312"/>
          <w:b/>
          <w:bCs/>
          <w:color w:val="auto"/>
          <w:sz w:val="32"/>
          <w:szCs w:val="32"/>
        </w:rPr>
        <w:t>号</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文星标宋" w:hAnsi="文星标宋" w:eastAsia="文星标宋" w:cs="文星标宋"/>
          <w:b/>
          <w:bCs/>
          <w:color w:val="auto"/>
          <w:sz w:val="44"/>
          <w:szCs w:val="44"/>
        </w:rPr>
      </w:pPr>
      <w:r>
        <w:rPr>
          <w:rFonts w:hint="eastAsia" w:ascii="文星标宋" w:hAnsi="文星标宋" w:eastAsia="文星标宋" w:cs="文星标宋"/>
          <w:b/>
          <w:bCs/>
          <w:color w:val="auto"/>
          <w:sz w:val="44"/>
          <w:szCs w:val="44"/>
        </w:rPr>
        <w:t>昌乐县人民政府</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文星标宋" w:hAnsi="文星标宋" w:eastAsia="文星标宋" w:cs="文星标宋"/>
          <w:b/>
          <w:bCs/>
          <w:color w:val="auto"/>
          <w:sz w:val="44"/>
          <w:szCs w:val="44"/>
          <w:lang w:val="en-US" w:eastAsia="zh-CN"/>
        </w:rPr>
      </w:pPr>
      <w:r>
        <w:rPr>
          <w:rFonts w:hint="eastAsia" w:ascii="文星标宋" w:hAnsi="文星标宋" w:eastAsia="文星标宋" w:cs="文星标宋"/>
          <w:b/>
          <w:bCs/>
          <w:color w:val="auto"/>
          <w:sz w:val="44"/>
          <w:szCs w:val="44"/>
          <w:lang w:eastAsia="zh-CN"/>
        </w:rPr>
        <w:t>关于印发</w:t>
      </w:r>
      <w:r>
        <w:rPr>
          <w:rFonts w:hint="eastAsia" w:ascii="文星标宋" w:hAnsi="文星标宋" w:eastAsia="文星标宋" w:cs="文星标宋"/>
          <w:b/>
          <w:bCs/>
          <w:color w:val="auto"/>
          <w:sz w:val="44"/>
          <w:szCs w:val="44"/>
          <w:lang w:val="en-US" w:eastAsia="zh-CN"/>
        </w:rPr>
        <w:t>昌乐县中心城区声环境功能区</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文星标宋" w:hAnsi="文星标宋" w:eastAsia="文星标宋" w:cs="文星标宋"/>
          <w:b/>
          <w:bCs/>
          <w:color w:val="auto"/>
          <w:sz w:val="44"/>
          <w:szCs w:val="44"/>
          <w:lang w:eastAsia="zh-CN"/>
        </w:rPr>
      </w:pPr>
      <w:r>
        <w:rPr>
          <w:rFonts w:hint="eastAsia" w:ascii="文星标宋" w:hAnsi="文星标宋" w:eastAsia="文星标宋" w:cs="文星标宋"/>
          <w:b/>
          <w:bCs/>
          <w:color w:val="auto"/>
          <w:sz w:val="44"/>
          <w:szCs w:val="44"/>
          <w:lang w:val="en-US" w:eastAsia="zh-CN"/>
        </w:rPr>
        <w:t>划分方案</w:t>
      </w:r>
      <w:r>
        <w:rPr>
          <w:rFonts w:hint="eastAsia" w:ascii="文星标宋" w:hAnsi="文星标宋" w:eastAsia="文星标宋" w:cs="文星标宋"/>
          <w:b/>
          <w:bCs/>
          <w:color w:val="auto"/>
          <w:sz w:val="44"/>
          <w:szCs w:val="44"/>
          <w:lang w:eastAsia="zh-CN"/>
        </w:rPr>
        <w:t>的通知</w:t>
      </w:r>
    </w:p>
    <w:p>
      <w:pPr>
        <w:pStyle w:val="12"/>
        <w:keepNext w:val="0"/>
        <w:keepLines w:val="0"/>
        <w:pageBreakBefore w:val="0"/>
        <w:widowControl w:val="0"/>
        <w:kinsoku/>
        <w:wordWrap/>
        <w:overflowPunct/>
        <w:topLinePunct w:val="0"/>
        <w:autoSpaceDE/>
        <w:autoSpaceDN/>
        <w:bidi w:val="0"/>
        <w:adjustRightInd/>
        <w:spacing w:line="578" w:lineRule="exact"/>
        <w:textAlignment w:val="auto"/>
        <w:rPr>
          <w:rFonts w:hint="eastAsia"/>
          <w:b/>
          <w:bCs/>
          <w:color w:val="auto"/>
          <w:lang w:eastAsia="zh-CN"/>
        </w:rPr>
      </w:pPr>
    </w:p>
    <w:p>
      <w:pPr>
        <w:keepNext w:val="0"/>
        <w:keepLines w:val="0"/>
        <w:pageBreakBefore w:val="0"/>
        <w:widowControl w:val="0"/>
        <w:kinsoku/>
        <w:wordWrap/>
        <w:overflowPunct/>
        <w:topLinePunct w:val="0"/>
        <w:autoSpaceDE/>
        <w:autoSpaceDN/>
        <w:bidi w:val="0"/>
        <w:adjustRightInd/>
        <w:snapToGrid/>
        <w:spacing w:line="578" w:lineRule="exact"/>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各镇（街、区）人民政府（办事处、管委会、管理服务中心），县政府各部门、单位：</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昌乐县中心城区声环境功能区划分方案》</w:t>
      </w:r>
      <w:r>
        <w:rPr>
          <w:rFonts w:hint="eastAsia" w:ascii="仿宋_GB2312" w:hAnsi="仿宋_GB2312" w:eastAsia="仿宋_GB2312" w:cs="仿宋_GB2312"/>
          <w:b/>
          <w:bCs/>
          <w:color w:val="auto"/>
          <w:sz w:val="32"/>
          <w:szCs w:val="32"/>
        </w:rPr>
        <w:t>已经县政府</w:t>
      </w:r>
      <w:r>
        <w:rPr>
          <w:rFonts w:hint="eastAsia" w:ascii="仿宋_GB2312" w:hAnsi="仿宋_GB2312" w:eastAsia="仿宋_GB2312" w:cs="仿宋_GB2312"/>
          <w:b/>
          <w:bCs/>
          <w:color w:val="auto"/>
          <w:sz w:val="32"/>
          <w:szCs w:val="32"/>
          <w:lang w:val="en-US" w:eastAsia="zh-CN"/>
        </w:rPr>
        <w:t>研究</w:t>
      </w:r>
      <w:r>
        <w:rPr>
          <w:rFonts w:hint="eastAsia" w:ascii="仿宋_GB2312" w:hAnsi="仿宋_GB2312" w:eastAsia="仿宋_GB2312" w:cs="仿宋_GB2312"/>
          <w:b/>
          <w:bCs/>
          <w:color w:val="auto"/>
          <w:sz w:val="32"/>
          <w:szCs w:val="32"/>
        </w:rPr>
        <w:t>同意，现印发给你们，请认真组织实施。</w:t>
      </w:r>
    </w:p>
    <w:p>
      <w:pPr>
        <w:pStyle w:val="14"/>
        <w:keepNext w:val="0"/>
        <w:keepLines w:val="0"/>
        <w:pageBreakBefore w:val="0"/>
        <w:widowControl w:val="0"/>
        <w:kinsoku/>
        <w:wordWrap w:val="0"/>
        <w:overflowPunct/>
        <w:topLinePunct w:val="0"/>
        <w:autoSpaceDE/>
        <w:autoSpaceDN/>
        <w:bidi w:val="0"/>
        <w:adjustRightInd/>
        <w:snapToGrid/>
        <w:spacing w:before="0" w:beforeAutospacing="0" w:after="0" w:afterAutospacing="0" w:line="578" w:lineRule="exact"/>
        <w:jc w:val="both"/>
        <w:textAlignment w:val="auto"/>
        <w:rPr>
          <w:rFonts w:hint="eastAsia" w:ascii="仿宋_GB2312" w:hAnsi="仿宋_GB2312" w:eastAsia="仿宋_GB2312" w:cs="仿宋_GB2312"/>
          <w:b/>
          <w:bCs/>
          <w:color w:val="auto"/>
          <w:sz w:val="32"/>
          <w:szCs w:val="32"/>
        </w:rPr>
      </w:pPr>
    </w:p>
    <w:p>
      <w:pPr>
        <w:pStyle w:val="14"/>
        <w:keepNext w:val="0"/>
        <w:keepLines w:val="0"/>
        <w:pageBreakBefore w:val="0"/>
        <w:widowControl w:val="0"/>
        <w:kinsoku/>
        <w:wordWrap w:val="0"/>
        <w:overflowPunct/>
        <w:topLinePunct w:val="0"/>
        <w:autoSpaceDE/>
        <w:autoSpaceDN/>
        <w:bidi w:val="0"/>
        <w:adjustRightInd/>
        <w:snapToGrid/>
        <w:spacing w:before="0" w:beforeAutospacing="0" w:after="0" w:afterAutospacing="0" w:line="578" w:lineRule="exact"/>
        <w:jc w:val="both"/>
        <w:textAlignment w:val="auto"/>
        <w:rPr>
          <w:rFonts w:hint="eastAsia" w:ascii="仿宋_GB2312" w:hAnsi="仿宋_GB2312" w:eastAsia="仿宋_GB2312" w:cs="仿宋_GB2312"/>
          <w:b/>
          <w:bCs/>
          <w:color w:val="auto"/>
          <w:sz w:val="32"/>
          <w:szCs w:val="32"/>
        </w:rPr>
      </w:pPr>
    </w:p>
    <w:p>
      <w:pPr>
        <w:pStyle w:val="14"/>
        <w:keepNext w:val="0"/>
        <w:keepLines w:val="0"/>
        <w:pageBreakBefore w:val="0"/>
        <w:widowControl w:val="0"/>
        <w:kinsoku/>
        <w:wordWrap w:val="0"/>
        <w:overflowPunct/>
        <w:topLinePunct w:val="0"/>
        <w:autoSpaceDE/>
        <w:autoSpaceDN/>
        <w:bidi w:val="0"/>
        <w:adjustRightInd/>
        <w:snapToGrid/>
        <w:spacing w:before="0" w:beforeAutospacing="0" w:after="0" w:afterAutospacing="0" w:line="578" w:lineRule="exact"/>
        <w:jc w:val="center"/>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sz w:val="32"/>
          <w:szCs w:val="32"/>
        </w:rPr>
        <w:t>昌乐县人民政府</w:t>
      </w:r>
      <w:r>
        <w:rPr>
          <w:rFonts w:hint="eastAsia" w:ascii="仿宋_GB2312" w:hAnsi="仿宋_GB2312" w:eastAsia="仿宋_GB2312" w:cs="仿宋_GB2312"/>
          <w:b/>
          <w:bCs/>
          <w:color w:val="auto"/>
          <w:sz w:val="32"/>
          <w:szCs w:val="32"/>
          <w:lang w:val="en-US" w:eastAsia="zh-CN"/>
        </w:rPr>
        <w:t xml:space="preserve">      </w:t>
      </w:r>
    </w:p>
    <w:p>
      <w:pPr>
        <w:pStyle w:val="14"/>
        <w:keepNext w:val="0"/>
        <w:keepLines w:val="0"/>
        <w:pageBreakBefore w:val="0"/>
        <w:widowControl w:val="0"/>
        <w:kinsoku/>
        <w:wordWrap w:val="0"/>
        <w:overflowPunct/>
        <w:topLinePunct w:val="0"/>
        <w:autoSpaceDE/>
        <w:autoSpaceDN/>
        <w:bidi w:val="0"/>
        <w:adjustRightInd/>
        <w:snapToGrid/>
        <w:spacing w:before="0" w:beforeAutospacing="0" w:after="0" w:afterAutospacing="0" w:line="578" w:lineRule="exact"/>
        <w:jc w:val="center"/>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 xml:space="preserve">2年9月2日        </w:t>
      </w:r>
    </w:p>
    <w:p>
      <w:pPr>
        <w:keepNext w:val="0"/>
        <w:keepLines w:val="0"/>
        <w:pageBreakBefore w:val="0"/>
        <w:widowControl w:val="0"/>
        <w:kinsoku/>
        <w:overflowPunct/>
        <w:topLinePunct w:val="0"/>
        <w:bidi w:val="0"/>
        <w:spacing w:before="62" w:beforeLines="20" w:line="578" w:lineRule="exact"/>
        <w:jc w:val="center"/>
        <w:rPr>
          <w:rFonts w:ascii="楷体_GB2312" w:eastAsia="楷体_GB2312"/>
          <w:b/>
          <w:bCs/>
          <w:color w:val="auto"/>
          <w:sz w:val="42"/>
          <w:szCs w:val="42"/>
        </w:rPr>
        <w:sectPr>
          <w:footerReference r:id="rId5" w:type="first"/>
          <w:headerReference r:id="rId3" w:type="default"/>
          <w:footerReference r:id="rId4" w:type="default"/>
          <w:pgSz w:w="11906" w:h="16838"/>
          <w:pgMar w:top="2098" w:right="1417" w:bottom="1984" w:left="1417" w:header="851" w:footer="1304" w:gutter="0"/>
          <w:pgNumType w:fmt="numberInDash" w:start="1"/>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78" w:lineRule="exact"/>
        <w:ind w:left="0" w:leftChars="0"/>
        <w:jc w:val="center"/>
        <w:textAlignment w:val="auto"/>
        <w:rPr>
          <w:rFonts w:hint="eastAsia" w:ascii="文星标宋" w:hAnsi="文星标宋" w:eastAsia="文星标宋" w:cs="文星标宋"/>
          <w:b/>
          <w:bCs/>
          <w:color w:val="000000"/>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val="0"/>
        <w:spacing w:line="578" w:lineRule="exact"/>
        <w:ind w:left="0" w:leftChars="0"/>
        <w:jc w:val="center"/>
        <w:textAlignment w:val="auto"/>
        <w:rPr>
          <w:rFonts w:hint="eastAsia" w:ascii="文星标宋" w:hAnsi="文星标宋" w:eastAsia="文星标宋" w:cs="文星标宋"/>
          <w:b/>
          <w:bCs/>
          <w:color w:val="000000"/>
          <w:kern w:val="0"/>
          <w:sz w:val="44"/>
          <w:szCs w:val="44"/>
          <w:lang w:val="en-US" w:eastAsia="zh-CN" w:bidi="ar"/>
        </w:rPr>
      </w:pPr>
      <w:r>
        <w:rPr>
          <w:rFonts w:hint="eastAsia" w:ascii="文星标宋" w:hAnsi="文星标宋" w:eastAsia="文星标宋" w:cs="文星标宋"/>
          <w:b/>
          <w:bCs/>
          <w:color w:val="000000"/>
          <w:kern w:val="0"/>
          <w:sz w:val="44"/>
          <w:szCs w:val="44"/>
          <w:lang w:val="en-US" w:eastAsia="zh-CN" w:bidi="ar"/>
        </w:rPr>
        <w:t>昌乐县中心城区声环境功能区划分方案</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ascii="Times New Roman" w:hAnsi="Times New Roman" w:eastAsia="仿宋"/>
          <w:b/>
          <w:bCs/>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为进一步规范环境噪声管理，强化噪声污染防治，改善城区声环境质量，根据《中华人民共和国噪声污染防治法》</w:t>
      </w:r>
      <w:r>
        <w:rPr>
          <w:rFonts w:hint="eastAsia" w:ascii="仿宋_GB2312" w:hAnsi="仿宋_GB2312" w:eastAsia="仿宋_GB2312" w:cs="仿宋_GB2312"/>
          <w:b/>
          <w:bCs/>
          <w:sz w:val="32"/>
          <w:szCs w:val="32"/>
          <w:lang w:val="en-US" w:eastAsia="zh-CN"/>
        </w:rPr>
        <w:t>和</w:t>
      </w:r>
      <w:r>
        <w:rPr>
          <w:rFonts w:hint="eastAsia" w:ascii="仿宋_GB2312" w:hAnsi="仿宋_GB2312" w:eastAsia="仿宋_GB2312" w:cs="仿宋_GB2312"/>
          <w:b/>
          <w:bCs/>
          <w:sz w:val="32"/>
          <w:szCs w:val="32"/>
        </w:rPr>
        <w:t>《声环境功能区划分技术规范》(GB/T15190-2014)，</w:t>
      </w:r>
      <w:r>
        <w:rPr>
          <w:rStyle w:val="28"/>
          <w:rFonts w:hint="eastAsia" w:ascii="仿宋_GB2312" w:hAnsi="仿宋_GB2312" w:eastAsia="仿宋_GB2312" w:cs="仿宋_GB2312"/>
          <w:b/>
          <w:bCs/>
          <w:sz w:val="32"/>
          <w:szCs w:val="32"/>
          <w:shd w:val="clear" w:color="auto" w:fill="FFFFFF"/>
        </w:rPr>
        <w:t>结合县城中心城区发展规划和建设现状，</w:t>
      </w:r>
      <w:r>
        <w:rPr>
          <w:rFonts w:hint="eastAsia" w:ascii="仿宋_GB2312" w:hAnsi="仿宋_GB2312" w:eastAsia="仿宋_GB2312" w:cs="仿宋_GB2312"/>
          <w:b/>
          <w:bCs/>
          <w:sz w:val="32"/>
          <w:szCs w:val="32"/>
        </w:rPr>
        <w:t>制订《</w:t>
      </w:r>
      <w:r>
        <w:rPr>
          <w:rStyle w:val="28"/>
          <w:rFonts w:hint="eastAsia" w:ascii="仿宋_GB2312" w:hAnsi="仿宋_GB2312" w:eastAsia="仿宋_GB2312" w:cs="仿宋_GB2312"/>
          <w:b/>
          <w:bCs/>
          <w:sz w:val="32"/>
          <w:szCs w:val="32"/>
          <w:shd w:val="clear" w:color="auto" w:fill="FFFFFF"/>
        </w:rPr>
        <w:t>昌乐县中心城区声环境功能区划分方案</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bidi w:val="0"/>
        <w:adjustRightInd w:val="0"/>
        <w:snapToGrid w:val="0"/>
        <w:spacing w:line="578" w:lineRule="exact"/>
        <w:ind w:left="0" w:leftChars="0" w:firstLine="643" w:firstLineChars="200"/>
        <w:textAlignment w:val="auto"/>
        <w:outlineLvl w:val="0"/>
        <w:rPr>
          <w:rFonts w:ascii="Times New Roman" w:hAnsi="Times New Roman" w:eastAsia="黑体"/>
          <w:b/>
          <w:bCs/>
          <w:sz w:val="32"/>
          <w:szCs w:val="32"/>
        </w:rPr>
      </w:pPr>
      <w:r>
        <w:rPr>
          <w:rFonts w:ascii="Times New Roman" w:hAnsi="Times New Roman" w:eastAsia="黑体"/>
          <w:b/>
          <w:bCs/>
          <w:sz w:val="32"/>
          <w:szCs w:val="32"/>
        </w:rPr>
        <w:t>一、划分依据</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《中华人民共和国噪声污染防治法》；</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pacing w:val="17"/>
          <w:sz w:val="32"/>
          <w:szCs w:val="32"/>
          <w:lang w:eastAsia="zh-CN"/>
        </w:rPr>
        <w:t>．</w:t>
      </w:r>
      <w:r>
        <w:rPr>
          <w:rFonts w:hint="eastAsia" w:ascii="仿宋_GB2312" w:hAnsi="仿宋_GB2312" w:eastAsia="仿宋_GB2312" w:cs="仿宋_GB2312"/>
          <w:b/>
          <w:bCs/>
          <w:spacing w:val="17"/>
          <w:sz w:val="32"/>
          <w:szCs w:val="32"/>
          <w:lang w:val="en-US" w:eastAsia="zh-CN"/>
        </w:rPr>
        <w:t xml:space="preserve"> </w:t>
      </w:r>
      <w:r>
        <w:rPr>
          <w:rFonts w:hint="eastAsia" w:ascii="仿宋_GB2312" w:hAnsi="仿宋_GB2312" w:eastAsia="仿宋_GB2312" w:cs="仿宋_GB2312"/>
          <w:b/>
          <w:bCs/>
          <w:sz w:val="32"/>
          <w:szCs w:val="32"/>
        </w:rPr>
        <w:t>《关于加强和规范声环境功能区划分管理工作的通知》(环</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1285" w:firstLineChars="4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办大气函〔2017〕1709号)；</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《声环境质量标准》(GB3096－2008)；</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《声环境功能区划分技术规范》(GB/T15190-2014)；</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《城市用地分类与规则建设用地标准》(GB50137-2011)；</w:t>
      </w:r>
    </w:p>
    <w:p>
      <w:pPr>
        <w:keepNext w:val="0"/>
        <w:keepLines w:val="0"/>
        <w:pageBreakBefore w:val="0"/>
        <w:widowControl w:val="0"/>
        <w:kinsoku/>
        <w:wordWrap/>
        <w:overflowPunct/>
        <w:topLinePunct w:val="0"/>
        <w:autoSpaceDE w:val="0"/>
        <w:autoSpaceDN w:val="0"/>
        <w:bidi w:val="0"/>
        <w:adjustRightInd w:val="0"/>
        <w:snapToGrid w:val="0"/>
        <w:spacing w:line="578" w:lineRule="exact"/>
        <w:ind w:firstLine="640" w:firstLineChars="0"/>
        <w:textAlignment w:val="auto"/>
        <w:outlineLvl w:val="9"/>
        <w:rPr>
          <w:rFonts w:ascii="Times New Roman" w:hAnsi="Times New Roman" w:eastAsia="仿宋"/>
          <w:b/>
          <w:bCs/>
          <w:sz w:val="32"/>
          <w:szCs w:val="32"/>
        </w:rPr>
      </w:pPr>
      <w:r>
        <w:rPr>
          <w:rFonts w:ascii="Times New Roman" w:hAnsi="Times New Roman" w:eastAsia="黑体"/>
          <w:b/>
          <w:bCs/>
          <w:sz w:val="32"/>
          <w:szCs w:val="32"/>
        </w:rPr>
        <w:t>二、划分原则</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1</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保护环境与经济社会发展相统一。</w:t>
      </w:r>
      <w:r>
        <w:rPr>
          <w:rFonts w:hint="eastAsia" w:ascii="仿宋_GB2312" w:hAnsi="仿宋_GB2312" w:eastAsia="仿宋_GB2312" w:cs="仿宋_GB2312"/>
          <w:b/>
          <w:bCs/>
          <w:sz w:val="32"/>
          <w:szCs w:val="32"/>
        </w:rPr>
        <w:t>有效地控制噪声污染的程度和范围，提高声环境质量，保障城市居民生活、学习和工作场所的安静。</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2</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区划与现状相结合。</w:t>
      </w:r>
      <w:r>
        <w:rPr>
          <w:rFonts w:hint="eastAsia" w:ascii="仿宋_GB2312" w:hAnsi="仿宋_GB2312" w:eastAsia="仿宋_GB2312" w:cs="仿宋_GB2312"/>
          <w:b/>
          <w:bCs/>
          <w:sz w:val="32"/>
          <w:szCs w:val="32"/>
        </w:rPr>
        <w:t>以城市总体规划为指导，按区域现状和规划用地的主导功能确定噪声适用区域。在不违背区域主导功能的前提下，</w:t>
      </w:r>
      <w:r>
        <w:rPr>
          <w:rFonts w:hint="eastAsia" w:ascii="仿宋_GB2312" w:hAnsi="仿宋_GB2312" w:eastAsia="仿宋_GB2312" w:cs="仿宋_GB2312"/>
          <w:b/>
          <w:bCs/>
          <w:sz w:val="32"/>
          <w:szCs w:val="32"/>
          <w:lang w:val="en-US" w:eastAsia="zh-CN"/>
        </w:rPr>
        <w:t>基</w:t>
      </w:r>
      <w:r>
        <w:rPr>
          <w:rFonts w:hint="eastAsia" w:ascii="仿宋_GB2312" w:hAnsi="仿宋_GB2312" w:eastAsia="仿宋_GB2312" w:cs="仿宋_GB2312"/>
          <w:b/>
          <w:bCs/>
          <w:sz w:val="32"/>
          <w:szCs w:val="32"/>
        </w:rPr>
        <w:t>于城市规划布局调整</w:t>
      </w:r>
      <w:r>
        <w:rPr>
          <w:rFonts w:hint="eastAsia" w:ascii="仿宋_GB2312" w:hAnsi="仿宋_GB2312" w:eastAsia="仿宋_GB2312" w:cs="仿宋_GB2312"/>
          <w:b/>
          <w:bCs/>
          <w:sz w:val="32"/>
          <w:szCs w:val="32"/>
          <w:lang w:val="en-US" w:eastAsia="zh-CN"/>
        </w:rPr>
        <w:t>等</w:t>
      </w:r>
      <w:r>
        <w:rPr>
          <w:rFonts w:hint="eastAsia" w:ascii="仿宋_GB2312" w:hAnsi="仿宋_GB2312" w:eastAsia="仿宋_GB2312" w:cs="仿宋_GB2312"/>
          <w:b/>
          <w:bCs/>
          <w:sz w:val="32"/>
          <w:szCs w:val="32"/>
        </w:rPr>
        <w:t>客观原因，对个别地带做特殊处理，如大区划分、小区管理等。</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3</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便于管理，促进噪声治理。</w:t>
      </w:r>
      <w:r>
        <w:rPr>
          <w:rFonts w:hint="eastAsia" w:ascii="仿宋_GB2312" w:hAnsi="仿宋_GB2312" w:eastAsia="仿宋_GB2312" w:cs="仿宋_GB2312"/>
          <w:b/>
          <w:bCs/>
          <w:sz w:val="32"/>
          <w:szCs w:val="32"/>
        </w:rPr>
        <w:t>充分考虑城市噪声污染现状，宜紧不宜松，便于城市统一管理和环境噪声综合整治，有效控制噪声污染，提高声环境质量。</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4</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以规划为依据。</w:t>
      </w:r>
      <w:r>
        <w:rPr>
          <w:rStyle w:val="28"/>
          <w:rFonts w:hint="eastAsia" w:ascii="仿宋_GB2312" w:hAnsi="仿宋_GB2312" w:eastAsia="仿宋_GB2312" w:cs="仿宋_GB2312"/>
          <w:b/>
          <w:bCs/>
          <w:sz w:val="32"/>
          <w:szCs w:val="32"/>
          <w:shd w:val="clear" w:color="auto" w:fill="FFFFFF"/>
        </w:rPr>
        <w:t>依据昌乐县国土空间总体规划，按规划用地的主导功能、用地现状确定区域声环境功能区划。</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5</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科学划分。</w:t>
      </w:r>
      <w:r>
        <w:rPr>
          <w:rFonts w:hint="eastAsia" w:ascii="仿宋_GB2312" w:hAnsi="仿宋_GB2312" w:eastAsia="仿宋_GB2312" w:cs="仿宋_GB2312"/>
          <w:b/>
          <w:bCs/>
          <w:sz w:val="32"/>
          <w:szCs w:val="32"/>
        </w:rPr>
        <w:t>既严格遵守《声环境功能区划分技术规范》(GB/T15190-2014)，又充分结合城市实际情况，</w:t>
      </w:r>
      <w:r>
        <w:rPr>
          <w:rFonts w:hint="eastAsia" w:ascii="仿宋_GB2312" w:hAnsi="仿宋_GB2312" w:eastAsia="仿宋_GB2312" w:cs="仿宋_GB2312"/>
          <w:b/>
          <w:bCs/>
          <w:sz w:val="32"/>
          <w:szCs w:val="32"/>
          <w:lang w:val="en-US" w:eastAsia="zh-CN"/>
        </w:rPr>
        <w:t>确保</w:t>
      </w:r>
      <w:r>
        <w:rPr>
          <w:rFonts w:hint="eastAsia" w:ascii="仿宋_GB2312" w:hAnsi="仿宋_GB2312" w:eastAsia="仿宋_GB2312" w:cs="仿宋_GB2312"/>
          <w:b/>
          <w:bCs/>
          <w:sz w:val="32"/>
          <w:szCs w:val="32"/>
        </w:rPr>
        <w:t>区划科学合理，促进经济、环境、社会协调发展。</w:t>
      </w:r>
    </w:p>
    <w:p>
      <w:pPr>
        <w:keepNext w:val="0"/>
        <w:keepLines w:val="0"/>
        <w:pageBreakBefore w:val="0"/>
        <w:widowControl w:val="0"/>
        <w:kinsoku/>
        <w:wordWrap/>
        <w:overflowPunct/>
        <w:topLinePunct w:val="0"/>
        <w:bidi w:val="0"/>
        <w:adjustRightInd w:val="0"/>
        <w:snapToGrid w:val="0"/>
        <w:spacing w:line="578" w:lineRule="exact"/>
        <w:ind w:left="0" w:leftChars="0" w:firstLine="643" w:firstLineChars="200"/>
        <w:textAlignment w:val="auto"/>
        <w:outlineLvl w:val="0"/>
        <w:rPr>
          <w:rStyle w:val="28"/>
          <w:rFonts w:ascii="Times New Roman" w:hAnsi="Times New Roman" w:eastAsia="仿宋"/>
          <w:b/>
          <w:bCs/>
          <w:sz w:val="32"/>
          <w:szCs w:val="32"/>
          <w:shd w:val="clear" w:color="auto" w:fill="FFFFFF"/>
        </w:rPr>
      </w:pPr>
      <w:r>
        <w:rPr>
          <w:rStyle w:val="28"/>
          <w:rFonts w:ascii="Times New Roman" w:hAnsi="Times New Roman" w:eastAsia="黑体"/>
          <w:b/>
          <w:bCs/>
          <w:sz w:val="32"/>
          <w:szCs w:val="32"/>
          <w:shd w:val="clear" w:color="auto" w:fill="FFFFFF"/>
        </w:rPr>
        <w:t>三、适用范围</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本方案适用于昌乐县中心城区的声环境管理。区域范围：宝都街道、宝城街道、五图街道、朱刘街道的</w:t>
      </w:r>
      <w:r>
        <w:rPr>
          <w:rFonts w:hint="eastAsia" w:ascii="仿宋_GB2312" w:hAnsi="仿宋_GB2312" w:eastAsia="仿宋_GB2312" w:cs="仿宋_GB2312"/>
          <w:b/>
          <w:bCs/>
          <w:sz w:val="32"/>
          <w:szCs w:val="32"/>
          <w:lang w:val="en-US" w:eastAsia="zh-CN"/>
        </w:rPr>
        <w:t>城区部分</w:t>
      </w:r>
      <w:r>
        <w:rPr>
          <w:rFonts w:hint="eastAsia" w:ascii="仿宋_GB2312" w:hAnsi="仿宋_GB2312" w:eastAsia="仿宋_GB2312" w:cs="仿宋_GB2312"/>
          <w:b/>
          <w:bCs/>
          <w:sz w:val="32"/>
          <w:szCs w:val="32"/>
        </w:rPr>
        <w:t>，总面积约为83.3km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，其中各类声环境功能区总面积约74.9km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w:t>
      </w:r>
    </w:p>
    <w:p>
      <w:pPr>
        <w:keepNext w:val="0"/>
        <w:keepLines w:val="0"/>
        <w:pageBreakBefore w:val="0"/>
        <w:widowControl w:val="0"/>
        <w:kinsoku/>
        <w:wordWrap/>
        <w:overflowPunct/>
        <w:topLinePunct w:val="0"/>
        <w:bidi w:val="0"/>
        <w:adjustRightInd w:val="0"/>
        <w:snapToGrid w:val="0"/>
        <w:spacing w:line="578" w:lineRule="exact"/>
        <w:ind w:left="0" w:leftChars="0" w:firstLine="643" w:firstLineChars="200"/>
        <w:textAlignment w:val="auto"/>
        <w:outlineLvl w:val="0"/>
        <w:rPr>
          <w:rStyle w:val="28"/>
          <w:rFonts w:ascii="Times New Roman" w:hAnsi="Times New Roman" w:eastAsia="黑体"/>
          <w:b/>
          <w:bCs/>
          <w:sz w:val="32"/>
          <w:szCs w:val="32"/>
          <w:shd w:val="clear" w:color="auto" w:fill="FFFFFF"/>
        </w:rPr>
      </w:pPr>
      <w:r>
        <w:rPr>
          <w:rStyle w:val="28"/>
          <w:rFonts w:ascii="Times New Roman" w:hAnsi="Times New Roman" w:eastAsia="黑体"/>
          <w:b/>
          <w:bCs/>
          <w:sz w:val="32"/>
          <w:szCs w:val="32"/>
          <w:shd w:val="clear" w:color="auto" w:fill="FFFFFF"/>
        </w:rPr>
        <w:t>四、声环境功能区类别及噪声限值</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1</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声环境功能区类别</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0类声环境功能区：指康复疗养区等特别需要安静的区域。</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1类声环境功能区：指以居民住宅、医疗卫生、文化教育科研设计、行政办公为主要功能，需要保持安静的区域。  </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2类声环境功能区：指以商业金融、集市贸易为主要功能，或者居住、商业、工业混杂，需要维护住宅安静的区域。</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3类声环境功能区：指以工业生产、仓储物流为主要功能，需要防止工业噪声对周围环境产生严重影响的区域。</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类声环境功能区：指交通干线两侧一定距离之内，需要防止交通噪声对周围环境产生严重影响的区域，以及公共交通枢纽和铁路场站。包括4a类和4b类两种类型。4a类为高速公路、一级公路、二级公路、城市快速路、城市主干路、城市次干路两侧区域；4b类为铁路干线两侧区域。</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2</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环境噪声限值</w:t>
      </w:r>
    </w:p>
    <w:p>
      <w:pPr>
        <w:keepNext w:val="0"/>
        <w:keepLines w:val="0"/>
        <w:pageBreakBefore w:val="0"/>
        <w:widowControl w:val="0"/>
        <w:kinsoku/>
        <w:wordWrap/>
        <w:overflowPunct/>
        <w:topLinePunct w:val="0"/>
        <w:autoSpaceDE w:val="0"/>
        <w:autoSpaceDN w:val="0"/>
        <w:bidi w:val="0"/>
        <w:adjustRightInd w:val="0"/>
        <w:snapToGrid w:val="0"/>
        <w:spacing w:line="578" w:lineRule="exact"/>
        <w:ind w:left="0" w:leftChars="0"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各类声环境功能区适用表</w:t>
      </w:r>
      <w:r>
        <w:rPr>
          <w:rFonts w:hint="eastAsia" w:ascii="仿宋_GB2312" w:hAnsi="仿宋_GB2312" w:eastAsia="仿宋_GB2312" w:cs="仿宋_GB2312"/>
          <w:b/>
          <w:bCs/>
          <w:sz w:val="32"/>
          <w:szCs w:val="32"/>
          <w:lang w:val="en-US" w:eastAsia="zh-CN"/>
        </w:rPr>
        <w:t>１</w:t>
      </w:r>
      <w:r>
        <w:rPr>
          <w:rFonts w:hint="eastAsia" w:ascii="仿宋_GB2312" w:hAnsi="仿宋_GB2312" w:eastAsia="仿宋_GB2312" w:cs="仿宋_GB2312"/>
          <w:b/>
          <w:bCs/>
          <w:sz w:val="32"/>
          <w:szCs w:val="32"/>
        </w:rPr>
        <w:t>规定的环境噪声等效声级限值。</w:t>
      </w:r>
    </w:p>
    <w:p>
      <w:pPr>
        <w:keepNext w:val="0"/>
        <w:keepLines w:val="0"/>
        <w:pageBreakBefore w:val="0"/>
        <w:widowControl w:val="0"/>
        <w:kinsoku/>
        <w:topLinePunct w:val="0"/>
        <w:bidi w:val="0"/>
        <w:adjustRightInd w:val="0"/>
        <w:snapToGrid w:val="0"/>
        <w:spacing w:line="560" w:lineRule="exact"/>
        <w:ind w:firstLine="0"/>
        <w:jc w:val="center"/>
        <w:rPr>
          <w:rFonts w:hint="eastAsia" w:ascii="仿宋_GB2312" w:hAnsi="仿宋_GB2312" w:eastAsia="仿宋_GB2312" w:cs="仿宋_GB2312"/>
          <w:b/>
          <w:bCs/>
          <w:kern w:val="0"/>
          <w:sz w:val="28"/>
          <w:szCs w:val="28"/>
          <w:lang w:bidi="ar"/>
        </w:rPr>
      </w:pPr>
      <w:r>
        <w:rPr>
          <w:rFonts w:hint="eastAsia" w:ascii="黑体" w:hAnsi="黑体" w:eastAsia="黑体" w:cs="黑体"/>
          <w:b/>
          <w:bCs/>
          <w:kern w:val="0"/>
          <w:sz w:val="28"/>
          <w:szCs w:val="28"/>
          <w:lang w:bidi="ar"/>
        </w:rPr>
        <w:t xml:space="preserve">表1  环境噪声限值 </w:t>
      </w:r>
      <w:r>
        <w:rPr>
          <w:rFonts w:ascii="Times New Roman" w:hAnsi="Times New Roman" w:eastAsia="宋体"/>
          <w:b/>
          <w:bCs/>
          <w:kern w:val="0"/>
          <w:sz w:val="28"/>
          <w:szCs w:val="28"/>
          <w:lang w:bidi="ar"/>
        </w:rPr>
        <w:t xml:space="preserve"> </w:t>
      </w:r>
      <w:r>
        <w:rPr>
          <w:rFonts w:hint="eastAsia" w:ascii="仿宋_GB2312" w:hAnsi="仿宋_GB2312" w:eastAsia="仿宋_GB2312" w:cs="仿宋_GB2312"/>
          <w:b/>
          <w:bCs/>
          <w:kern w:val="0"/>
          <w:sz w:val="21"/>
          <w:szCs w:val="21"/>
          <w:lang w:bidi="ar"/>
        </w:rPr>
        <w:t>单位：dB（A）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624"/>
        <w:gridCol w:w="2670"/>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814" w:type="dxa"/>
            <w:gridSpan w:val="2"/>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sz w:val="24"/>
                <w:szCs w:val="24"/>
              </w:rPr>
            </w:pPr>
            <w:r>
              <w:rPr>
                <w:rFonts w:hint="eastAsia" w:ascii="黑体" w:hAnsi="黑体" w:eastAsia="黑体" w:cs="黑体"/>
                <w:b/>
                <w:bCs/>
                <w:sz w:val="24"/>
                <w:szCs w:val="24"/>
              </w:rPr>
              <w:t>声环境功能区类别</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sz w:val="24"/>
                <w:szCs w:val="24"/>
              </w:rPr>
            </w:pPr>
            <w:r>
              <w:rPr>
                <w:rFonts w:hint="eastAsia" w:ascii="黑体" w:hAnsi="黑体" w:eastAsia="黑体" w:cs="黑体"/>
                <w:b/>
                <w:bCs/>
                <w:sz w:val="24"/>
                <w:szCs w:val="24"/>
              </w:rPr>
              <w:t>昼间</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sz w:val="24"/>
                <w:szCs w:val="24"/>
              </w:rPr>
            </w:pPr>
            <w:r>
              <w:rPr>
                <w:rFonts w:hint="eastAsia" w:ascii="黑体" w:hAnsi="黑体" w:eastAsia="黑体" w:cs="黑体"/>
                <w:b/>
                <w:bCs/>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814" w:type="dxa"/>
            <w:gridSpan w:val="2"/>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0类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50</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814" w:type="dxa"/>
            <w:gridSpan w:val="2"/>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55</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14" w:type="dxa"/>
            <w:gridSpan w:val="2"/>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60</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14" w:type="dxa"/>
            <w:gridSpan w:val="2"/>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65</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90" w:type="dxa"/>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4类</w:t>
            </w:r>
          </w:p>
        </w:tc>
        <w:tc>
          <w:tcPr>
            <w:tcW w:w="1624"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4a类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70</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90" w:type="dxa"/>
            <w:vMerge w:val="continue"/>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p>
        </w:tc>
        <w:tc>
          <w:tcPr>
            <w:tcW w:w="1624"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4b类</w:t>
            </w:r>
          </w:p>
        </w:tc>
        <w:tc>
          <w:tcPr>
            <w:tcW w:w="2670"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70</w:t>
            </w:r>
          </w:p>
        </w:tc>
        <w:tc>
          <w:tcPr>
            <w:tcW w:w="2779" w:type="dxa"/>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60</w:t>
            </w:r>
          </w:p>
        </w:tc>
      </w:tr>
    </w:tbl>
    <w:p>
      <w:pPr>
        <w:keepNext w:val="0"/>
        <w:keepLines w:val="0"/>
        <w:pageBreakBefore w:val="0"/>
        <w:widowControl w:val="0"/>
        <w:kinsoku/>
        <w:wordWrap/>
        <w:overflowPunct/>
        <w:topLinePunct w:val="0"/>
        <w:autoSpaceDE/>
        <w:autoSpaceDN/>
        <w:bidi w:val="0"/>
        <w:adjustRightInd w:val="0"/>
        <w:snapToGrid w:val="0"/>
        <w:ind w:left="0" w:leftChars="0" w:firstLine="482" w:firstLineChars="200"/>
        <w:rPr>
          <w:rFonts w:hint="eastAsia" w:ascii="仿宋_GB2312" w:hAnsi="仿宋_GB2312" w:eastAsia="仿宋_GB2312" w:cs="仿宋_GB2312"/>
          <w:b/>
          <w:bCs/>
          <w:kern w:val="0"/>
          <w:sz w:val="24"/>
          <w:szCs w:val="24"/>
          <w:lang w:bidi="ar"/>
        </w:rPr>
      </w:pPr>
      <w:r>
        <w:rPr>
          <w:rFonts w:hint="eastAsia" w:ascii="仿宋_GB2312" w:hAnsi="仿宋_GB2312" w:eastAsia="仿宋_GB2312" w:cs="仿宋_GB2312"/>
          <w:b/>
          <w:bCs/>
          <w:kern w:val="0"/>
          <w:sz w:val="24"/>
          <w:szCs w:val="24"/>
          <w:lang w:bidi="ar"/>
        </w:rPr>
        <w:t>备注：（1）昼间是指6:00至22:00之间的时段，夜间是指22:00至次日6:00之间的时段。</w:t>
      </w:r>
    </w:p>
    <w:p>
      <w:pPr>
        <w:pStyle w:val="16"/>
        <w:keepNext w:val="0"/>
        <w:keepLines w:val="0"/>
        <w:pageBreakBefore w:val="0"/>
        <w:widowControl w:val="0"/>
        <w:tabs>
          <w:tab w:val="left" w:pos="0"/>
        </w:tabs>
        <w:kinsoku/>
        <w:wordWrap/>
        <w:overflowPunct/>
        <w:topLinePunct w:val="0"/>
        <w:autoSpaceDE/>
        <w:autoSpaceDN/>
        <w:bidi w:val="0"/>
        <w:spacing w:after="0" w:afterLines="0"/>
        <w:ind w:left="0" w:leftChars="0" w:firstLine="480"/>
        <w:rPr>
          <w:rFonts w:hint="eastAsia" w:ascii="仿宋_GB2312" w:hAnsi="仿宋_GB2312" w:eastAsia="仿宋_GB2312" w:cs="仿宋_GB2312"/>
          <w:b/>
          <w:bCs/>
          <w:snapToGrid/>
          <w:kern w:val="0"/>
          <w:sz w:val="24"/>
          <w:szCs w:val="24"/>
          <w:lang w:bidi="ar"/>
        </w:rPr>
      </w:pPr>
      <w:r>
        <w:rPr>
          <w:rFonts w:hint="eastAsia" w:ascii="仿宋_GB2312" w:hAnsi="仿宋_GB2312" w:eastAsia="仿宋_GB2312" w:cs="仿宋_GB2312"/>
          <w:b/>
          <w:bCs/>
          <w:snapToGrid/>
          <w:kern w:val="0"/>
          <w:sz w:val="24"/>
          <w:szCs w:val="24"/>
          <w:lang w:bidi="ar"/>
        </w:rPr>
        <w:t>（2）表中4b类声环境功能区环境噪声限值，适用于2011年1月1日起环境影响评价文件通过审批的新建铁路（含新开廊道的增建铁路）干线建设项目两侧区域；</w:t>
      </w:r>
    </w:p>
    <w:p>
      <w:pPr>
        <w:pStyle w:val="16"/>
        <w:keepNext w:val="0"/>
        <w:keepLines w:val="0"/>
        <w:pageBreakBefore w:val="0"/>
        <w:widowControl w:val="0"/>
        <w:tabs>
          <w:tab w:val="left" w:pos="0"/>
        </w:tabs>
        <w:kinsoku/>
        <w:wordWrap/>
        <w:overflowPunct/>
        <w:topLinePunct w:val="0"/>
        <w:autoSpaceDE/>
        <w:autoSpaceDN/>
        <w:bidi w:val="0"/>
        <w:spacing w:after="0" w:afterLines="0"/>
        <w:ind w:left="0" w:leftChars="0" w:firstLine="480"/>
        <w:rPr>
          <w:rFonts w:hint="eastAsia" w:ascii="仿宋_GB2312" w:hAnsi="仿宋_GB2312" w:eastAsia="仿宋_GB2312" w:cs="仿宋_GB2312"/>
          <w:b/>
          <w:bCs/>
          <w:snapToGrid/>
          <w:kern w:val="0"/>
          <w:sz w:val="24"/>
          <w:szCs w:val="24"/>
          <w:lang w:bidi="ar"/>
        </w:rPr>
      </w:pPr>
      <w:r>
        <w:rPr>
          <w:rFonts w:hint="eastAsia" w:ascii="仿宋_GB2312" w:hAnsi="仿宋_GB2312" w:eastAsia="仿宋_GB2312" w:cs="仿宋_GB2312"/>
          <w:b/>
          <w:bCs/>
          <w:snapToGrid/>
          <w:kern w:val="0"/>
          <w:sz w:val="24"/>
          <w:szCs w:val="24"/>
          <w:lang w:bidi="ar"/>
        </w:rPr>
        <w:t>在下列情况下，铁路干线两侧区域不通过列车时的环境背景噪声限值，按昼间70dB（A）、夜间55dB（A）执行：</w:t>
      </w:r>
    </w:p>
    <w:p>
      <w:pPr>
        <w:pStyle w:val="16"/>
        <w:keepNext w:val="0"/>
        <w:keepLines w:val="0"/>
        <w:pageBreakBefore w:val="0"/>
        <w:widowControl w:val="0"/>
        <w:tabs>
          <w:tab w:val="left" w:pos="0"/>
        </w:tabs>
        <w:kinsoku/>
        <w:wordWrap/>
        <w:overflowPunct/>
        <w:topLinePunct w:val="0"/>
        <w:autoSpaceDE/>
        <w:autoSpaceDN/>
        <w:bidi w:val="0"/>
        <w:spacing w:after="0" w:afterLines="0"/>
        <w:ind w:left="0" w:leftChars="0" w:firstLine="480"/>
        <w:rPr>
          <w:rFonts w:hint="eastAsia" w:ascii="仿宋_GB2312" w:hAnsi="仿宋_GB2312" w:eastAsia="仿宋_GB2312" w:cs="仿宋_GB2312"/>
          <w:b/>
          <w:bCs/>
          <w:snapToGrid/>
          <w:kern w:val="0"/>
          <w:sz w:val="24"/>
          <w:szCs w:val="24"/>
          <w:lang w:bidi="ar"/>
        </w:rPr>
      </w:pPr>
      <w:r>
        <w:rPr>
          <w:rFonts w:hint="eastAsia" w:ascii="仿宋_GB2312" w:hAnsi="仿宋_GB2312" w:eastAsia="仿宋_GB2312" w:cs="仿宋_GB2312"/>
          <w:b/>
          <w:bCs/>
          <w:snapToGrid/>
          <w:kern w:val="0"/>
          <w:sz w:val="24"/>
          <w:szCs w:val="24"/>
          <w:lang w:bidi="ar"/>
        </w:rPr>
        <w:t>a）穿越城区的既有铁路干线；</w:t>
      </w:r>
    </w:p>
    <w:p>
      <w:pPr>
        <w:pStyle w:val="16"/>
        <w:keepNext w:val="0"/>
        <w:keepLines w:val="0"/>
        <w:pageBreakBefore w:val="0"/>
        <w:widowControl w:val="0"/>
        <w:tabs>
          <w:tab w:val="left" w:pos="0"/>
        </w:tabs>
        <w:kinsoku/>
        <w:wordWrap/>
        <w:overflowPunct/>
        <w:topLinePunct w:val="0"/>
        <w:autoSpaceDE/>
        <w:autoSpaceDN/>
        <w:bidi w:val="0"/>
        <w:spacing w:after="0" w:afterLines="0"/>
        <w:ind w:left="0" w:leftChars="0" w:firstLine="480"/>
        <w:rPr>
          <w:rFonts w:hint="eastAsia" w:ascii="仿宋_GB2312" w:hAnsi="仿宋_GB2312" w:eastAsia="仿宋_GB2312" w:cs="仿宋_GB2312"/>
          <w:b/>
          <w:bCs/>
          <w:snapToGrid/>
          <w:kern w:val="0"/>
          <w:sz w:val="24"/>
          <w:szCs w:val="24"/>
          <w:lang w:bidi="ar"/>
        </w:rPr>
      </w:pPr>
      <w:r>
        <w:rPr>
          <w:rFonts w:hint="eastAsia" w:ascii="仿宋_GB2312" w:hAnsi="仿宋_GB2312" w:eastAsia="仿宋_GB2312" w:cs="仿宋_GB2312"/>
          <w:b/>
          <w:bCs/>
          <w:snapToGrid/>
          <w:kern w:val="0"/>
          <w:sz w:val="24"/>
          <w:szCs w:val="24"/>
          <w:lang w:bidi="ar"/>
        </w:rPr>
        <w:t>b）对穿越城区的既有铁路干线进行改建、扩建的铁路建设项目。</w:t>
      </w:r>
    </w:p>
    <w:p>
      <w:pPr>
        <w:pStyle w:val="16"/>
        <w:keepNext w:val="0"/>
        <w:keepLines w:val="0"/>
        <w:pageBreakBefore w:val="0"/>
        <w:widowControl w:val="0"/>
        <w:tabs>
          <w:tab w:val="left" w:pos="0"/>
        </w:tabs>
        <w:kinsoku/>
        <w:wordWrap/>
        <w:overflowPunct/>
        <w:topLinePunct w:val="0"/>
        <w:autoSpaceDE/>
        <w:autoSpaceDN/>
        <w:bidi w:val="0"/>
        <w:spacing w:after="0" w:afterLines="0"/>
        <w:ind w:left="0" w:leftChars="0" w:firstLine="480"/>
        <w:rPr>
          <w:rFonts w:hint="eastAsia" w:ascii="仿宋_GB2312" w:hAnsi="仿宋_GB2312" w:eastAsia="仿宋_GB2312" w:cs="仿宋_GB2312"/>
          <w:b/>
          <w:bCs/>
          <w:snapToGrid/>
          <w:kern w:val="0"/>
          <w:sz w:val="24"/>
          <w:szCs w:val="24"/>
          <w:lang w:bidi="ar"/>
        </w:rPr>
      </w:pPr>
      <w:r>
        <w:rPr>
          <w:rFonts w:hint="eastAsia" w:ascii="仿宋_GB2312" w:hAnsi="仿宋_GB2312" w:eastAsia="仿宋_GB2312" w:cs="仿宋_GB2312"/>
          <w:b/>
          <w:bCs/>
          <w:snapToGrid/>
          <w:kern w:val="0"/>
          <w:sz w:val="24"/>
          <w:szCs w:val="24"/>
          <w:lang w:bidi="ar"/>
        </w:rPr>
        <w:t>既有铁路是指2010年12月31日前已建成运营的铁路或环境影响评价文件已通过审批的铁路建设项目。</w:t>
      </w:r>
      <w:r>
        <w:rPr>
          <w:rFonts w:hint="eastAsia" w:ascii="仿宋_GB2312" w:hAnsi="仿宋_GB2312" w:eastAsia="仿宋_GB2312" w:cs="仿宋_GB2312"/>
          <w:b/>
          <w:bCs/>
          <w:snapToGrid/>
          <w:kern w:val="0"/>
          <w:sz w:val="24"/>
          <w:szCs w:val="24"/>
          <w:lang w:val="en-US" w:eastAsia="zh-CN" w:bidi="ar"/>
        </w:rPr>
        <w:t>我</w:t>
      </w:r>
      <w:r>
        <w:rPr>
          <w:rFonts w:hint="eastAsia" w:ascii="仿宋_GB2312" w:hAnsi="仿宋_GB2312" w:eastAsia="仿宋_GB2312" w:cs="仿宋_GB2312"/>
          <w:b/>
          <w:bCs/>
          <w:snapToGrid/>
          <w:kern w:val="0"/>
          <w:sz w:val="24"/>
          <w:szCs w:val="24"/>
          <w:lang w:bidi="ar"/>
        </w:rPr>
        <w:t>县境内胶济铁路始建于1899年，属于既有铁路，应执行夜间55dB(A)的标准限制。</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0"/>
        <w:rPr>
          <w:rStyle w:val="28"/>
          <w:rFonts w:ascii="Times New Roman" w:hAnsi="Times New Roman" w:eastAsia="黑体"/>
          <w:b/>
          <w:bCs/>
          <w:sz w:val="32"/>
          <w:szCs w:val="32"/>
          <w:shd w:val="clear" w:color="auto" w:fill="FFFFFF"/>
        </w:rPr>
      </w:pPr>
      <w:r>
        <w:rPr>
          <w:rStyle w:val="28"/>
          <w:rFonts w:ascii="Times New Roman" w:hAnsi="Times New Roman" w:eastAsia="黑体"/>
          <w:b/>
          <w:bCs/>
          <w:sz w:val="32"/>
          <w:szCs w:val="32"/>
          <w:shd w:val="clear" w:color="auto" w:fill="FFFFFF"/>
        </w:rPr>
        <w:t>五、划分结果</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rPr>
          <w:rStyle w:val="28"/>
          <w:rFonts w:hint="eastAsia" w:ascii="楷体_GB2312" w:hAnsi="楷体_GB2312" w:eastAsia="楷体_GB2312" w:cs="楷体_GB2312"/>
          <w:b/>
          <w:bCs/>
          <w:sz w:val="32"/>
          <w:szCs w:val="32"/>
          <w:shd w:val="clear" w:color="auto" w:fill="FFFFFF"/>
        </w:rPr>
      </w:pPr>
      <w:r>
        <w:rPr>
          <w:rStyle w:val="28"/>
          <w:rFonts w:hint="eastAsia" w:ascii="楷体_GB2312" w:hAnsi="楷体_GB2312" w:eastAsia="楷体_GB2312" w:cs="楷体_GB2312"/>
          <w:b/>
          <w:bCs/>
          <w:sz w:val="32"/>
          <w:szCs w:val="32"/>
          <w:shd w:val="clear" w:color="auto" w:fill="FFFFFF"/>
        </w:rPr>
        <w:t>1</w:t>
      </w:r>
      <w:r>
        <w:rPr>
          <w:rFonts w:hint="eastAsia" w:ascii="楷体_GB2312" w:hAnsi="楷体_GB2312" w:eastAsia="楷体_GB2312" w:cs="楷体_GB2312"/>
          <w:b/>
          <w:bCs/>
          <w:sz w:val="32"/>
          <w:szCs w:val="32"/>
          <w:lang w:eastAsia="zh-CN"/>
        </w:rPr>
        <w:t>．</w:t>
      </w:r>
      <w:r>
        <w:rPr>
          <w:rStyle w:val="28"/>
          <w:rFonts w:hint="eastAsia" w:ascii="楷体_GB2312" w:hAnsi="楷体_GB2312" w:eastAsia="楷体_GB2312" w:cs="楷体_GB2312"/>
          <w:b/>
          <w:bCs/>
          <w:sz w:val="32"/>
          <w:szCs w:val="32"/>
          <w:shd w:val="clear" w:color="auto" w:fill="FFFFFF"/>
        </w:rPr>
        <w:t>中心城区声环境功能区划分结果</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rPr>
          <w:rStyle w:val="28"/>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rPr>
        <w:t>本次规划区内声环境功能区划分总面积约为83.3km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，各类声环境功能区总面积约74.90km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，其中1类声环境功能区</w:t>
      </w:r>
      <w:r>
        <w:rPr>
          <w:rFonts w:hint="eastAsia" w:ascii="仿宋_GB2312" w:hAnsi="仿宋_GB2312" w:eastAsia="仿宋_GB2312" w:cs="仿宋_GB2312"/>
          <w:b/>
          <w:bCs/>
          <w:sz w:val="32"/>
          <w:szCs w:val="32"/>
          <w:lang w:val="en-US" w:eastAsia="zh-CN"/>
        </w:rPr>
        <w:t>6个单元，</w:t>
      </w:r>
      <w:r>
        <w:rPr>
          <w:rFonts w:hint="eastAsia" w:ascii="仿宋_GB2312" w:hAnsi="仿宋_GB2312" w:eastAsia="仿宋_GB2312" w:cs="仿宋_GB2312"/>
          <w:b/>
          <w:bCs/>
          <w:sz w:val="32"/>
          <w:szCs w:val="32"/>
        </w:rPr>
        <w:t>面积约11.48km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，占功能区总面积的15.32%；2类声环境功能区</w:t>
      </w:r>
      <w:r>
        <w:rPr>
          <w:rFonts w:hint="eastAsia" w:ascii="仿宋_GB2312" w:hAnsi="仿宋_GB2312" w:eastAsia="仿宋_GB2312" w:cs="仿宋_GB2312"/>
          <w:b/>
          <w:bCs/>
          <w:sz w:val="32"/>
          <w:szCs w:val="32"/>
          <w:lang w:val="en-US" w:eastAsia="zh-CN"/>
        </w:rPr>
        <w:t>15个单元，</w:t>
      </w:r>
      <w:r>
        <w:rPr>
          <w:rFonts w:hint="eastAsia" w:ascii="仿宋_GB2312" w:hAnsi="仿宋_GB2312" w:eastAsia="仿宋_GB2312" w:cs="仿宋_GB2312"/>
          <w:b/>
          <w:bCs/>
          <w:sz w:val="32"/>
          <w:szCs w:val="32"/>
        </w:rPr>
        <w:t>面积约为18.67km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，占功能区总面积的24.92%；3类声环境功能区</w:t>
      </w:r>
      <w:r>
        <w:rPr>
          <w:rFonts w:hint="eastAsia" w:ascii="仿宋_GB2312" w:hAnsi="仿宋_GB2312" w:eastAsia="仿宋_GB2312" w:cs="仿宋_GB2312"/>
          <w:b/>
          <w:bCs/>
          <w:sz w:val="32"/>
          <w:szCs w:val="32"/>
          <w:lang w:val="en-US" w:eastAsia="zh-CN"/>
        </w:rPr>
        <w:t>13</w:t>
      </w:r>
      <w:r>
        <w:rPr>
          <w:rFonts w:hint="eastAsia" w:ascii="仿宋_GB2312" w:hAnsi="仿宋_GB2312" w:eastAsia="仿宋_GB2312" w:cs="仿宋_GB2312"/>
          <w:b/>
          <w:bCs/>
          <w:sz w:val="32"/>
          <w:szCs w:val="32"/>
        </w:rPr>
        <w:t>个单元面积约35.26km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，占功能区总面积的47.08%；4类声环境功能区面积约9.49km</w:t>
      </w:r>
      <w:r>
        <w:rPr>
          <w:rFonts w:hint="eastAsia" w:ascii="仿宋_GB2312" w:hAnsi="仿宋_GB2312" w:eastAsia="仿宋_GB2312" w:cs="仿宋_GB2312"/>
          <w:b/>
          <w:bCs/>
          <w:sz w:val="32"/>
          <w:szCs w:val="32"/>
          <w:vertAlign w:val="superscript"/>
        </w:rPr>
        <w:t>2</w:t>
      </w:r>
      <w:r>
        <w:rPr>
          <w:rFonts w:hint="eastAsia" w:ascii="仿宋_GB2312" w:hAnsi="仿宋_GB2312" w:eastAsia="仿宋_GB2312" w:cs="仿宋_GB2312"/>
          <w:b/>
          <w:bCs/>
          <w:sz w:val="32"/>
          <w:szCs w:val="32"/>
        </w:rPr>
        <w:t>，占功能区总面积的12.67%。</w:t>
      </w:r>
      <w:r>
        <w:rPr>
          <w:rStyle w:val="28"/>
          <w:rFonts w:hint="eastAsia" w:ascii="仿宋_GB2312" w:hAnsi="仿宋_GB2312" w:eastAsia="仿宋_GB2312" w:cs="仿宋_GB2312"/>
          <w:b/>
          <w:bCs/>
          <w:sz w:val="32"/>
          <w:szCs w:val="32"/>
          <w:shd w:val="clear" w:color="auto" w:fill="FFFFFF"/>
        </w:rPr>
        <w:t>同时，确定铁路交通干线1条；各类公路及城市道路交通干线25条，其中城市快速路6条，主干路10条、城市次干路9条。公共交通枢纽和火车站2个。交通干线边界线外一定距离内的区域划分为4类声环境功能区，距离的确定方法如下：</w:t>
      </w:r>
    </w:p>
    <w:p>
      <w:pPr>
        <w:keepNext w:val="0"/>
        <w:keepLines w:val="0"/>
        <w:pageBreakBefore w:val="0"/>
        <w:widowControl w:val="0"/>
        <w:kinsoku/>
        <w:wordWrap/>
        <w:overflowPunct/>
        <w:topLinePunct w:val="0"/>
        <w:autoSpaceDE/>
        <w:autoSpaceDN/>
        <w:bidi w:val="0"/>
        <w:adjustRightInd w:val="0"/>
        <w:snapToGrid w:val="0"/>
        <w:spacing w:line="578" w:lineRule="exact"/>
        <w:ind w:firstLine="643" w:firstLineChars="200"/>
        <w:jc w:val="both"/>
        <w:textAlignment w:val="auto"/>
        <w:rPr>
          <w:rStyle w:val="28"/>
          <w:rFonts w:hint="eastAsia" w:ascii="仿宋_GB2312" w:hAnsi="仿宋_GB2312" w:eastAsia="仿宋_GB2312" w:cs="仿宋_GB2312"/>
          <w:b/>
          <w:bCs/>
          <w:sz w:val="32"/>
          <w:szCs w:val="32"/>
          <w:shd w:val="clear" w:color="auto" w:fill="FFFFFF"/>
          <w:lang w:eastAsia="zh-CN"/>
        </w:rPr>
      </w:pPr>
      <w:r>
        <w:rPr>
          <w:rStyle w:val="28"/>
          <w:rFonts w:hint="eastAsia" w:ascii="仿宋_GB2312" w:hAnsi="仿宋_GB2312" w:eastAsia="仿宋_GB2312" w:cs="仿宋_GB2312"/>
          <w:b/>
          <w:bCs/>
          <w:sz w:val="32"/>
          <w:szCs w:val="32"/>
          <w:shd w:val="clear" w:color="auto" w:fill="FFFFFF"/>
        </w:rPr>
        <w:t>（1）相邻区域为1类声环境功能区</w:t>
      </w:r>
      <w:r>
        <w:rPr>
          <w:rStyle w:val="28"/>
          <w:rFonts w:hint="eastAsia" w:ascii="仿宋_GB2312" w:hAnsi="仿宋_GB2312" w:eastAsia="仿宋_GB2312" w:cs="仿宋_GB2312"/>
          <w:b/>
          <w:bCs/>
          <w:sz w:val="32"/>
          <w:szCs w:val="32"/>
          <w:shd w:val="clear" w:color="auto" w:fill="FFFFFF"/>
          <w:lang w:eastAsia="zh-CN"/>
        </w:rPr>
        <w:t>，</w:t>
      </w:r>
      <w:r>
        <w:rPr>
          <w:rStyle w:val="28"/>
          <w:rFonts w:hint="eastAsia" w:ascii="仿宋_GB2312" w:hAnsi="仿宋_GB2312" w:eastAsia="仿宋_GB2312" w:cs="仿宋_GB2312"/>
          <w:b/>
          <w:bCs/>
          <w:sz w:val="32"/>
          <w:szCs w:val="32"/>
          <w:shd w:val="clear" w:color="auto" w:fill="FFFFFF"/>
        </w:rPr>
        <w:t>距离为50m</w:t>
      </w:r>
      <w:r>
        <w:rPr>
          <w:rStyle w:val="28"/>
          <w:rFonts w:hint="eastAsia" w:ascii="仿宋_GB2312" w:hAnsi="仿宋_GB2312" w:eastAsia="仿宋_GB2312" w:cs="仿宋_GB2312"/>
          <w:b/>
          <w:bCs/>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jc w:val="both"/>
        <w:textAlignment w:val="auto"/>
        <w:rPr>
          <w:rStyle w:val="28"/>
          <w:rFonts w:hint="eastAsia" w:ascii="仿宋_GB2312" w:hAnsi="仿宋_GB2312" w:eastAsia="仿宋_GB2312" w:cs="仿宋_GB2312"/>
          <w:b/>
          <w:bCs/>
          <w:sz w:val="32"/>
          <w:szCs w:val="32"/>
          <w:shd w:val="clear" w:color="auto" w:fill="FFFFFF"/>
          <w:lang w:eastAsia="zh-CN"/>
        </w:rPr>
      </w:pPr>
      <w:r>
        <w:rPr>
          <w:rStyle w:val="28"/>
          <w:rFonts w:hint="eastAsia" w:ascii="仿宋_GB2312" w:hAnsi="仿宋_GB2312" w:eastAsia="仿宋_GB2312" w:cs="仿宋_GB2312"/>
          <w:b/>
          <w:bCs/>
          <w:sz w:val="32"/>
          <w:szCs w:val="32"/>
          <w:shd w:val="clear" w:color="auto" w:fill="FFFFFF"/>
        </w:rPr>
        <w:t>（2）相邻区域为2类声环境功能区</w:t>
      </w:r>
      <w:r>
        <w:rPr>
          <w:rStyle w:val="28"/>
          <w:rFonts w:hint="eastAsia" w:ascii="仿宋_GB2312" w:hAnsi="仿宋_GB2312" w:eastAsia="仿宋_GB2312" w:cs="仿宋_GB2312"/>
          <w:b/>
          <w:bCs/>
          <w:sz w:val="32"/>
          <w:szCs w:val="32"/>
          <w:shd w:val="clear" w:color="auto" w:fill="FFFFFF"/>
          <w:lang w:eastAsia="zh-CN"/>
        </w:rPr>
        <w:t>，</w:t>
      </w:r>
      <w:r>
        <w:rPr>
          <w:rStyle w:val="28"/>
          <w:rFonts w:hint="eastAsia" w:ascii="仿宋_GB2312" w:hAnsi="仿宋_GB2312" w:eastAsia="仿宋_GB2312" w:cs="仿宋_GB2312"/>
          <w:b/>
          <w:bCs/>
          <w:sz w:val="32"/>
          <w:szCs w:val="32"/>
          <w:shd w:val="clear" w:color="auto" w:fill="FFFFFF"/>
        </w:rPr>
        <w:t>距离为35m</w:t>
      </w:r>
      <w:r>
        <w:rPr>
          <w:rStyle w:val="28"/>
          <w:rFonts w:hint="eastAsia" w:ascii="仿宋_GB2312" w:hAnsi="仿宋_GB2312" w:eastAsia="仿宋_GB2312" w:cs="仿宋_GB2312"/>
          <w:b/>
          <w:bCs/>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jc w:val="both"/>
        <w:textAlignment w:val="auto"/>
        <w:rPr>
          <w:rStyle w:val="28"/>
          <w:rFonts w:hint="eastAsia" w:ascii="仿宋_GB2312" w:hAnsi="仿宋_GB2312" w:eastAsia="仿宋_GB2312" w:cs="仿宋_GB2312"/>
          <w:b/>
          <w:bCs/>
          <w:sz w:val="32"/>
          <w:szCs w:val="32"/>
          <w:shd w:val="clear" w:color="auto" w:fill="FFFFFF"/>
          <w:lang w:eastAsia="zh-CN"/>
        </w:rPr>
      </w:pPr>
      <w:r>
        <w:rPr>
          <w:rStyle w:val="28"/>
          <w:rFonts w:hint="eastAsia" w:ascii="仿宋_GB2312" w:hAnsi="仿宋_GB2312" w:eastAsia="仿宋_GB2312" w:cs="仿宋_GB2312"/>
          <w:b/>
          <w:bCs/>
          <w:sz w:val="32"/>
          <w:szCs w:val="32"/>
          <w:shd w:val="clear" w:color="auto" w:fill="FFFFFF"/>
        </w:rPr>
        <w:t>（3）相邻区域为3类声环境功能区</w:t>
      </w:r>
      <w:r>
        <w:rPr>
          <w:rStyle w:val="28"/>
          <w:rFonts w:hint="eastAsia" w:ascii="仿宋_GB2312" w:hAnsi="仿宋_GB2312" w:eastAsia="仿宋_GB2312" w:cs="仿宋_GB2312"/>
          <w:b/>
          <w:bCs/>
          <w:sz w:val="32"/>
          <w:szCs w:val="32"/>
          <w:shd w:val="clear" w:color="auto" w:fill="FFFFFF"/>
          <w:lang w:eastAsia="zh-CN"/>
        </w:rPr>
        <w:t>，</w:t>
      </w:r>
      <w:r>
        <w:rPr>
          <w:rStyle w:val="28"/>
          <w:rFonts w:hint="eastAsia" w:ascii="仿宋_GB2312" w:hAnsi="仿宋_GB2312" w:eastAsia="仿宋_GB2312" w:cs="仿宋_GB2312"/>
          <w:b/>
          <w:bCs/>
          <w:sz w:val="32"/>
          <w:szCs w:val="32"/>
          <w:shd w:val="clear" w:color="auto" w:fill="FFFFFF"/>
        </w:rPr>
        <w:t>距离为20m</w:t>
      </w:r>
      <w:r>
        <w:rPr>
          <w:rStyle w:val="28"/>
          <w:rFonts w:hint="eastAsia" w:ascii="仿宋_GB2312" w:hAnsi="仿宋_GB2312" w:eastAsia="仿宋_GB2312" w:cs="仿宋_GB2312"/>
          <w:b/>
          <w:bCs/>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jc w:val="both"/>
        <w:textAlignment w:val="auto"/>
        <w:rPr>
          <w:rStyle w:val="28"/>
          <w:rFonts w:hint="eastAsia" w:ascii="仿宋_GB2312" w:hAnsi="仿宋_GB2312" w:eastAsia="仿宋_GB2312" w:cs="仿宋_GB2312"/>
          <w:b/>
          <w:bCs/>
          <w:sz w:val="32"/>
          <w:szCs w:val="32"/>
          <w:shd w:val="clear" w:color="auto" w:fill="FFFFFF"/>
        </w:rPr>
      </w:pPr>
      <w:r>
        <w:rPr>
          <w:rStyle w:val="28"/>
          <w:rFonts w:hint="eastAsia" w:ascii="仿宋_GB2312" w:hAnsi="仿宋_GB2312" w:eastAsia="仿宋_GB2312" w:cs="仿宋_GB2312"/>
          <w:b/>
          <w:bCs/>
          <w:sz w:val="32"/>
          <w:szCs w:val="32"/>
          <w:shd w:val="clear" w:color="auto" w:fill="FFFFFF"/>
        </w:rPr>
        <w:t>当临街建筑高于三层楼房以上(含三层)时</w:t>
      </w:r>
      <w:r>
        <w:rPr>
          <w:rStyle w:val="28"/>
          <w:rFonts w:hint="eastAsia" w:ascii="仿宋_GB2312" w:hAnsi="仿宋_GB2312" w:eastAsia="仿宋_GB2312" w:cs="仿宋_GB2312"/>
          <w:b/>
          <w:bCs/>
          <w:sz w:val="32"/>
          <w:szCs w:val="32"/>
          <w:shd w:val="clear" w:color="auto" w:fill="FFFFFF"/>
          <w:lang w:eastAsia="zh-CN"/>
        </w:rPr>
        <w:t>，</w:t>
      </w:r>
      <w:r>
        <w:rPr>
          <w:rStyle w:val="28"/>
          <w:rFonts w:hint="eastAsia" w:ascii="仿宋_GB2312" w:hAnsi="仿宋_GB2312" w:eastAsia="仿宋_GB2312" w:cs="仿宋_GB2312"/>
          <w:b/>
          <w:bCs/>
          <w:sz w:val="32"/>
          <w:szCs w:val="32"/>
          <w:shd w:val="clear" w:color="auto" w:fill="FFFFFF"/>
        </w:rPr>
        <w:t>将临街建筑面向交通干线一侧至交通干线边界线的区域定为4类声环境功能区。</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jc w:val="both"/>
        <w:textAlignment w:val="auto"/>
        <w:rPr>
          <w:rStyle w:val="28"/>
          <w:rFonts w:hint="eastAsia" w:ascii="仿宋_GB2312" w:hAnsi="仿宋_GB2312" w:eastAsia="仿宋_GB2312" w:cs="仿宋_GB2312"/>
          <w:b/>
          <w:bCs/>
          <w:sz w:val="32"/>
          <w:szCs w:val="32"/>
          <w:shd w:val="clear" w:color="auto" w:fill="FFFFFF"/>
        </w:rPr>
      </w:pPr>
      <w:r>
        <w:rPr>
          <w:rStyle w:val="28"/>
          <w:rFonts w:hint="eastAsia" w:ascii="仿宋_GB2312" w:hAnsi="仿宋_GB2312" w:eastAsia="仿宋_GB2312" w:cs="仿宋_GB2312"/>
          <w:b/>
          <w:bCs/>
          <w:sz w:val="32"/>
          <w:szCs w:val="32"/>
          <w:shd w:val="clear" w:color="auto" w:fill="FFFFFF"/>
        </w:rPr>
        <w:t>县城规划区声环境功能区划分结果详见附表</w:t>
      </w:r>
      <w:r>
        <w:rPr>
          <w:rStyle w:val="28"/>
          <w:rFonts w:hint="eastAsia" w:ascii="仿宋_GB2312" w:hAnsi="仿宋_GB2312" w:eastAsia="仿宋_GB2312" w:cs="仿宋_GB2312"/>
          <w:b/>
          <w:bCs/>
          <w:sz w:val="32"/>
          <w:szCs w:val="32"/>
          <w:shd w:val="clear" w:color="auto" w:fill="FFFFFF"/>
          <w:lang w:eastAsia="zh-CN"/>
        </w:rPr>
        <w:t>１</w:t>
      </w:r>
      <w:r>
        <w:rPr>
          <w:rStyle w:val="28"/>
          <w:rFonts w:hint="eastAsia" w:ascii="仿宋_GB2312" w:hAnsi="仿宋_GB2312" w:eastAsia="仿宋_GB2312" w:cs="仿宋_GB2312"/>
          <w:b/>
          <w:bCs/>
          <w:sz w:val="32"/>
          <w:szCs w:val="32"/>
          <w:shd w:val="clear" w:color="auto" w:fill="FFFFFF"/>
        </w:rPr>
        <w:t>、附表</w:t>
      </w:r>
      <w:r>
        <w:rPr>
          <w:rStyle w:val="28"/>
          <w:rFonts w:hint="eastAsia" w:ascii="仿宋_GB2312" w:hAnsi="仿宋_GB2312" w:eastAsia="仿宋_GB2312" w:cs="仿宋_GB2312"/>
          <w:b/>
          <w:bCs/>
          <w:sz w:val="32"/>
          <w:szCs w:val="32"/>
          <w:shd w:val="clear" w:color="auto" w:fill="FFFFFF"/>
          <w:lang w:eastAsia="zh-CN"/>
        </w:rPr>
        <w:t>２</w:t>
      </w:r>
      <w:r>
        <w:rPr>
          <w:rStyle w:val="28"/>
          <w:rFonts w:hint="eastAsia" w:ascii="仿宋_GB2312" w:hAnsi="仿宋_GB2312" w:eastAsia="仿宋_GB2312" w:cs="仿宋_GB2312"/>
          <w:b/>
          <w:bCs/>
          <w:sz w:val="32"/>
          <w:szCs w:val="32"/>
          <w:shd w:val="clear" w:color="auto" w:fill="FFFFFF"/>
        </w:rPr>
        <w:t>和附图</w:t>
      </w:r>
      <w:r>
        <w:rPr>
          <w:rStyle w:val="28"/>
          <w:rFonts w:hint="eastAsia" w:ascii="仿宋_GB2312" w:hAnsi="仿宋_GB2312" w:eastAsia="仿宋_GB2312" w:cs="仿宋_GB2312"/>
          <w:b/>
          <w:bCs/>
          <w:sz w:val="32"/>
          <w:szCs w:val="32"/>
          <w:shd w:val="clear" w:color="auto" w:fill="FFFFFF"/>
          <w:lang w:eastAsia="zh-CN"/>
        </w:rPr>
        <w:t>１</w:t>
      </w:r>
      <w:r>
        <w:rPr>
          <w:rStyle w:val="28"/>
          <w:rFonts w:hint="eastAsia" w:ascii="仿宋_GB2312" w:hAnsi="仿宋_GB2312" w:eastAsia="仿宋_GB2312" w:cs="仿宋_GB2312"/>
          <w:b/>
          <w:bCs/>
          <w:sz w:val="32"/>
          <w:szCs w:val="32"/>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rPr>
          <w:rStyle w:val="28"/>
          <w:rFonts w:hint="eastAsia" w:ascii="楷体_GB2312" w:hAnsi="楷体_GB2312" w:eastAsia="楷体_GB2312" w:cs="楷体_GB2312"/>
          <w:b/>
          <w:bCs/>
          <w:sz w:val="32"/>
          <w:szCs w:val="32"/>
          <w:shd w:val="clear" w:color="auto" w:fill="FFFFFF"/>
        </w:rPr>
      </w:pPr>
      <w:r>
        <w:rPr>
          <w:rStyle w:val="28"/>
          <w:rFonts w:hint="eastAsia" w:ascii="楷体_GB2312" w:hAnsi="楷体_GB2312" w:eastAsia="楷体_GB2312" w:cs="楷体_GB2312"/>
          <w:b/>
          <w:bCs/>
          <w:sz w:val="32"/>
          <w:szCs w:val="32"/>
          <w:shd w:val="clear" w:color="auto" w:fill="FFFFFF"/>
        </w:rPr>
        <w:t>2</w:t>
      </w:r>
      <w:r>
        <w:rPr>
          <w:rStyle w:val="28"/>
          <w:rFonts w:hint="eastAsia" w:ascii="楷体_GB2312" w:hAnsi="楷体_GB2312" w:eastAsia="楷体_GB2312" w:cs="楷体_GB2312"/>
          <w:b/>
          <w:bCs/>
          <w:sz w:val="32"/>
          <w:szCs w:val="32"/>
          <w:shd w:val="clear" w:color="auto" w:fill="FFFFFF"/>
          <w:lang w:eastAsia="zh-CN"/>
        </w:rPr>
        <w:t>．</w:t>
      </w:r>
      <w:r>
        <w:rPr>
          <w:rStyle w:val="28"/>
          <w:rFonts w:hint="eastAsia" w:ascii="楷体_GB2312" w:hAnsi="楷体_GB2312" w:eastAsia="楷体_GB2312" w:cs="楷体_GB2312"/>
          <w:b/>
          <w:bCs/>
          <w:sz w:val="32"/>
          <w:szCs w:val="32"/>
          <w:shd w:val="clear" w:color="auto" w:fill="FFFFFF"/>
        </w:rPr>
        <w:t>规划范围内乡村区域声环境功能区的确定</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本次规划区域内乡村区域，根据《声环境质量标准》(GB3096-2008)，按以下规定确定声环境功能区的管理。</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（1）位于乡村的康复疗养区执行0类声环境功能区要求；</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（2）村庄原则上执行1类声环境功能区要求，工业活动较多的村庄以及交通干线经过的村庄（指执行4类声环境功能区要求以外的地区）可局部或全部执行2类声环境功能区要求；</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（3）集镇执行2类声环境功能区要求；</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（4）独立于村庄、集镇之外的工业、仓储集中区执行3类声环境功能区要求；</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Style w:val="28"/>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rPr>
        <w:t>（5）位于交通干线两侧一定距离（参考GB／T15190－2014第8.3条规定）内的噪声敏感建筑物执行4类声环境功能区要求。</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rPr>
          <w:rStyle w:val="28"/>
          <w:rFonts w:hint="eastAsia" w:ascii="楷体_GB2312" w:hAnsi="楷体_GB2312" w:eastAsia="楷体_GB2312" w:cs="楷体_GB2312"/>
          <w:b/>
          <w:bCs/>
          <w:sz w:val="32"/>
          <w:szCs w:val="32"/>
          <w:shd w:val="clear" w:color="auto" w:fill="FFFFFF"/>
        </w:rPr>
      </w:pPr>
      <w:r>
        <w:rPr>
          <w:rStyle w:val="28"/>
          <w:rFonts w:hint="eastAsia" w:ascii="楷体_GB2312" w:hAnsi="楷体_GB2312" w:eastAsia="楷体_GB2312" w:cs="楷体_GB2312"/>
          <w:b/>
          <w:bCs/>
          <w:sz w:val="32"/>
          <w:szCs w:val="32"/>
          <w:shd w:val="clear" w:color="auto" w:fill="FFFFFF"/>
        </w:rPr>
        <w:t>3</w:t>
      </w:r>
      <w:r>
        <w:rPr>
          <w:rStyle w:val="28"/>
          <w:rFonts w:hint="eastAsia" w:ascii="楷体_GB2312" w:hAnsi="楷体_GB2312" w:eastAsia="楷体_GB2312" w:cs="楷体_GB2312"/>
          <w:b/>
          <w:bCs/>
          <w:sz w:val="32"/>
          <w:szCs w:val="32"/>
          <w:shd w:val="clear" w:color="auto" w:fill="FFFFFF"/>
          <w:lang w:eastAsia="zh-CN"/>
        </w:rPr>
        <w:t>．</w:t>
      </w:r>
      <w:r>
        <w:rPr>
          <w:rStyle w:val="28"/>
          <w:rFonts w:hint="eastAsia" w:ascii="楷体_GB2312" w:hAnsi="楷体_GB2312" w:eastAsia="楷体_GB2312" w:cs="楷体_GB2312"/>
          <w:b/>
          <w:bCs/>
          <w:sz w:val="32"/>
          <w:szCs w:val="32"/>
          <w:shd w:val="clear" w:color="auto" w:fill="FFFFFF"/>
        </w:rPr>
        <w:t>噪声敏感建筑物集中区域划分的确定</w:t>
      </w:r>
    </w:p>
    <w:p>
      <w:pPr>
        <w:keepNext w:val="0"/>
        <w:keepLines w:val="0"/>
        <w:pageBreakBefore w:val="0"/>
        <w:widowControl w:val="0"/>
        <w:kinsoku/>
        <w:wordWrap/>
        <w:overflowPunct/>
        <w:topLinePunct w:val="0"/>
        <w:autoSpaceDE/>
        <w:autoSpaceDN/>
        <w:bidi w:val="0"/>
        <w:snapToGrid w:val="0"/>
        <w:spacing w:line="578"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按照《中华人民共和国噪声污染防治法》第十四条的规定，噪声敏感建筑物集中区域是指用于居住、科学研究、医疗卫生、文化教育、机关团体办公、社会福利等的建筑物为主的区域。</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按照噪声敏感建筑物集中区域的定义及上述划分方法，中心城区噪声敏感建筑物集中区域包括下列区域：</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Style w:val="28"/>
          <w:rFonts w:hint="eastAsia" w:ascii="仿宋_GB2312" w:hAnsi="仿宋_GB2312" w:eastAsia="仿宋_GB2312" w:cs="仿宋_GB2312"/>
          <w:b/>
          <w:bCs/>
          <w:sz w:val="32"/>
          <w:szCs w:val="32"/>
          <w:shd w:val="clear" w:color="auto" w:fill="FFFFFF"/>
        </w:rPr>
      </w:pPr>
      <w:r>
        <w:rPr>
          <w:rFonts w:hint="eastAsia" w:ascii="仿宋_GB2312" w:hAnsi="仿宋_GB2312" w:eastAsia="仿宋_GB2312" w:cs="仿宋_GB2312"/>
          <w:b/>
          <w:bCs/>
          <w:sz w:val="32"/>
          <w:szCs w:val="32"/>
        </w:rPr>
        <w:t>（1）以居民住宅、医疗卫生、文化教育、科研设计、行政办公为主要功能，需要保持安静的区域（对应中心城区声环境功能区划１类区）；</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（2）居住、商业、工业混杂区，需要维护住宅安静的区域（对应中心城区声环境功能区划2类区</w:t>
      </w:r>
      <w:r>
        <w:rPr>
          <w:rFonts w:hint="eastAsia" w:ascii="仿宋_GB2312" w:hAnsi="仿宋_GB2312" w:eastAsia="仿宋_GB2312" w:cs="仿宋_GB2312"/>
          <w:b/>
          <w:bCs/>
          <w:sz w:val="32"/>
          <w:szCs w:val="32"/>
          <w:lang w:val="en-US" w:eastAsia="zh-CN"/>
        </w:rPr>
        <w:t>和</w:t>
      </w:r>
      <w:r>
        <w:rPr>
          <w:rFonts w:hint="eastAsia" w:ascii="仿宋_GB2312" w:hAnsi="仿宋_GB2312" w:eastAsia="仿宋_GB2312" w:cs="仿宋_GB2312"/>
          <w:b/>
          <w:bCs/>
          <w:sz w:val="32"/>
          <w:szCs w:val="32"/>
        </w:rPr>
        <w:t>3类区</w:t>
      </w:r>
      <w:r>
        <w:rPr>
          <w:rFonts w:hint="eastAsia" w:ascii="仿宋_GB2312" w:hAnsi="仿宋_GB2312" w:eastAsia="仿宋_GB2312" w:cs="仿宋_GB2312"/>
          <w:b/>
          <w:bCs/>
          <w:sz w:val="32"/>
          <w:szCs w:val="32"/>
          <w:lang w:val="en-US" w:eastAsia="zh-CN"/>
        </w:rPr>
        <w:t>中</w:t>
      </w:r>
      <w:r>
        <w:rPr>
          <w:rFonts w:hint="eastAsia" w:ascii="仿宋_GB2312" w:hAnsi="仿宋_GB2312" w:eastAsia="仿宋_GB2312" w:cs="仿宋_GB2312"/>
          <w:b/>
          <w:bCs/>
          <w:sz w:val="32"/>
          <w:szCs w:val="32"/>
        </w:rPr>
        <w:t>居民住宅为主的区域）；</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（3）交通干线两侧的医疗区、文教科研区和机关或者居民住宅为主的区域（对应交通干线外一定距离内、相邻为中心城区声功能区划0～2类区的4a、4b类区）。</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left"/>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六、附则</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本</w:t>
      </w:r>
      <w:r>
        <w:rPr>
          <w:rFonts w:hint="eastAsia" w:ascii="仿宋_GB2312" w:hAnsi="仿宋_GB2312" w:eastAsia="仿宋_GB2312" w:cs="仿宋_GB2312"/>
          <w:b/>
          <w:bCs/>
          <w:sz w:val="32"/>
          <w:szCs w:val="32"/>
          <w:lang w:val="en-US" w:eastAsia="zh-CN"/>
        </w:rPr>
        <w:t>方案</w:t>
      </w:r>
      <w:r>
        <w:rPr>
          <w:rFonts w:hint="eastAsia" w:ascii="仿宋_GB2312" w:hAnsi="仿宋_GB2312" w:eastAsia="仿宋_GB2312" w:cs="仿宋_GB2312"/>
          <w:b/>
          <w:bCs/>
          <w:sz w:val="32"/>
          <w:szCs w:val="32"/>
        </w:rPr>
        <w:t>自202</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年1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月</w:t>
      </w:r>
      <w:r>
        <w:rPr>
          <w:rFonts w:hint="eastAsia" w:ascii="仿宋_GB2312" w:hAnsi="仿宋_GB2312" w:eastAsia="仿宋_GB2312" w:cs="仿宋_GB2312"/>
          <w:b/>
          <w:bCs/>
          <w:sz w:val="32"/>
          <w:szCs w:val="32"/>
          <w:lang w:val="en-US" w:eastAsia="zh-CN"/>
        </w:rPr>
        <w:t>15</w:t>
      </w:r>
      <w:r>
        <w:rPr>
          <w:rFonts w:hint="eastAsia" w:ascii="仿宋_GB2312" w:hAnsi="仿宋_GB2312" w:eastAsia="仿宋_GB2312" w:cs="仿宋_GB2312"/>
          <w:b/>
          <w:bCs/>
          <w:sz w:val="32"/>
          <w:szCs w:val="32"/>
        </w:rPr>
        <w:t>日起施行，有效期至20</w:t>
      </w:r>
      <w:r>
        <w:rPr>
          <w:rFonts w:hint="eastAsia" w:ascii="仿宋_GB2312" w:hAnsi="仿宋_GB2312" w:eastAsia="仿宋_GB2312" w:cs="仿宋_GB2312"/>
          <w:b/>
          <w:bCs/>
          <w:sz w:val="32"/>
          <w:szCs w:val="32"/>
          <w:lang w:val="en-US" w:eastAsia="zh-CN"/>
        </w:rPr>
        <w:t>27</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10</w:t>
      </w:r>
      <w:r>
        <w:rPr>
          <w:rFonts w:hint="eastAsia" w:ascii="仿宋_GB2312" w:hAnsi="仿宋_GB2312" w:eastAsia="仿宋_GB2312" w:cs="仿宋_GB2312"/>
          <w:b/>
          <w:bCs/>
          <w:sz w:val="32"/>
          <w:szCs w:val="32"/>
        </w:rPr>
        <w:t>月</w:t>
      </w:r>
      <w:r>
        <w:rPr>
          <w:rFonts w:hint="eastAsia" w:ascii="仿宋_GB2312" w:hAnsi="仿宋_GB2312" w:eastAsia="仿宋_GB2312" w:cs="仿宋_GB2312"/>
          <w:b/>
          <w:bCs/>
          <w:sz w:val="32"/>
          <w:szCs w:val="32"/>
          <w:lang w:val="en-US" w:eastAsia="zh-CN"/>
        </w:rPr>
        <w:t>14</w:t>
      </w:r>
      <w:r>
        <w:rPr>
          <w:rFonts w:hint="eastAsia" w:ascii="仿宋_GB2312" w:hAnsi="仿宋_GB2312" w:eastAsia="仿宋_GB2312" w:cs="仿宋_GB2312"/>
          <w:b/>
          <w:bCs/>
          <w:sz w:val="32"/>
          <w:szCs w:val="32"/>
        </w:rPr>
        <w:t>日。</w:t>
      </w:r>
    </w:p>
    <w:p>
      <w:pPr>
        <w:keepNext w:val="0"/>
        <w:keepLines w:val="0"/>
        <w:pageBreakBefore w:val="0"/>
        <w:widowControl w:val="0"/>
        <w:kinsoku/>
        <w:wordWrap/>
        <w:overflowPunct/>
        <w:topLinePunct w:val="0"/>
        <w:autoSpaceDE/>
        <w:autoSpaceDN/>
        <w:bidi w:val="0"/>
        <w:snapToGrid w:val="0"/>
        <w:spacing w:line="578" w:lineRule="exact"/>
        <w:ind w:firstLine="643" w:firstLineChars="200"/>
        <w:jc w:val="both"/>
        <w:textAlignment w:val="auto"/>
        <w:rPr>
          <w:rFonts w:hint="eastAsia"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val="0"/>
        <w:spacing w:line="578"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附表1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昌乐县中心城区环境功能区划分表</w:t>
      </w:r>
    </w:p>
    <w:p>
      <w:pPr>
        <w:keepNext w:val="0"/>
        <w:keepLines w:val="0"/>
        <w:pageBreakBefore w:val="0"/>
        <w:widowControl w:val="0"/>
        <w:kinsoku/>
        <w:wordWrap/>
        <w:overflowPunct/>
        <w:topLinePunct w:val="0"/>
        <w:autoSpaceDE/>
        <w:autoSpaceDN/>
        <w:bidi w:val="0"/>
        <w:adjustRightInd/>
        <w:snapToGrid w:val="0"/>
        <w:spacing w:line="578"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附表2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昌乐县中心城区道路交通干线声环境功能区划分表</w:t>
      </w:r>
    </w:p>
    <w:p>
      <w:pPr>
        <w:keepNext w:val="0"/>
        <w:keepLines w:val="0"/>
        <w:pageBreakBefore w:val="0"/>
        <w:widowControl w:val="0"/>
        <w:kinsoku/>
        <w:wordWrap/>
        <w:overflowPunct/>
        <w:topLinePunct w:val="0"/>
        <w:autoSpaceDE/>
        <w:autoSpaceDN/>
        <w:bidi w:val="0"/>
        <w:adjustRightInd/>
        <w:snapToGrid w:val="0"/>
        <w:spacing w:line="578"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附表3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昌乐县中心城区噪声敏感建筑物集中区域划分表</w:t>
      </w:r>
    </w:p>
    <w:p>
      <w:pPr>
        <w:keepNext w:val="0"/>
        <w:keepLines w:val="0"/>
        <w:pageBreakBefore w:val="0"/>
        <w:widowControl w:val="0"/>
        <w:kinsoku/>
        <w:wordWrap/>
        <w:overflowPunct/>
        <w:topLinePunct w:val="0"/>
        <w:autoSpaceDE/>
        <w:autoSpaceDN/>
        <w:bidi w:val="0"/>
        <w:adjustRightInd/>
        <w:snapToGrid w:val="0"/>
        <w:spacing w:line="578"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附图1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昌乐县中心城区声环境功能区划分图</w:t>
      </w:r>
    </w:p>
    <w:p>
      <w:pPr>
        <w:keepNext w:val="0"/>
        <w:keepLines w:val="0"/>
        <w:pageBreakBefore w:val="0"/>
        <w:widowControl w:val="0"/>
        <w:kinsoku/>
        <w:wordWrap/>
        <w:overflowPunct/>
        <w:topLinePunct w:val="0"/>
        <w:autoSpaceDE/>
        <w:autoSpaceDN/>
        <w:bidi w:val="0"/>
        <w:adjustRightInd/>
        <w:snapToGrid w:val="0"/>
        <w:spacing w:line="578" w:lineRule="exact"/>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附图2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昌乐县中心城区噪声敏感建筑物集中区域划分</w:t>
      </w:r>
      <w:r>
        <w:rPr>
          <w:rFonts w:hint="eastAsia" w:ascii="仿宋_GB2312" w:hAnsi="仿宋_GB2312" w:eastAsia="仿宋_GB2312" w:cs="仿宋_GB2312"/>
          <w:b/>
          <w:bCs/>
          <w:sz w:val="32"/>
          <w:szCs w:val="32"/>
          <w:lang w:val="en-US" w:eastAsia="zh-CN"/>
        </w:rPr>
        <w:t>图</w:t>
      </w:r>
    </w:p>
    <w:p>
      <w:pPr>
        <w:pStyle w:val="3"/>
        <w:keepNext w:val="0"/>
        <w:keepLines w:val="0"/>
        <w:pageBreakBefore w:val="0"/>
        <w:widowControl w:val="0"/>
        <w:kinsoku/>
        <w:topLinePunct w:val="0"/>
        <w:bidi w:val="0"/>
        <w:ind w:firstLine="600"/>
        <w:rPr>
          <w:rFonts w:ascii="Times New Roman" w:hAnsi="Times New Roman"/>
          <w:b/>
          <w:bCs/>
        </w:rPr>
      </w:pPr>
    </w:p>
    <w:p>
      <w:pPr>
        <w:pStyle w:val="13"/>
        <w:keepNext w:val="0"/>
        <w:keepLines w:val="0"/>
        <w:pageBreakBefore w:val="0"/>
        <w:widowControl w:val="0"/>
        <w:kinsoku/>
        <w:topLinePunct w:val="0"/>
        <w:bidi w:val="0"/>
        <w:ind w:left="600"/>
        <w:rPr>
          <w:rStyle w:val="28"/>
          <w:rFonts w:ascii="Times New Roman" w:hAnsi="Times New Roman" w:eastAsia="仿宋"/>
          <w:b/>
          <w:bCs/>
          <w:sz w:val="32"/>
          <w:szCs w:val="32"/>
          <w:shd w:val="clear" w:color="auto" w:fill="FFFFFF"/>
        </w:rPr>
      </w:pPr>
    </w:p>
    <w:p>
      <w:pPr>
        <w:pStyle w:val="3"/>
        <w:keepNext w:val="0"/>
        <w:keepLines w:val="0"/>
        <w:pageBreakBefore w:val="0"/>
        <w:widowControl w:val="0"/>
        <w:kinsoku/>
        <w:wordWrap/>
        <w:overflowPunct/>
        <w:topLinePunct w:val="0"/>
        <w:autoSpaceDE/>
        <w:autoSpaceDN/>
        <w:bidi w:val="0"/>
        <w:snapToGrid w:val="0"/>
        <w:spacing w:line="578" w:lineRule="exact"/>
        <w:textAlignment w:val="auto"/>
        <w:rPr>
          <w:rStyle w:val="28"/>
          <w:rFonts w:hint="eastAsia" w:ascii="仿宋_GB2312" w:hAnsi="仿宋_GB2312" w:eastAsia="仿宋_GB2312" w:cs="仿宋_GB2312"/>
          <w:b/>
          <w:bCs/>
          <w:sz w:val="32"/>
          <w:szCs w:val="32"/>
          <w:shd w:val="clear" w:color="auto" w:fill="FFFFFF"/>
        </w:rPr>
        <w:sectPr>
          <w:footerReference r:id="rId6" w:type="default"/>
          <w:pgSz w:w="11906" w:h="16838"/>
          <w:pgMar w:top="2098" w:right="1417" w:bottom="1984" w:left="1417" w:header="851" w:footer="1304" w:gutter="0"/>
          <w:pgNumType w:fmt="numberInDash"/>
          <w:cols w:space="720" w:num="1"/>
          <w:docGrid w:type="lines" w:linePitch="312" w:charSpace="0"/>
        </w:sectPr>
      </w:pPr>
    </w:p>
    <w:p>
      <w:pPr>
        <w:keepNext w:val="0"/>
        <w:keepLines w:val="0"/>
        <w:pageBreakBefore w:val="0"/>
        <w:widowControl w:val="0"/>
        <w:kinsoku/>
        <w:topLinePunct w:val="0"/>
        <w:bidi w:val="0"/>
        <w:spacing w:line="480" w:lineRule="exact"/>
        <w:ind w:firstLine="0"/>
        <w:jc w:val="left"/>
        <w:outlineLvl w:val="0"/>
        <w:rPr>
          <w:rFonts w:hint="eastAsia" w:ascii="黑体" w:hAnsi="黑体" w:eastAsia="黑体" w:cs="黑体"/>
          <w:b/>
          <w:bCs/>
          <w:sz w:val="32"/>
          <w:szCs w:val="32"/>
        </w:rPr>
      </w:pPr>
      <w:r>
        <w:rPr>
          <w:rFonts w:hint="eastAsia" w:ascii="黑体" w:hAnsi="黑体" w:eastAsia="黑体" w:cs="黑体"/>
          <w:b/>
          <w:bCs/>
          <w:sz w:val="32"/>
          <w:szCs w:val="32"/>
        </w:rPr>
        <w:t xml:space="preserve">附表1 </w:t>
      </w:r>
    </w:p>
    <w:p>
      <w:pPr>
        <w:keepNext w:val="0"/>
        <w:keepLines w:val="0"/>
        <w:pageBreakBefore w:val="0"/>
        <w:widowControl w:val="0"/>
        <w:kinsoku/>
        <w:wordWrap/>
        <w:overflowPunct/>
        <w:topLinePunct w:val="0"/>
        <w:autoSpaceDE/>
        <w:autoSpaceDN/>
        <w:bidi w:val="0"/>
        <w:adjustRightInd w:val="0"/>
        <w:snapToGrid w:val="0"/>
        <w:spacing w:after="156" w:afterLines="50" w:line="680" w:lineRule="exact"/>
        <w:ind w:firstLine="0"/>
        <w:jc w:val="center"/>
        <w:textAlignment w:val="auto"/>
        <w:rPr>
          <w:rStyle w:val="28"/>
          <w:rFonts w:hint="eastAsia" w:ascii="黑体" w:hAnsi="黑体" w:eastAsia="黑体" w:cs="黑体"/>
          <w:b/>
          <w:bCs/>
          <w:sz w:val="32"/>
          <w:szCs w:val="32"/>
          <w:shd w:val="clear" w:color="auto" w:fill="FFFFFF"/>
        </w:rPr>
      </w:pPr>
      <w:r>
        <w:rPr>
          <w:rStyle w:val="28"/>
          <w:rFonts w:hint="eastAsia" w:ascii="黑体" w:hAnsi="黑体" w:eastAsia="黑体" w:cs="黑体"/>
          <w:b/>
          <w:bCs/>
          <w:sz w:val="32"/>
          <w:szCs w:val="32"/>
          <w:shd w:val="clear" w:color="auto" w:fill="FFFFFF"/>
        </w:rPr>
        <w:t>昌乐县中心城区声环境功能区划分表</w:t>
      </w:r>
    </w:p>
    <w:p>
      <w:pPr>
        <w:keepNext w:val="0"/>
        <w:keepLines w:val="0"/>
        <w:pageBreakBefore w:val="0"/>
        <w:widowControl w:val="0"/>
        <w:kinsoku/>
        <w:topLinePunct w:val="0"/>
        <w:bidi w:val="0"/>
        <w:spacing w:line="360" w:lineRule="auto"/>
        <w:ind w:firstLine="0"/>
        <w:jc w:val="center"/>
        <w:rPr>
          <w:rFonts w:hint="eastAsia" w:ascii="黑体" w:hAnsi="黑体" w:eastAsia="黑体" w:cs="黑体"/>
          <w:b/>
          <w:bCs/>
        </w:rPr>
      </w:pPr>
      <w:r>
        <w:rPr>
          <w:rStyle w:val="29"/>
          <w:rFonts w:hint="eastAsia" w:ascii="黑体" w:hAnsi="黑体" w:eastAsia="黑体" w:cs="黑体"/>
          <w:b/>
          <w:bCs/>
          <w:color w:val="000000"/>
          <w:lang w:bidi="ar"/>
        </w:rPr>
        <w:t>表</w:t>
      </w:r>
      <w:r>
        <w:rPr>
          <w:rStyle w:val="29"/>
          <w:rFonts w:hint="eastAsia" w:ascii="黑体" w:hAnsi="黑体" w:eastAsia="黑体" w:cs="黑体"/>
          <w:b/>
          <w:bCs/>
          <w:color w:val="000000"/>
        </w:rPr>
        <w:t xml:space="preserve">  </w:t>
      </w:r>
      <w:r>
        <w:rPr>
          <w:rStyle w:val="29"/>
          <w:rFonts w:hint="eastAsia" w:ascii="黑体" w:hAnsi="黑体" w:eastAsia="黑体" w:cs="黑体"/>
          <w:b/>
          <w:bCs/>
          <w:color w:val="000000"/>
          <w:lang w:bidi="ar"/>
        </w:rPr>
        <w:t>城区</w:t>
      </w:r>
      <w:r>
        <w:rPr>
          <w:rStyle w:val="29"/>
          <w:rFonts w:hint="eastAsia" w:ascii="黑体" w:hAnsi="黑体" w:eastAsia="黑体" w:cs="黑体"/>
          <w:b/>
          <w:bCs/>
          <w:color w:val="000000"/>
        </w:rPr>
        <w:t>1</w:t>
      </w:r>
      <w:r>
        <w:rPr>
          <w:rStyle w:val="29"/>
          <w:rFonts w:hint="eastAsia" w:ascii="黑体" w:hAnsi="黑体" w:eastAsia="黑体" w:cs="黑体"/>
          <w:b/>
          <w:bCs/>
          <w:color w:val="000000"/>
          <w:lang w:bidi="ar"/>
        </w:rPr>
        <w:t>类声环境功能区划分情况表</w:t>
      </w:r>
    </w:p>
    <w:tbl>
      <w:tblPr>
        <w:tblStyle w:val="17"/>
        <w:tblW w:w="5000" w:type="pct"/>
        <w:jc w:val="center"/>
        <w:tblLayout w:type="autofit"/>
        <w:tblCellMar>
          <w:top w:w="0" w:type="dxa"/>
          <w:left w:w="108" w:type="dxa"/>
          <w:bottom w:w="0" w:type="dxa"/>
          <w:right w:w="108" w:type="dxa"/>
        </w:tblCellMar>
      </w:tblPr>
      <w:tblGrid>
        <w:gridCol w:w="1386"/>
        <w:gridCol w:w="4822"/>
        <w:gridCol w:w="2314"/>
      </w:tblGrid>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划分单元</w:t>
            </w:r>
          </w:p>
        </w:tc>
        <w:tc>
          <w:tcPr>
            <w:tcW w:w="283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划分界限</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行政区域</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12</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北三里街-新昌北路-新城街-宝石城二路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-站北街-宝昌路-营丘街-北三里街</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宝城街道/宝都街道</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17</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利民街-宝昌路-恒安街</w:t>
            </w:r>
            <w:r>
              <w:rPr>
                <w:rFonts w:hint="eastAsia" w:ascii="仿宋_GB2312" w:hAnsi="仿宋_GB2312" w:eastAsia="仿宋_GB2312" w:cs="仿宋_GB2312"/>
                <w:b/>
                <w:bCs/>
                <w:color w:val="000000"/>
                <w:kern w:val="0"/>
                <w:sz w:val="24"/>
                <w:szCs w:val="24"/>
                <w:lang w:val="en-US" w:eastAsia="zh-CN" w:bidi="ar"/>
              </w:rPr>
              <w:t>-</w:t>
            </w:r>
            <w:r>
              <w:rPr>
                <w:rFonts w:hint="eastAsia" w:ascii="仿宋_GB2312" w:hAnsi="仿宋_GB2312" w:eastAsia="仿宋_GB2312" w:cs="仿宋_GB2312"/>
                <w:b/>
                <w:bCs/>
                <w:color w:val="000000"/>
                <w:kern w:val="0"/>
                <w:sz w:val="24"/>
                <w:szCs w:val="24"/>
                <w:lang w:bidi="ar"/>
              </w:rPr>
              <w:t>昌盛街-湖滨路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-流泉街-青年路-利民街</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22</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昌盛街-首阳山路-流泉街--方山路-昌盛街</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25</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流泉街-方山路-宝通路-湖滨路-流泉街</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29</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首阳山国家森林公园南侧边界-宝通街</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CellMar>
            <w:top w:w="0" w:type="dxa"/>
            <w:left w:w="108" w:type="dxa"/>
            <w:bottom w:w="0" w:type="dxa"/>
            <w:right w:w="108" w:type="dxa"/>
          </w:tblCellMar>
        </w:tblPrEx>
        <w:trPr>
          <w:jc w:val="center"/>
        </w:trPr>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34</w:t>
            </w:r>
          </w:p>
        </w:tc>
        <w:tc>
          <w:tcPr>
            <w:tcW w:w="28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首阳山路-首阳山路南侧城区边界-新昌路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-首阳山路</w:t>
            </w:r>
          </w:p>
        </w:tc>
        <w:tc>
          <w:tcPr>
            <w:tcW w:w="135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lang w:bidi="ar"/>
              </w:rPr>
            </w:pPr>
            <w:r>
              <w:rPr>
                <w:rFonts w:hint="eastAsia" w:ascii="仿宋_GB2312" w:hAnsi="仿宋_GB2312" w:eastAsia="仿宋_GB2312" w:cs="仿宋_GB2312"/>
                <w:b/>
                <w:bCs/>
                <w:color w:val="000000"/>
                <w:kern w:val="0"/>
                <w:sz w:val="21"/>
                <w:szCs w:val="21"/>
                <w:lang w:bidi="ar"/>
              </w:rPr>
              <w:t>五图街道</w:t>
            </w:r>
          </w:p>
        </w:tc>
      </w:tr>
      <w:tr>
        <w:tblPrEx>
          <w:tblCellMar>
            <w:top w:w="0" w:type="dxa"/>
            <w:left w:w="108" w:type="dxa"/>
            <w:bottom w:w="0" w:type="dxa"/>
            <w:right w:w="108" w:type="dxa"/>
          </w:tblCellMar>
        </w:tblPrEx>
        <w:trPr>
          <w:jc w:val="center"/>
        </w:trPr>
        <w:tc>
          <w:tcPr>
            <w:tcW w:w="5000" w:type="pct"/>
            <w:gridSpan w:val="3"/>
            <w:tcBorders>
              <w:top w:val="single" w:color="auto" w:sz="4" w:space="0"/>
              <w:left w:val="nil"/>
              <w:bottom w:val="single" w:color="auto" w:sz="4" w:space="0"/>
              <w:right w:val="nil"/>
            </w:tcBorders>
            <w:noWrap/>
            <w:vAlign w:val="bottom"/>
          </w:tcPr>
          <w:p>
            <w:pPr>
              <w:keepNext w:val="0"/>
              <w:keepLines w:val="0"/>
              <w:pageBreakBefore w:val="0"/>
              <w:widowControl w:val="0"/>
              <w:kinsoku/>
              <w:topLinePunct w:val="0"/>
              <w:bidi w:val="0"/>
              <w:spacing w:line="360" w:lineRule="auto"/>
              <w:ind w:firstLine="0"/>
              <w:jc w:val="center"/>
              <w:rPr>
                <w:b/>
                <w:bCs/>
              </w:rPr>
            </w:pPr>
          </w:p>
          <w:p>
            <w:pPr>
              <w:keepNext w:val="0"/>
              <w:keepLines w:val="0"/>
              <w:pageBreakBefore w:val="0"/>
              <w:widowControl w:val="0"/>
              <w:kinsoku/>
              <w:topLinePunct w:val="0"/>
              <w:bidi w:val="0"/>
              <w:spacing w:line="360" w:lineRule="auto"/>
              <w:ind w:firstLine="0"/>
              <w:jc w:val="center"/>
              <w:rPr>
                <w:rStyle w:val="29"/>
                <w:rFonts w:hint="eastAsia" w:ascii="黑体" w:hAnsi="黑体" w:eastAsia="黑体" w:cs="黑体"/>
                <w:b/>
                <w:bCs/>
                <w:color w:val="000000"/>
                <w:lang w:bidi="ar"/>
              </w:rPr>
            </w:pPr>
            <w:r>
              <w:rPr>
                <w:rFonts w:hint="eastAsia" w:ascii="黑体" w:hAnsi="黑体" w:eastAsia="黑体" w:cs="黑体"/>
                <w:b/>
                <w:bCs/>
              </w:rPr>
              <w:br w:type="page"/>
            </w:r>
            <w:r>
              <w:rPr>
                <w:rStyle w:val="29"/>
                <w:rFonts w:hint="eastAsia" w:ascii="黑体" w:hAnsi="黑体" w:eastAsia="黑体" w:cs="黑体"/>
                <w:b/>
                <w:bCs/>
                <w:color w:val="000000"/>
                <w:lang w:bidi="ar"/>
              </w:rPr>
              <w:t>表  城区2类声环境功能区划分情况表</w:t>
            </w:r>
          </w:p>
          <w:tbl>
            <w:tblPr>
              <w:tblStyle w:val="17"/>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4820"/>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划分单元</w:t>
                  </w:r>
                </w:p>
              </w:tc>
              <w:tc>
                <w:tcPr>
                  <w:tcW w:w="283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划分界限</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5</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英轩街-方山路-新城街-新昌北路-北三里街-育昌路-营丘街-宝昌路-育昌路-英轩街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11</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营丘街-宝昌路-利民街-青年路-营丘街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13</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营丘街-</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-胶济铁路-方山路-站北街-宝石城二路-新城街-方山路-营丘街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14</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站北街-方山路-利民街-宝昌路-站北街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18</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利民街-方山路-昌盛街-恒安街-宝昌路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-利民街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19</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利民街-</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-昌盛街-方山路-利民街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21</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昌盛街-方山路-流泉街-湖滨路-昌盛街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23</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恒安街-首阳山国家</w:t>
                  </w:r>
                  <w:r>
                    <w:rPr>
                      <w:rFonts w:hint="eastAsia" w:ascii="仿宋_GB2312" w:hAnsi="仿宋_GB2312" w:eastAsia="仿宋_GB2312" w:cs="仿宋_GB2312"/>
                      <w:b/>
                      <w:bCs/>
                      <w:color w:val="000000"/>
                      <w:kern w:val="0"/>
                      <w:sz w:val="24"/>
                      <w:szCs w:val="24"/>
                      <w:lang w:val="en-US" w:eastAsia="zh-CN" w:bidi="ar"/>
                    </w:rPr>
                    <w:t>森</w:t>
                  </w:r>
                  <w:r>
                    <w:rPr>
                      <w:rFonts w:hint="eastAsia" w:ascii="仿宋_GB2312" w:hAnsi="仿宋_GB2312" w:eastAsia="仿宋_GB2312" w:cs="仿宋_GB2312"/>
                      <w:b/>
                      <w:bCs/>
                      <w:color w:val="000000"/>
                      <w:kern w:val="0"/>
                      <w:sz w:val="24"/>
                      <w:szCs w:val="24"/>
                      <w:lang w:bidi="ar"/>
                    </w:rPr>
                    <w:t>林公园西边界</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highlight w:val="none"/>
                      <w:lang w:eastAsia="zh-CN" w:bidi="ar"/>
                    </w:rPr>
                    <w:t>首阳山路</w:t>
                  </w: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lang w:bidi="ar"/>
                    </w:rPr>
                    <w:t>恒安街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24</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流泉街-湖滨路-宝通街-青年路-流泉街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26</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流泉街-</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-宝通街-宝通街南侧城区边界-方山路-流泉街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27</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-宝通街-宝通街北侧城区</w:t>
                  </w:r>
                  <w:r>
                    <w:rPr>
                      <w:rFonts w:hint="eastAsia" w:ascii="仿宋_GB2312" w:hAnsi="仿宋_GB2312" w:eastAsia="仿宋_GB2312" w:cs="仿宋_GB2312"/>
                      <w:b/>
                      <w:bCs/>
                      <w:color w:val="000000"/>
                      <w:kern w:val="0"/>
                      <w:sz w:val="24"/>
                      <w:szCs w:val="24"/>
                      <w:lang w:val="en-US" w:eastAsia="zh-CN" w:bidi="ar"/>
                    </w:rPr>
                    <w:t>边界</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highlight w:val="none"/>
                      <w:lang w:eastAsia="zh-CN" w:bidi="ar"/>
                    </w:rPr>
                    <w:t>首阳山路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28</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bidi="ar"/>
                    </w:rPr>
                    <w:t>宝通街南侧昌乐县</w:t>
                  </w:r>
                  <w:r>
                    <w:rPr>
                      <w:rFonts w:hint="eastAsia" w:ascii="仿宋_GB2312" w:hAnsi="仿宋_GB2312" w:eastAsia="仿宋_GB2312" w:cs="仿宋_GB2312"/>
                      <w:b/>
                      <w:bCs/>
                      <w:color w:val="000000"/>
                      <w:kern w:val="0"/>
                      <w:sz w:val="24"/>
                      <w:szCs w:val="24"/>
                      <w:highlight w:val="none"/>
                      <w:lang w:bidi="ar"/>
                    </w:rPr>
                    <w:t>实验中学</w:t>
                  </w:r>
                  <w:r>
                    <w:rPr>
                      <w:rFonts w:hint="eastAsia" w:ascii="仿宋_GB2312" w:hAnsi="仿宋_GB2312" w:eastAsia="仿宋_GB2312" w:cs="仿宋_GB2312"/>
                      <w:b/>
                      <w:bCs/>
                      <w:color w:val="000000"/>
                      <w:kern w:val="0"/>
                      <w:sz w:val="24"/>
                      <w:szCs w:val="24"/>
                      <w:lang w:val="en-US" w:eastAsia="zh-CN" w:bidi="ar"/>
                    </w:rPr>
                    <w:t>区域</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30</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宝通街</w:t>
                  </w:r>
                  <w:r>
                    <w:rPr>
                      <w:rFonts w:hint="eastAsia" w:ascii="仿宋_GB2312" w:hAnsi="仿宋_GB2312" w:eastAsia="仿宋_GB2312" w:cs="仿宋_GB2312"/>
                      <w:b/>
                      <w:bCs/>
                      <w:color w:val="000000"/>
                      <w:kern w:val="0"/>
                      <w:sz w:val="24"/>
                      <w:szCs w:val="24"/>
                      <w:lang w:val="en-US" w:eastAsia="zh-CN" w:bidi="ar"/>
                    </w:rPr>
                    <w:t>南</w:t>
                  </w:r>
                  <w:r>
                    <w:rPr>
                      <w:rFonts w:hint="eastAsia" w:ascii="仿宋_GB2312" w:hAnsi="仿宋_GB2312" w:eastAsia="仿宋_GB2312" w:cs="仿宋_GB2312"/>
                      <w:b/>
                      <w:bCs/>
                      <w:color w:val="000000"/>
                      <w:kern w:val="0"/>
                      <w:sz w:val="24"/>
                      <w:szCs w:val="24"/>
                      <w:highlight w:val="none"/>
                      <w:lang w:bidi="ar"/>
                    </w:rPr>
                    <w:t>侧</w:t>
                  </w:r>
                  <w:r>
                    <w:rPr>
                      <w:rFonts w:hint="eastAsia" w:ascii="仿宋_GB2312" w:hAnsi="仿宋_GB2312" w:eastAsia="仿宋_GB2312" w:cs="仿宋_GB2312"/>
                      <w:b/>
                      <w:bCs/>
                      <w:color w:val="000000"/>
                      <w:kern w:val="0"/>
                      <w:sz w:val="24"/>
                      <w:szCs w:val="24"/>
                      <w:highlight w:val="none"/>
                      <w:lang w:val="en-US" w:eastAsia="zh-CN" w:bidi="ar"/>
                    </w:rPr>
                    <w:t>潍坊美加实验学校</w:t>
                  </w:r>
                  <w:r>
                    <w:rPr>
                      <w:rFonts w:hint="eastAsia" w:ascii="仿宋_GB2312" w:hAnsi="仿宋_GB2312" w:eastAsia="仿宋_GB2312" w:cs="仿宋_GB2312"/>
                      <w:b/>
                      <w:bCs/>
                      <w:color w:val="000000"/>
                      <w:kern w:val="0"/>
                      <w:sz w:val="24"/>
                      <w:szCs w:val="24"/>
                      <w:highlight w:val="none"/>
                      <w:lang w:bidi="ar"/>
                    </w:rPr>
                    <w:t>区域</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31</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宝通街</w:t>
                  </w:r>
                  <w:r>
                    <w:rPr>
                      <w:rFonts w:hint="eastAsia" w:ascii="仿宋_GB2312" w:hAnsi="仿宋_GB2312" w:eastAsia="仿宋_GB2312" w:cs="仿宋_GB2312"/>
                      <w:b/>
                      <w:bCs/>
                      <w:color w:val="000000"/>
                      <w:kern w:val="0"/>
                      <w:sz w:val="24"/>
                      <w:szCs w:val="24"/>
                      <w:lang w:val="en-US" w:eastAsia="zh-CN" w:bidi="ar"/>
                    </w:rPr>
                    <w:t>南</w:t>
                  </w:r>
                  <w:r>
                    <w:rPr>
                      <w:rFonts w:hint="eastAsia" w:ascii="仿宋_GB2312" w:hAnsi="仿宋_GB2312" w:eastAsia="仿宋_GB2312" w:cs="仿宋_GB2312"/>
                      <w:b/>
                      <w:bCs/>
                      <w:color w:val="000000"/>
                      <w:kern w:val="0"/>
                      <w:sz w:val="24"/>
                      <w:szCs w:val="24"/>
                      <w:highlight w:val="none"/>
                      <w:lang w:bidi="ar"/>
                    </w:rPr>
                    <w:t>侧区域</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32</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default"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金都世纪城、崔家庄子村、英才实验学校区域</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宝都街道-五图街道</w:t>
                  </w:r>
                </w:p>
              </w:tc>
            </w:tr>
          </w:tbl>
          <w:p>
            <w:pPr>
              <w:keepNext w:val="0"/>
              <w:keepLines w:val="0"/>
              <w:pageBreakBefore w:val="0"/>
              <w:widowControl w:val="0"/>
              <w:kinsoku/>
              <w:topLinePunct w:val="0"/>
              <w:bidi w:val="0"/>
              <w:spacing w:line="360" w:lineRule="auto"/>
              <w:ind w:firstLine="0"/>
              <w:jc w:val="center"/>
              <w:rPr>
                <w:rStyle w:val="29"/>
                <w:rFonts w:ascii="Times New Roman" w:hAnsi="Times New Roman" w:eastAsia="宋体" w:cs="Times New Roman"/>
                <w:b/>
                <w:bCs/>
                <w:color w:val="000000"/>
                <w:lang w:bidi="ar"/>
              </w:rPr>
            </w:pPr>
          </w:p>
          <w:p>
            <w:pPr>
              <w:keepNext w:val="0"/>
              <w:keepLines w:val="0"/>
              <w:pageBreakBefore w:val="0"/>
              <w:widowControl w:val="0"/>
              <w:kinsoku/>
              <w:topLinePunct w:val="0"/>
              <w:bidi w:val="0"/>
              <w:spacing w:line="360" w:lineRule="auto"/>
              <w:ind w:firstLine="0"/>
              <w:jc w:val="center"/>
              <w:rPr>
                <w:rStyle w:val="29"/>
                <w:rFonts w:hint="eastAsia" w:ascii="黑体" w:hAnsi="黑体" w:eastAsia="黑体" w:cs="黑体"/>
                <w:b/>
                <w:bCs/>
                <w:color w:val="000000"/>
                <w:lang w:bidi="ar"/>
              </w:rPr>
            </w:pPr>
            <w:r>
              <w:rPr>
                <w:rStyle w:val="29"/>
                <w:rFonts w:hint="eastAsia" w:ascii="黑体" w:hAnsi="黑体" w:eastAsia="黑体" w:cs="黑体"/>
                <w:b/>
                <w:bCs/>
                <w:color w:val="000000"/>
                <w:lang w:bidi="ar"/>
              </w:rPr>
              <w:t>表  城区3类声环境功能区划分情况表</w:t>
            </w:r>
          </w:p>
          <w:tbl>
            <w:tblPr>
              <w:tblStyle w:val="17"/>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4820"/>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划分单元</w:t>
                  </w:r>
                </w:p>
              </w:tc>
              <w:tc>
                <w:tcPr>
                  <w:tcW w:w="283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划分界限</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kern w:val="0"/>
                      <w:sz w:val="24"/>
                      <w:szCs w:val="24"/>
                      <w:lang w:bidi="ar"/>
                    </w:rPr>
                  </w:pPr>
                  <w:r>
                    <w:rPr>
                      <w:rFonts w:hint="eastAsia" w:ascii="黑体" w:hAnsi="黑体" w:eastAsia="黑体" w:cs="黑体"/>
                      <w:b/>
                      <w:bCs/>
                      <w:color w:val="000000"/>
                      <w:kern w:val="0"/>
                      <w:sz w:val="24"/>
                      <w:szCs w:val="24"/>
                      <w:lang w:bidi="ar"/>
                    </w:rPr>
                    <w:t>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青银高速南侧城区边界-石家庄街-方山路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-英轩街-宝昌路-青银高速南侧城区边界</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青银高速南侧城区边界-</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-英轩街</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-方山路-青银高速南侧城区边界</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青银高速南侧城区边界-东水坡村东侧城区边界-英轩街-</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-青银高速南侧城区边界</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4</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-宝昌路-英轩街-育昌路-宝昌路-营丘街-青年路-新城街-北海路-城界</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highlight w:val="none"/>
                      <w:lang w:val="en-US" w:eastAsia="zh-CN" w:bidi="ar"/>
                    </w:rPr>
                    <w:t>首</w:t>
                  </w:r>
                  <w:r>
                    <w:rPr>
                      <w:rFonts w:hint="eastAsia" w:ascii="仿宋_GB2312" w:hAnsi="仿宋_GB2312" w:eastAsia="仿宋_GB2312" w:cs="仿宋_GB2312"/>
                      <w:b/>
                      <w:bCs/>
                      <w:color w:val="000000"/>
                      <w:kern w:val="0"/>
                      <w:sz w:val="24"/>
                      <w:szCs w:val="24"/>
                      <w:highlight w:val="none"/>
                      <w:lang w:bidi="ar"/>
                    </w:rPr>
                    <w:t>阳山路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6</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英轩街-</w:t>
                  </w:r>
                  <w:r>
                    <w:rPr>
                      <w:rFonts w:hint="eastAsia" w:ascii="仿宋_GB2312" w:hAnsi="仿宋_GB2312" w:eastAsia="仿宋_GB2312" w:cs="仿宋_GB2312"/>
                      <w:b/>
                      <w:bCs/>
                      <w:color w:val="000000"/>
                      <w:kern w:val="0"/>
                      <w:sz w:val="24"/>
                      <w:szCs w:val="24"/>
                      <w:lang w:eastAsia="zh-CN" w:bidi="ar"/>
                    </w:rPr>
                    <w:t>首阳山路</w:t>
                  </w:r>
                  <w:r>
                    <w:rPr>
                      <w:rFonts w:hint="eastAsia" w:ascii="仿宋_GB2312" w:hAnsi="仿宋_GB2312" w:eastAsia="仿宋_GB2312" w:cs="仿宋_GB2312"/>
                      <w:b/>
                      <w:bCs/>
                      <w:color w:val="000000"/>
                      <w:kern w:val="0"/>
                      <w:sz w:val="24"/>
                      <w:szCs w:val="24"/>
                      <w:lang w:bidi="ar"/>
                    </w:rPr>
                    <w:t>-营丘街新城街中段-宝石城一路-营丘街-方山路-英轩街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7</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英轩路-比德文路-新城街-首阳山路-英轩路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8</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英轩街-山水路-胶济铁路-比德文路-英轩街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9</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新城街北侧城区边界-团结路、和谐路北侧城区边界-站北街南侧城区边界-胶济铁路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-山水路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10</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新城街-青年路-胶济铁路-</w:t>
                  </w:r>
                  <w:r>
                    <w:rPr>
                      <w:rFonts w:hint="eastAsia" w:ascii="仿宋_GB2312" w:hAnsi="仿宋_GB2312" w:eastAsia="仿宋_GB2312" w:cs="仿宋_GB2312"/>
                      <w:b/>
                      <w:bCs/>
                      <w:color w:val="000000"/>
                      <w:kern w:val="0"/>
                      <w:sz w:val="24"/>
                      <w:szCs w:val="24"/>
                      <w:lang w:val="en-US" w:eastAsia="zh-CN" w:bidi="ar"/>
                    </w:rPr>
                    <w:t>西</w:t>
                  </w:r>
                  <w:r>
                    <w:rPr>
                      <w:rFonts w:hint="eastAsia" w:ascii="仿宋_GB2312" w:hAnsi="仿宋_GB2312" w:eastAsia="仿宋_GB2312" w:cs="仿宋_GB2312"/>
                      <w:b/>
                      <w:bCs/>
                      <w:color w:val="000000"/>
                      <w:kern w:val="0"/>
                      <w:sz w:val="24"/>
                      <w:szCs w:val="24"/>
                      <w:highlight w:val="none"/>
                      <w:lang w:val="en-US" w:eastAsia="zh-CN" w:bidi="ar"/>
                    </w:rPr>
                    <w:t>侧</w:t>
                  </w:r>
                  <w:r>
                    <w:rPr>
                      <w:rFonts w:hint="eastAsia" w:ascii="仿宋_GB2312" w:hAnsi="仿宋_GB2312" w:eastAsia="仿宋_GB2312" w:cs="仿宋_GB2312"/>
                      <w:b/>
                      <w:bCs/>
                      <w:color w:val="000000"/>
                      <w:kern w:val="0"/>
                      <w:sz w:val="24"/>
                      <w:szCs w:val="24"/>
                      <w:highlight w:val="none"/>
                      <w:lang w:bidi="ar"/>
                    </w:rPr>
                    <w:t>城</w:t>
                  </w:r>
                  <w:r>
                    <w:rPr>
                      <w:rFonts w:hint="eastAsia" w:ascii="仿宋_GB2312" w:hAnsi="仿宋_GB2312" w:eastAsia="仿宋_GB2312" w:cs="仿宋_GB2312"/>
                      <w:b/>
                      <w:bCs/>
                      <w:color w:val="000000"/>
                      <w:kern w:val="0"/>
                      <w:sz w:val="24"/>
                      <w:szCs w:val="24"/>
                      <w:highlight w:val="none"/>
                      <w:lang w:val="en-US" w:eastAsia="zh-CN" w:bidi="ar"/>
                    </w:rPr>
                    <w:t>区边</w:t>
                  </w:r>
                  <w:r>
                    <w:rPr>
                      <w:rFonts w:hint="eastAsia" w:ascii="仿宋_GB2312" w:hAnsi="仿宋_GB2312" w:eastAsia="仿宋_GB2312" w:cs="仿宋_GB2312"/>
                      <w:b/>
                      <w:bCs/>
                      <w:color w:val="000000"/>
                      <w:kern w:val="0"/>
                      <w:sz w:val="24"/>
                      <w:szCs w:val="24"/>
                      <w:highlight w:val="none"/>
                      <w:lang w:bidi="ar"/>
                    </w:rPr>
                    <w:t>界</w:t>
                  </w:r>
                  <w:r>
                    <w:rPr>
                      <w:rFonts w:hint="eastAsia" w:ascii="仿宋_GB2312" w:hAnsi="仿宋_GB2312" w:eastAsia="仿宋_GB2312" w:cs="仿宋_GB2312"/>
                      <w:b/>
                      <w:bCs/>
                      <w:color w:val="000000"/>
                      <w:kern w:val="0"/>
                      <w:sz w:val="24"/>
                      <w:szCs w:val="24"/>
                      <w:lang w:bidi="ar"/>
                    </w:rPr>
                    <w:t>-新城街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15</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bidi="ar"/>
                    </w:rPr>
                    <w:t>新城街-比德文路-胶济铁路-</w:t>
                  </w:r>
                  <w:r>
                    <w:rPr>
                      <w:rFonts w:hint="eastAsia" w:ascii="仿宋_GB2312" w:hAnsi="仿宋_GB2312" w:eastAsia="仿宋_GB2312" w:cs="仿宋_GB2312"/>
                      <w:b/>
                      <w:bCs/>
                      <w:color w:val="000000"/>
                      <w:kern w:val="0"/>
                      <w:sz w:val="24"/>
                      <w:szCs w:val="24"/>
                      <w:lang w:eastAsia="zh-CN" w:bidi="ar"/>
                    </w:rPr>
                    <w:t>首阳山路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-新城街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16</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胶济铁路-青年路-城界-北海路-城界</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-胶济铁路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20</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胶济铁路-潍昌路南侧铁路线-胶济铁路</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宝城街道-朱刘街道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07" w:type="pct"/>
                  <w:shd w:val="clear" w:color="auto" w:fill="auto"/>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33</w:t>
                  </w:r>
                </w:p>
              </w:tc>
              <w:tc>
                <w:tcPr>
                  <w:tcW w:w="2837"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永祥街-新昌路-永兴街-城界-永祥街</w:t>
                  </w:r>
                </w:p>
              </w:tc>
              <w:tc>
                <w:tcPr>
                  <w:tcW w:w="1356" w:type="pct"/>
                  <w:shd w:val="clear" w:color="auto" w:fill="auto"/>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五图街道</w:t>
                  </w:r>
                </w:p>
              </w:tc>
            </w:tr>
          </w:tbl>
          <w:p>
            <w:pPr>
              <w:pStyle w:val="3"/>
              <w:keepNext w:val="0"/>
              <w:keepLines w:val="0"/>
              <w:pageBreakBefore w:val="0"/>
              <w:widowControl w:val="0"/>
              <w:kinsoku/>
              <w:topLinePunct w:val="0"/>
              <w:bidi w:val="0"/>
              <w:ind w:firstLine="0" w:firstLineChars="0"/>
              <w:rPr>
                <w:b/>
                <w:bCs/>
              </w:rPr>
            </w:pPr>
          </w:p>
        </w:tc>
      </w:tr>
    </w:tbl>
    <w:p>
      <w:pPr>
        <w:keepNext w:val="0"/>
        <w:keepLines w:val="0"/>
        <w:pageBreakBefore w:val="0"/>
        <w:widowControl w:val="0"/>
        <w:kinsoku/>
        <w:topLinePunct w:val="0"/>
        <w:bidi w:val="0"/>
        <w:ind w:firstLine="0"/>
        <w:textAlignment w:val="center"/>
        <w:rPr>
          <w:rStyle w:val="29"/>
          <w:rFonts w:ascii="Times New Roman" w:hAnsi="Times New Roman" w:eastAsia="宋体" w:cs="Times New Roman"/>
          <w:b/>
          <w:bCs/>
          <w:color w:val="000000"/>
          <w:lang w:bidi="ar"/>
        </w:rPr>
        <w:sectPr>
          <w:pgSz w:w="11906" w:h="16838"/>
          <w:pgMar w:top="1440" w:right="1800" w:bottom="1440" w:left="1800" w:header="851" w:footer="1304" w:gutter="0"/>
          <w:pgNumType w:fmt="numberInDash"/>
          <w:cols w:space="720" w:num="1"/>
          <w:docGrid w:type="lines" w:linePitch="312" w:charSpace="0"/>
        </w:sectPr>
      </w:pPr>
    </w:p>
    <w:p>
      <w:pPr>
        <w:keepNext w:val="0"/>
        <w:keepLines w:val="0"/>
        <w:pageBreakBefore w:val="0"/>
        <w:widowControl w:val="0"/>
        <w:kinsoku/>
        <w:topLinePunct w:val="0"/>
        <w:bidi w:val="0"/>
        <w:ind w:firstLine="0"/>
        <w:outlineLvl w:val="0"/>
        <w:rPr>
          <w:rFonts w:ascii="Times New Roman" w:hAnsi="Times New Roman" w:eastAsia="宋体"/>
          <w:b/>
          <w:bCs/>
          <w:sz w:val="32"/>
          <w:szCs w:val="32"/>
        </w:rPr>
      </w:pPr>
      <w:r>
        <w:rPr>
          <w:rFonts w:hint="eastAsia" w:ascii="黑体" w:hAnsi="黑体" w:eastAsia="黑体" w:cs="黑体"/>
          <w:b/>
          <w:bCs/>
          <w:sz w:val="32"/>
          <w:szCs w:val="32"/>
        </w:rPr>
        <w:t>附表2</w:t>
      </w:r>
      <w:r>
        <w:rPr>
          <w:rFonts w:ascii="Times New Roman" w:hAnsi="Times New Roman" w:eastAsia="黑体"/>
          <w:b/>
          <w:bCs/>
          <w:sz w:val="32"/>
          <w:szCs w:val="32"/>
        </w:rPr>
        <w:t xml:space="preserve"> </w:t>
      </w:r>
      <w:r>
        <w:rPr>
          <w:rFonts w:ascii="Times New Roman" w:hAnsi="Times New Roman" w:eastAsia="仿宋"/>
          <w:b/>
          <w:bCs/>
          <w:sz w:val="32"/>
          <w:szCs w:val="32"/>
        </w:rPr>
        <w:t xml:space="preserve"> </w:t>
      </w:r>
      <w:r>
        <w:rPr>
          <w:rFonts w:ascii="Times New Roman" w:hAnsi="Times New Roman" w:eastAsia="宋体"/>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before="228" w:beforeLines="50" w:after="228" w:afterLines="50" w:line="680" w:lineRule="exact"/>
        <w:ind w:firstLine="0"/>
        <w:jc w:val="center"/>
        <w:textAlignment w:val="auto"/>
        <w:outlineLvl w:val="0"/>
        <w:rPr>
          <w:rStyle w:val="28"/>
          <w:rFonts w:hint="eastAsia" w:ascii="黑体" w:hAnsi="黑体" w:eastAsia="黑体" w:cs="黑体"/>
          <w:b/>
          <w:bCs/>
          <w:sz w:val="32"/>
          <w:szCs w:val="32"/>
          <w:shd w:val="clear" w:color="auto" w:fill="FFFFFF"/>
        </w:rPr>
      </w:pPr>
      <w:r>
        <w:rPr>
          <w:rStyle w:val="28"/>
          <w:rFonts w:hint="eastAsia" w:ascii="黑体" w:hAnsi="黑体" w:eastAsia="黑体" w:cs="黑体"/>
          <w:b/>
          <w:bCs/>
          <w:sz w:val="32"/>
          <w:szCs w:val="32"/>
          <w:shd w:val="clear" w:color="auto" w:fill="FFFFFF"/>
        </w:rPr>
        <w:t>昌乐县中心城区道路交通干线声环境功能区划分表</w:t>
      </w:r>
    </w:p>
    <w:tbl>
      <w:tblPr>
        <w:tblStyle w:val="17"/>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2"/>
        <w:gridCol w:w="1787"/>
        <w:gridCol w:w="2703"/>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道路名称</w:t>
            </w:r>
          </w:p>
        </w:tc>
        <w:tc>
          <w:tcPr>
            <w:tcW w:w="946" w:type="pct"/>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类别</w:t>
            </w:r>
          </w:p>
        </w:tc>
        <w:tc>
          <w:tcPr>
            <w:tcW w:w="1431" w:type="pct"/>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起点</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胶济铁路</w:t>
            </w:r>
          </w:p>
        </w:tc>
        <w:tc>
          <w:tcPr>
            <w:tcW w:w="946"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铁路</w:t>
            </w: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宝通街</w:t>
            </w:r>
          </w:p>
        </w:tc>
        <w:tc>
          <w:tcPr>
            <w:tcW w:w="946" w:type="pct"/>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快速路</w:t>
            </w: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朱红路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宝通街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新昌路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站前街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新昌北路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石家庄街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方山路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新城街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方山路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c>
          <w:tcPr>
            <w:tcW w:w="946" w:type="pct"/>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主干道</w:t>
            </w: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潍城界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利民街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highlight w:val="none"/>
                <w:lang w:bidi="ar"/>
              </w:rPr>
              <w:t>首阳山路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潍昌路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朱红路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恒安街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宝昌路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昌盛街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方山路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流泉街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青年路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盛唐御园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宝昌路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石家庄街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科技街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科技街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恒安街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湖滨路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恒安街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昌盛街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宝四路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科技街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育昌路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科技街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北三里街</w:t>
            </w:r>
          </w:p>
        </w:tc>
        <w:tc>
          <w:tcPr>
            <w:tcW w:w="946" w:type="pct"/>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次干道</w:t>
            </w: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石大昌盛路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北三里街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育昌路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营丘街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北海路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青年路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营丘街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育昌路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孤山街</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宝昌路</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文化路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站前街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昌盛街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Merge w:val="restar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宝石城二路</w:t>
            </w: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同乐街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1"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科技街</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潍昌路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31"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946" w:type="pct"/>
            <w:vMerge w:val="continue"/>
            <w:vAlign w:val="center"/>
          </w:tcPr>
          <w:p>
            <w:pPr>
              <w:keepNext w:val="0"/>
              <w:keepLines w:val="0"/>
              <w:pageBreakBefore w:val="0"/>
              <w:widowControl w:val="0"/>
              <w:kinsoku/>
              <w:topLinePunct w:val="0"/>
              <w:bidi w:val="0"/>
              <w:ind w:firstLine="0"/>
              <w:jc w:val="center"/>
              <w:rPr>
                <w:rFonts w:hint="eastAsia" w:ascii="仿宋_GB2312" w:hAnsi="仿宋_GB2312" w:eastAsia="仿宋_GB2312" w:cs="仿宋_GB2312"/>
                <w:b/>
                <w:bCs/>
                <w:color w:val="000000"/>
                <w:sz w:val="24"/>
                <w:szCs w:val="24"/>
              </w:rPr>
            </w:pPr>
          </w:p>
        </w:tc>
        <w:tc>
          <w:tcPr>
            <w:tcW w:w="1431"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309国道</w:t>
            </w:r>
          </w:p>
        </w:tc>
        <w:tc>
          <w:tcPr>
            <w:tcW w:w="118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潍昌路</w:t>
            </w:r>
          </w:p>
        </w:tc>
      </w:tr>
    </w:tbl>
    <w:p>
      <w:pPr>
        <w:keepNext w:val="0"/>
        <w:keepLines w:val="0"/>
        <w:pageBreakBefore w:val="0"/>
        <w:widowControl w:val="0"/>
        <w:kinsoku/>
        <w:topLinePunct w:val="0"/>
        <w:bidi w:val="0"/>
        <w:adjustRightInd w:val="0"/>
        <w:snapToGrid w:val="0"/>
        <w:spacing w:line="560" w:lineRule="exact"/>
        <w:ind w:firstLine="0"/>
        <w:jc w:val="left"/>
        <w:outlineLvl w:val="0"/>
        <w:rPr>
          <w:rFonts w:ascii="Times New Roman" w:hAnsi="Times New Roman" w:eastAsia="宋体"/>
          <w:b/>
          <w:bCs/>
          <w:sz w:val="32"/>
          <w:szCs w:val="32"/>
        </w:rPr>
      </w:pPr>
      <w:r>
        <w:rPr>
          <w:rFonts w:hint="eastAsia" w:ascii="黑体" w:hAnsi="黑体" w:eastAsia="黑体" w:cs="黑体"/>
          <w:b/>
          <w:bCs/>
          <w:sz w:val="32"/>
          <w:szCs w:val="32"/>
        </w:rPr>
        <w:t>附表3</w:t>
      </w:r>
      <w:r>
        <w:rPr>
          <w:rFonts w:ascii="Times New Roman" w:hAnsi="Times New Roman" w:eastAsia="黑体"/>
          <w:b/>
          <w:bCs/>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before="228" w:beforeLines="50" w:after="228" w:afterLines="50" w:line="680" w:lineRule="exact"/>
        <w:jc w:val="center"/>
        <w:textAlignment w:val="auto"/>
        <w:rPr>
          <w:rStyle w:val="28"/>
          <w:rFonts w:ascii="Times New Roman" w:hAnsi="Times New Roman" w:eastAsia="仿宋"/>
          <w:b/>
          <w:bCs/>
          <w:sz w:val="32"/>
          <w:szCs w:val="32"/>
          <w:shd w:val="clear" w:color="auto" w:fill="FFFFFF"/>
        </w:rPr>
      </w:pPr>
      <w:r>
        <w:rPr>
          <w:rStyle w:val="28"/>
          <w:rFonts w:hint="eastAsia" w:ascii="黑体" w:hAnsi="黑体" w:eastAsia="黑体" w:cs="黑体"/>
          <w:b/>
          <w:bCs/>
          <w:sz w:val="32"/>
          <w:szCs w:val="32"/>
          <w:shd w:val="clear" w:color="auto" w:fill="FFFFFF"/>
        </w:rPr>
        <w:t>昌乐县中心城区噪声敏感建筑物集中区域划分表</w:t>
      </w:r>
    </w:p>
    <w:tbl>
      <w:tblPr>
        <w:tblStyle w:val="17"/>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4661"/>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划分单元</w:t>
            </w:r>
          </w:p>
        </w:tc>
        <w:tc>
          <w:tcPr>
            <w:tcW w:w="2522" w:type="pct"/>
            <w:noWrap/>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划分界限</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1</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英轩街-方山路-营丘街-新城街-宝昌路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-育昌路-英轩街</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2</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新城街与比德文路交叉口西北处居民住宅集中区</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3</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新城街-比德文路-胶济铁路-青年路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-新城街</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宝都街道/宝城街道/朱刘街道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4</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胶济铁路-方山街-利民路-首阳山路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-昌盛街-青年路-胶济铁路</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5</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昌盛街-首阳山路-宝通街-青年路-昌盛街</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6</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恒安街-首阳山国家森林公园西侧</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-首阳山路-恒安街</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7</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青年路-宝通街道-首阳山路-城区南边界居民住宅集中区</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五图街道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8</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首阳山国家森林公园南侧边界-宝通街</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-宝通街南侧城区边界-宝丰路</w:t>
            </w:r>
          </w:p>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-首阳山国家森林公园南侧边界</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宝都街道/五图街道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9</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宝通街道南侧墓田后村居民住宅集中区</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宝都街道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067" w:type="pct"/>
            <w:noWrap/>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10</w:t>
            </w:r>
          </w:p>
        </w:tc>
        <w:tc>
          <w:tcPr>
            <w:tcW w:w="2522"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首阳山路-首阳山路南侧城区边界-新昌路-首阳山路</w:t>
            </w:r>
          </w:p>
        </w:tc>
        <w:tc>
          <w:tcPr>
            <w:tcW w:w="1409" w:type="pct"/>
            <w:vAlign w:val="center"/>
          </w:tcPr>
          <w:p>
            <w:pPr>
              <w:keepNext w:val="0"/>
              <w:keepLines w:val="0"/>
              <w:pageBreakBefore w:val="0"/>
              <w:widowControl w:val="0"/>
              <w:kinsoku/>
              <w:topLinePunct w:val="0"/>
              <w:bidi w:val="0"/>
              <w:ind w:firstLine="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五图街道</w:t>
            </w:r>
          </w:p>
        </w:tc>
      </w:tr>
    </w:tbl>
    <w:p>
      <w:pPr>
        <w:pStyle w:val="3"/>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sectPr>
          <w:footerReference r:id="rId7" w:type="default"/>
          <w:pgSz w:w="11900" w:h="16838"/>
          <w:pgMar w:top="2098" w:right="1417" w:bottom="1984" w:left="1417" w:header="851" w:footer="1304" w:gutter="0"/>
          <w:pgNumType w:fmt="numberInDash"/>
          <w:cols w:space="0" w:num="1"/>
          <w:rtlGutter w:val="0"/>
          <w:docGrid w:linePitch="453" w:charSpace="0"/>
        </w:sectPr>
      </w:pPr>
    </w:p>
    <w:p>
      <w:pPr>
        <w:spacing w:line="480" w:lineRule="exact"/>
        <w:ind w:firstLine="0"/>
        <w:jc w:val="left"/>
        <w:outlineLvl w:val="0"/>
        <w:rPr>
          <w:rFonts w:ascii="Times New Roman" w:hAnsi="Times New Roman" w:eastAsia="仿宋"/>
          <w:b/>
          <w:bCs/>
          <w:sz w:val="32"/>
          <w:szCs w:val="32"/>
        </w:rPr>
      </w:pPr>
      <w:r>
        <w:rPr>
          <w:rFonts w:hint="eastAsia" w:ascii="黑体" w:hAnsi="黑体" w:eastAsia="黑体" w:cs="黑体"/>
          <w:b/>
          <w:bCs/>
          <w:sz w:val="32"/>
          <w:szCs w:val="32"/>
        </w:rPr>
        <w:t xml:space="preserve">附图1 </w:t>
      </w:r>
      <w:r>
        <w:rPr>
          <w:rFonts w:ascii="Times New Roman" w:hAnsi="Times New Roman" w:eastAsia="仿宋"/>
          <w:b/>
          <w:bCs/>
          <w:sz w:val="32"/>
          <w:szCs w:val="32"/>
        </w:rPr>
        <w:t xml:space="preserve">  </w:t>
      </w:r>
    </w:p>
    <w:p>
      <w:pPr>
        <w:spacing w:line="480" w:lineRule="exact"/>
        <w:ind w:firstLine="0"/>
        <w:jc w:val="left"/>
        <w:outlineLvl w:val="0"/>
        <w:rPr>
          <w:rFonts w:ascii="Times New Roman" w:hAnsi="Times New Roman" w:eastAsia="仿宋"/>
          <w:b/>
          <w:bCs/>
          <w:sz w:val="32"/>
          <w:szCs w:val="32"/>
        </w:rPr>
      </w:pPr>
      <w:r>
        <w:rPr>
          <w:rFonts w:ascii="Times New Roman" w:hAnsi="Times New Roman"/>
          <w:b/>
          <w:bCs/>
        </w:rPr>
        <w:drawing>
          <wp:anchor distT="0" distB="0" distL="114300" distR="114300" simplePos="0" relativeHeight="251662336" behindDoc="0" locked="0" layoutInCell="1" allowOverlap="1">
            <wp:simplePos x="0" y="0"/>
            <wp:positionH relativeFrom="column">
              <wp:posOffset>798830</wp:posOffset>
            </wp:positionH>
            <wp:positionV relativeFrom="paragraph">
              <wp:posOffset>36195</wp:posOffset>
            </wp:positionV>
            <wp:extent cx="11492230" cy="8815705"/>
            <wp:effectExtent l="0" t="0" r="13970" b="8255"/>
            <wp:wrapSquare wrapText="bothSides"/>
            <wp:docPr id="2" name="图片 2" descr="F:\桌面\昌乐县声环境功能区划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桌面\昌乐县声环境功能区划图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92230" cy="8815705"/>
                    </a:xfrm>
                    <a:prstGeom prst="rect">
                      <a:avLst/>
                    </a:prstGeom>
                    <a:noFill/>
                    <a:ln>
                      <a:noFill/>
                    </a:ln>
                  </pic:spPr>
                </pic:pic>
              </a:graphicData>
            </a:graphic>
          </wp:anchor>
        </w:drawing>
      </w:r>
    </w:p>
    <w:p>
      <w:pPr>
        <w:spacing w:line="480" w:lineRule="exact"/>
        <w:ind w:firstLine="0"/>
        <w:jc w:val="left"/>
        <w:outlineLvl w:val="0"/>
        <w:rPr>
          <w:rFonts w:ascii="Times New Roman" w:hAnsi="Times New Roman" w:eastAsia="仿宋"/>
          <w:b/>
          <w:bCs/>
          <w:sz w:val="32"/>
          <w:szCs w:val="32"/>
        </w:rPr>
      </w:pPr>
    </w:p>
    <w:p>
      <w:pPr>
        <w:spacing w:line="480" w:lineRule="exact"/>
        <w:ind w:firstLine="0"/>
        <w:jc w:val="left"/>
        <w:outlineLvl w:val="0"/>
        <w:rPr>
          <w:rFonts w:ascii="Times New Roman" w:hAnsi="Times New Roman" w:eastAsia="仿宋"/>
          <w:b/>
          <w:bCs/>
          <w:sz w:val="32"/>
          <w:szCs w:val="32"/>
        </w:rPr>
      </w:pPr>
    </w:p>
    <w:p>
      <w:pPr>
        <w:spacing w:line="480" w:lineRule="exact"/>
        <w:ind w:firstLine="0"/>
        <w:jc w:val="left"/>
        <w:outlineLvl w:val="0"/>
        <w:rPr>
          <w:rFonts w:ascii="Times New Roman" w:hAnsi="Times New Roman" w:eastAsia="宋体"/>
          <w:b/>
          <w:bCs/>
          <w:sz w:val="32"/>
          <w:szCs w:val="32"/>
        </w:rPr>
      </w:pPr>
      <w:r>
        <w:rPr>
          <w:rFonts w:ascii="Times New Roman" w:hAnsi="Times New Roman" w:eastAsia="宋体"/>
          <w:b/>
          <w:bCs/>
          <w:sz w:val="32"/>
          <w:szCs w:val="32"/>
        </w:rPr>
        <w:t xml:space="preserve">    </w:t>
      </w:r>
    </w:p>
    <w:tbl>
      <w:tblPr>
        <w:tblStyle w:val="18"/>
        <w:tblpPr w:leftFromText="180" w:rightFromText="180" w:vertAnchor="text" w:tblpY="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3" w:hRule="atLeast"/>
        </w:trPr>
        <w:tc>
          <w:tcPr>
            <w:tcW w:w="1176" w:type="dxa"/>
          </w:tcPr>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昌</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乐</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县</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中</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心</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城</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区</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声</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环</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境</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功</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能</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区</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划</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分</w:t>
            </w:r>
          </w:p>
          <w:p>
            <w:pPr>
              <w:adjustRightInd w:val="0"/>
              <w:snapToGrid w:val="0"/>
              <w:spacing w:line="560" w:lineRule="exact"/>
              <w:ind w:firstLine="0"/>
              <w:jc w:val="center"/>
              <w:rPr>
                <w:rStyle w:val="28"/>
                <w:rFonts w:ascii="Times New Roman" w:hAnsi="Times New Roman" w:eastAsia="仿宋"/>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图</w:t>
            </w:r>
          </w:p>
        </w:tc>
      </w:tr>
    </w:tbl>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pPr>
    </w:p>
    <w:p>
      <w:pPr>
        <w:pStyle w:val="3"/>
        <w:tabs>
          <w:tab w:val="left" w:pos="3173"/>
          <w:tab w:val="center" w:pos="10765"/>
        </w:tabs>
        <w:ind w:firstLine="600"/>
        <w:jc w:val="left"/>
        <w:rPr>
          <w:rFonts w:hint="eastAsia" w:ascii="Times New Roman" w:hAnsi="Times New Roman" w:eastAsiaTheme="minorEastAsia"/>
          <w:b/>
          <w:bCs/>
          <w:lang w:eastAsia="zh-CN"/>
        </w:rPr>
        <w:sectPr>
          <w:headerReference r:id="rId8" w:type="default"/>
          <w:footerReference r:id="rId9" w:type="default"/>
          <w:pgSz w:w="23811" w:h="16838" w:orient="landscape"/>
          <w:pgMar w:top="567" w:right="1440" w:bottom="567" w:left="1440" w:header="567" w:footer="1304" w:gutter="0"/>
          <w:pgNumType w:fmt="numberInDash"/>
          <w:cols w:space="720" w:num="1"/>
          <w:docGrid w:type="lines" w:linePitch="408" w:charSpace="0"/>
        </w:sectPr>
      </w:pPr>
    </w:p>
    <w:p>
      <w:pPr>
        <w:spacing w:line="480" w:lineRule="exact"/>
        <w:ind w:firstLine="0"/>
        <w:jc w:val="left"/>
        <w:outlineLvl w:val="0"/>
        <w:rPr>
          <w:rFonts w:ascii="Times New Roman" w:hAnsi="Times New Roman" w:eastAsia="宋体"/>
          <w:b/>
          <w:bCs/>
          <w:sz w:val="32"/>
          <w:szCs w:val="32"/>
        </w:rPr>
      </w:pPr>
      <w:r>
        <w:rPr>
          <w:rFonts w:hint="eastAsia" w:ascii="黑体" w:hAnsi="黑体" w:eastAsia="黑体" w:cs="黑体"/>
          <w:b/>
          <w:bCs/>
          <w:sz w:val="32"/>
          <w:szCs w:val="32"/>
        </w:rPr>
        <w:t xml:space="preserve">附图2 </w:t>
      </w:r>
      <w:r>
        <w:rPr>
          <w:rFonts w:ascii="Times New Roman" w:hAnsi="Times New Roman" w:eastAsia="仿宋"/>
          <w:b/>
          <w:bCs/>
          <w:sz w:val="32"/>
          <w:szCs w:val="32"/>
        </w:rPr>
        <w:t xml:space="preserve">   </w:t>
      </w:r>
      <w:r>
        <w:rPr>
          <w:rFonts w:ascii="Times New Roman" w:hAnsi="Times New Roman" w:eastAsia="宋体"/>
          <w:b/>
          <w:bCs/>
          <w:sz w:val="32"/>
          <w:szCs w:val="32"/>
        </w:rPr>
        <w:t xml:space="preserve">    </w:t>
      </w:r>
    </w:p>
    <w:p>
      <w:pPr>
        <w:adjustRightInd w:val="0"/>
        <w:snapToGrid w:val="0"/>
        <w:spacing w:line="560" w:lineRule="exact"/>
        <w:ind w:firstLine="883" w:firstLineChars="200"/>
        <w:jc w:val="center"/>
        <w:rPr>
          <w:rStyle w:val="28"/>
          <w:rFonts w:ascii="Times New Roman" w:hAnsi="Times New Roman" w:eastAsia="仿宋"/>
          <w:b/>
          <w:bCs/>
          <w:sz w:val="32"/>
          <w:szCs w:val="32"/>
          <w:shd w:val="clear" w:color="auto" w:fill="FFFFFF"/>
        </w:rPr>
      </w:pPr>
      <w:r>
        <w:rPr>
          <w:rFonts w:ascii="Times New Roman" w:hAnsi="Times New Roman" w:eastAsia="宋体"/>
          <w:b/>
          <w:bCs/>
          <w:sz w:val="44"/>
          <w:szCs w:val="44"/>
        </w:rPr>
        <w:drawing>
          <wp:anchor distT="0" distB="0" distL="114300" distR="114300" simplePos="0" relativeHeight="251664384" behindDoc="0" locked="0" layoutInCell="1" allowOverlap="1">
            <wp:simplePos x="0" y="0"/>
            <wp:positionH relativeFrom="column">
              <wp:posOffset>815975</wp:posOffset>
            </wp:positionH>
            <wp:positionV relativeFrom="paragraph">
              <wp:posOffset>99695</wp:posOffset>
            </wp:positionV>
            <wp:extent cx="11328400" cy="8834755"/>
            <wp:effectExtent l="0" t="0" r="10160" b="4445"/>
            <wp:wrapSquare wrapText="bothSides"/>
            <wp:docPr id="11" name="图片 11" descr="F:\桌面\昌乐县声环境功能区敏感建筑集中区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桌面\昌乐县声环境功能区敏感建筑集中区图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328400" cy="8834755"/>
                    </a:xfrm>
                    <a:prstGeom prst="rect">
                      <a:avLst/>
                    </a:prstGeom>
                    <a:noFill/>
                    <a:ln>
                      <a:noFill/>
                    </a:ln>
                  </pic:spPr>
                </pic:pic>
              </a:graphicData>
            </a:graphic>
          </wp:anchor>
        </w:drawing>
      </w:r>
    </w:p>
    <w:p>
      <w:pPr>
        <w:pStyle w:val="3"/>
        <w:ind w:firstLine="600"/>
        <w:rPr>
          <w:b/>
          <w:bCs/>
        </w:rPr>
      </w:pPr>
    </w:p>
    <w:p>
      <w:pPr>
        <w:pStyle w:val="3"/>
        <w:ind w:firstLine="600"/>
        <w:rPr>
          <w:b/>
          <w:bCs/>
        </w:rPr>
      </w:pPr>
    </w:p>
    <w:tbl>
      <w:tblPr>
        <w:tblStyle w:val="18"/>
        <w:tblpPr w:leftFromText="180" w:rightFromText="180" w:vertAnchor="text" w:tblpY="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3" w:hRule="atLeast"/>
        </w:trPr>
        <w:tc>
          <w:tcPr>
            <w:tcW w:w="1176" w:type="dxa"/>
          </w:tcPr>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昌</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乐</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县</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中</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心</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城</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区</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噪</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声</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敏</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感</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建</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筑</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物</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集</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中</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区</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域</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划</w:t>
            </w:r>
          </w:p>
          <w:p>
            <w:pPr>
              <w:adjustRightInd w:val="0"/>
              <w:snapToGrid w:val="0"/>
              <w:spacing w:line="560" w:lineRule="exact"/>
              <w:ind w:firstLine="0"/>
              <w:jc w:val="center"/>
              <w:rPr>
                <w:rStyle w:val="28"/>
                <w:rFonts w:hint="eastAsia" w:ascii="仿宋_GB2312" w:hAnsi="仿宋_GB2312" w:eastAsia="仿宋_GB2312" w:cs="仿宋_GB2312"/>
                <w:b/>
                <w:bCs/>
                <w:sz w:val="36"/>
                <w:szCs w:val="32"/>
                <w:shd w:val="clear" w:color="auto" w:fill="FFFFFF"/>
              </w:rPr>
            </w:pPr>
            <w:r>
              <w:rPr>
                <w:rStyle w:val="28"/>
                <w:rFonts w:hint="eastAsia" w:ascii="仿宋_GB2312" w:hAnsi="仿宋_GB2312" w:eastAsia="仿宋_GB2312" w:cs="仿宋_GB2312"/>
                <w:b/>
                <w:bCs/>
                <w:sz w:val="36"/>
                <w:szCs w:val="32"/>
                <w:shd w:val="clear" w:color="auto" w:fill="FFFFFF"/>
              </w:rPr>
              <w:t>分</w:t>
            </w:r>
          </w:p>
          <w:p>
            <w:pPr>
              <w:adjustRightInd w:val="0"/>
              <w:snapToGrid w:val="0"/>
              <w:spacing w:line="560" w:lineRule="exact"/>
              <w:ind w:firstLine="0"/>
              <w:jc w:val="center"/>
              <w:rPr>
                <w:rStyle w:val="28"/>
                <w:rFonts w:hint="default" w:ascii="Times New Roman" w:hAnsi="Times New Roman" w:eastAsia="仿宋_GB2312"/>
                <w:b/>
                <w:bCs/>
                <w:sz w:val="36"/>
                <w:szCs w:val="32"/>
                <w:shd w:val="clear" w:color="auto" w:fill="FFFFFF"/>
                <w:lang w:val="en-US" w:eastAsia="zh-CN"/>
              </w:rPr>
            </w:pPr>
            <w:r>
              <w:rPr>
                <w:rStyle w:val="28"/>
                <w:rFonts w:hint="eastAsia" w:ascii="仿宋_GB2312" w:hAnsi="仿宋_GB2312" w:eastAsia="仿宋_GB2312" w:cs="仿宋_GB2312"/>
                <w:b/>
                <w:bCs/>
                <w:sz w:val="36"/>
                <w:szCs w:val="32"/>
                <w:shd w:val="clear" w:color="auto" w:fill="FFFFFF"/>
              </w:rPr>
              <w:t>图</w:t>
            </w:r>
          </w:p>
          <w:p>
            <w:pPr>
              <w:adjustRightInd w:val="0"/>
              <w:snapToGrid w:val="0"/>
              <w:spacing w:line="560" w:lineRule="exact"/>
              <w:ind w:firstLine="0"/>
              <w:jc w:val="center"/>
              <w:rPr>
                <w:rStyle w:val="28"/>
                <w:rFonts w:ascii="Times New Roman" w:hAnsi="Times New Roman" w:eastAsia="仿宋"/>
                <w:b/>
                <w:bCs/>
                <w:sz w:val="36"/>
                <w:szCs w:val="32"/>
                <w:shd w:val="clear" w:color="auto" w:fill="FFFFFF"/>
              </w:rPr>
            </w:pPr>
          </w:p>
        </w:tc>
      </w:tr>
    </w:tbl>
    <w:p>
      <w:pPr>
        <w:pStyle w:val="3"/>
        <w:ind w:firstLine="0" w:firstLineChars="0"/>
        <w:jc w:val="left"/>
        <w:rPr>
          <w:rFonts w:ascii="Times New Roman" w:hAnsi="Times New Roman" w:eastAsia="宋体"/>
          <w:b/>
          <w:bCs/>
          <w:sz w:val="44"/>
          <w:szCs w:val="44"/>
        </w:rPr>
      </w:pPr>
    </w:p>
    <w:p>
      <w:pPr>
        <w:pStyle w:val="3"/>
        <w:ind w:left="0" w:leftChars="0" w:firstLine="0" w:firstLineChars="0"/>
        <w:rPr>
          <w:rFonts w:hint="eastAsia" w:ascii="仿宋_GB2312" w:eastAsia="仿宋_GB2312"/>
          <w:b/>
          <w:bCs/>
          <w:color w:val="auto"/>
          <w:spacing w:val="0"/>
          <w:sz w:val="32"/>
          <w:szCs w:val="32"/>
          <w:lang w:val="en-US" w:eastAsia="zh-CN"/>
        </w:rPr>
        <w:sectPr>
          <w:headerReference r:id="rId10" w:type="default"/>
          <w:pgSz w:w="23811" w:h="16838" w:orient="landscape"/>
          <w:pgMar w:top="567" w:right="1440" w:bottom="567" w:left="1440" w:header="567" w:footer="567" w:gutter="0"/>
          <w:pgNumType w:fmt="numberInDash"/>
          <w:cols w:space="720" w:num="1"/>
          <w:docGrid w:type="lines" w:linePitch="408" w:charSpace="0"/>
        </w:sect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pStyle w:val="3"/>
        <w:ind w:left="0" w:leftChars="0" w:firstLine="0" w:firstLineChars="0"/>
        <w:rPr>
          <w:rFonts w:hint="eastAsia" w:ascii="仿宋_GB2312" w:eastAsia="仿宋_GB2312"/>
          <w:b/>
          <w:bCs/>
          <w:color w:val="auto"/>
          <w:spacing w:val="0"/>
          <w:sz w:val="32"/>
          <w:szCs w:val="32"/>
          <w:lang w:val="en-US" w:eastAsia="zh-CN"/>
        </w:rPr>
      </w:pPr>
    </w:p>
    <w:p>
      <w:pPr>
        <w:widowControl/>
        <w:adjustRightInd w:val="0"/>
        <w:snapToGrid w:val="0"/>
        <w:spacing w:line="578" w:lineRule="exact"/>
        <w:ind w:firstLine="275" w:firstLineChars="98"/>
        <w:rPr>
          <w:rFonts w:hint="eastAsia" w:ascii="仿宋_GB2312" w:hAnsi="仿宋_GB2312" w:eastAsia="仿宋_GB2312" w:cs="仿宋_GB2312"/>
          <w:b/>
          <w:kern w:val="0"/>
          <w:sz w:val="28"/>
          <w:szCs w:val="28"/>
        </w:rPr>
      </w:pPr>
    </w:p>
    <w:p>
      <w:pPr>
        <w:widowControl/>
        <w:adjustRightInd w:val="0"/>
        <w:snapToGrid w:val="0"/>
        <w:spacing w:line="578" w:lineRule="exact"/>
        <w:ind w:firstLine="275" w:firstLineChars="98"/>
        <w:rPr>
          <w:rFonts w:hint="eastAsia" w:ascii="仿宋_GB2312" w:hAnsi="仿宋_GB2312" w:eastAsia="仿宋_GB2312" w:cs="仿宋_GB2312"/>
          <w:b/>
          <w:kern w:val="0"/>
          <w:sz w:val="28"/>
          <w:szCs w:val="28"/>
        </w:rPr>
      </w:pPr>
    </w:p>
    <w:p>
      <w:pPr>
        <w:widowControl/>
        <w:adjustRightInd w:val="0"/>
        <w:snapToGrid w:val="0"/>
        <w:spacing w:line="578" w:lineRule="exact"/>
        <w:ind w:firstLine="275" w:firstLineChars="98"/>
        <w:rPr>
          <w:rFonts w:hint="eastAsia" w:ascii="仿宋_GB2312" w:hAnsi="仿宋_GB2312" w:eastAsia="仿宋_GB2312" w:cs="仿宋_GB2312"/>
          <w:b/>
          <w:kern w:val="0"/>
          <w:sz w:val="28"/>
          <w:szCs w:val="28"/>
        </w:rPr>
      </w:pPr>
    </w:p>
    <w:p>
      <w:pPr>
        <w:widowControl/>
        <w:adjustRightInd w:val="0"/>
        <w:snapToGrid w:val="0"/>
        <w:spacing w:line="578" w:lineRule="exact"/>
        <w:ind w:firstLine="275" w:firstLineChars="98"/>
        <w:rPr>
          <w:rFonts w:hint="eastAsia" w:ascii="仿宋_GB2312" w:hAnsi="仿宋_GB2312" w:eastAsia="仿宋_GB2312" w:cs="仿宋_GB2312"/>
          <w:b/>
          <w:spacing w:val="-2"/>
          <w:kern w:val="0"/>
          <w:sz w:val="28"/>
          <w:szCs w:val="28"/>
        </w:rPr>
      </w:pPr>
      <w:r>
        <w:rPr>
          <w:rFonts w:hint="eastAsia" w:ascii="仿宋_GB2312" w:hAnsi="仿宋_GB2312" w:eastAsia="仿宋_GB2312" w:cs="仿宋_GB2312"/>
          <w:b/>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76200</wp:posOffset>
                </wp:positionV>
                <wp:extent cx="5742305"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74230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6pt;height:0pt;width:452.15pt;z-index:251665408;mso-width-relative:page;mso-height-relative:page;" filled="f" stroked="t" coordsize="21600,21600" o:gfxdata="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GCaDtUAAAAGAQAADwAAAAAAAAABACAAAAAiAAAAZHJzL2Rvd25yZXYueG1s&#10;UEsBAhQAFAAAAAgAh07iQOfVScT7AQAA9QMAAA4AAAAAAAAAAQAgAAAAJAEAAGRycy9lMm9Eb2Mu&#10;eG1sUEsFBgAAAAAGAAYAWQEAAJEFA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kern w:val="0"/>
          <w:sz w:val="28"/>
          <w:szCs w:val="28"/>
        </w:rPr>
        <w:t>抄送：</w:t>
      </w:r>
      <w:r>
        <w:rPr>
          <w:rFonts w:hint="eastAsia" w:ascii="仿宋_GB2312" w:hAnsi="仿宋_GB2312" w:eastAsia="仿宋_GB2312" w:cs="仿宋_GB2312"/>
          <w:b/>
          <w:spacing w:val="-2"/>
          <w:kern w:val="0"/>
          <w:sz w:val="28"/>
          <w:szCs w:val="28"/>
        </w:rPr>
        <w:t>县委各部门，县人大常委会办公室，县政协办公室，县法院，</w:t>
      </w:r>
    </w:p>
    <w:p>
      <w:pPr>
        <w:widowControl/>
        <w:adjustRightInd w:val="0"/>
        <w:snapToGrid w:val="0"/>
        <w:spacing w:line="578" w:lineRule="exact"/>
        <w:ind w:firstLine="1105" w:firstLineChars="393"/>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县检察院，县人武部。</w:t>
      </w:r>
    </w:p>
    <w:p>
      <w:pPr>
        <w:tabs>
          <w:tab w:val="left" w:pos="8460"/>
        </w:tabs>
        <w:adjustRightInd w:val="0"/>
        <w:snapToGrid w:val="0"/>
        <w:spacing w:line="578" w:lineRule="exact"/>
        <w:ind w:firstLine="0" w:firstLineChars="0"/>
        <w:jc w:val="center"/>
        <w:rPr>
          <w:rFonts w:hint="eastAsia" w:ascii="黑体" w:hAnsi="黑体" w:eastAsia="黑体" w:cs="宋体"/>
          <w:b/>
          <w:bCs/>
          <w:color w:val="auto"/>
          <w:sz w:val="32"/>
          <w:szCs w:val="32"/>
        </w:rPr>
      </w:pPr>
      <w:r>
        <w:rPr>
          <w:rFonts w:hint="eastAsia" w:ascii="仿宋_GB2312" w:hAnsi="仿宋_GB2312" w:eastAsia="仿宋_GB2312" w:cs="仿宋_GB2312"/>
          <w:b/>
          <w:kern w:val="0"/>
          <w:sz w:val="28"/>
          <w:szCs w:val="2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415290</wp:posOffset>
                </wp:positionV>
                <wp:extent cx="574230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4230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2.7pt;height:0pt;width:452.15pt;z-index:251667456;mso-width-relative:page;mso-height-relative:page;" filled="f" stroked="t" coordsize="21600,21600" o:gfxdata="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WBa3XWAAAABgEAAA8AAAAAAAAAAQAgAAAAIgAAAGRycy9kb3ducmV2Lnht&#10;bFBLAQIUABQAAAAIAIdO4kAnZTH1+wEAAPMDAAAOAAAAAAAAAAEAIAAAACUBAABkcnMvZTJvRG9j&#10;LnhtbFBLBQYAAAAABgAGAFkBAACSBQ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kern w:val="0"/>
          <w:sz w:val="28"/>
          <w:szCs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43180</wp:posOffset>
                </wp:positionV>
                <wp:extent cx="574230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74230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4pt;height:0pt;width:452.15pt;z-index:251666432;mso-width-relative:page;mso-height-relative:page;" filled="f" stroked="t" coordsize="21600,21600" o:gfxdata="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jJob0gAAAAQBAAAPAAAAAAAAAAEAIAAAACIAAABkcnMvZG93bnJldi54bWxQSwEC&#10;FAAUAAAACACHTuJAPUYcevoBAADyAwAADgAAAAAAAAABACAAAAAhAQAAZHJzL2Uyb0RvYy54bWxQ&#10;SwUGAAAAAAYABgBZAQAAjQUAAAAA&#10;">
                <v:fill on="f" focussize="0,0"/>
                <v:stroke color="#000000" joinstyle="round"/>
                <v:imagedata o:title=""/>
                <o:lock v:ext="edit" aspectratio="f"/>
              </v:line>
            </w:pict>
          </mc:Fallback>
        </mc:AlternateContent>
      </w:r>
      <w:r>
        <w:rPr>
          <w:rFonts w:hint="eastAsia" w:ascii="仿宋_GB2312" w:hAnsi="仿宋_GB2312" w:eastAsia="仿宋_GB2312" w:cs="仿宋_GB2312"/>
          <w:b/>
          <w:kern w:val="0"/>
          <w:sz w:val="28"/>
          <w:szCs w:val="28"/>
        </w:rPr>
        <w:t xml:space="preserve">昌乐县人民政府办公室     </w:t>
      </w:r>
      <w:r>
        <w:rPr>
          <w:rFonts w:hint="eastAsia" w:ascii="仿宋_GB2312" w:hAnsi="仿宋_GB2312" w:eastAsia="仿宋_GB2312" w:cs="仿宋_GB2312"/>
          <w:b/>
          <w:kern w:val="0"/>
          <w:sz w:val="28"/>
          <w:szCs w:val="28"/>
          <w:lang w:val="en-US" w:eastAsia="zh-CN"/>
        </w:rPr>
        <w:t xml:space="preserve">  </w:t>
      </w:r>
      <w:r>
        <w:rPr>
          <w:rFonts w:hint="eastAsia" w:ascii="仿宋_GB2312" w:hAnsi="仿宋_GB2312" w:eastAsia="仿宋_GB2312" w:cs="仿宋_GB2312"/>
          <w:b/>
          <w:kern w:val="0"/>
          <w:sz w:val="28"/>
          <w:szCs w:val="28"/>
        </w:rPr>
        <w:t xml:space="preserve">                20</w:t>
      </w:r>
      <w:r>
        <w:rPr>
          <w:rFonts w:hint="eastAsia" w:ascii="仿宋_GB2312" w:hAnsi="仿宋_GB2312" w:eastAsia="仿宋_GB2312" w:cs="仿宋_GB2312"/>
          <w:b/>
          <w:kern w:val="0"/>
          <w:sz w:val="28"/>
          <w:szCs w:val="28"/>
          <w:lang w:val="en-US" w:eastAsia="zh-CN"/>
        </w:rPr>
        <w:t>22</w:t>
      </w:r>
      <w:r>
        <w:rPr>
          <w:rFonts w:hint="eastAsia" w:ascii="仿宋_GB2312" w:hAnsi="仿宋_GB2312" w:eastAsia="仿宋_GB2312" w:cs="仿宋_GB2312"/>
          <w:b/>
          <w:kern w:val="0"/>
          <w:sz w:val="28"/>
          <w:szCs w:val="28"/>
        </w:rPr>
        <w:t>年</w:t>
      </w:r>
      <w:r>
        <w:rPr>
          <w:rFonts w:hint="eastAsia" w:ascii="仿宋_GB2312" w:hAnsi="仿宋_GB2312" w:eastAsia="仿宋_GB2312" w:cs="仿宋_GB2312"/>
          <w:b/>
          <w:kern w:val="0"/>
          <w:sz w:val="28"/>
          <w:szCs w:val="28"/>
          <w:lang w:val="en-US" w:eastAsia="zh-CN"/>
        </w:rPr>
        <w:t>9</w:t>
      </w:r>
      <w:r>
        <w:rPr>
          <w:rFonts w:hint="eastAsia" w:ascii="仿宋_GB2312" w:hAnsi="仿宋_GB2312" w:eastAsia="仿宋_GB2312" w:cs="仿宋_GB2312"/>
          <w:b/>
          <w:kern w:val="0"/>
          <w:sz w:val="28"/>
          <w:szCs w:val="28"/>
        </w:rPr>
        <w:t>月</w:t>
      </w:r>
      <w:r>
        <w:rPr>
          <w:rFonts w:hint="eastAsia" w:ascii="仿宋_GB2312" w:hAnsi="仿宋_GB2312" w:eastAsia="仿宋_GB2312" w:cs="仿宋_GB2312"/>
          <w:b/>
          <w:kern w:val="0"/>
          <w:sz w:val="28"/>
          <w:szCs w:val="28"/>
          <w:lang w:val="en-US" w:eastAsia="zh-CN"/>
        </w:rPr>
        <w:t>2</w:t>
      </w:r>
      <w:r>
        <w:rPr>
          <w:rFonts w:hint="eastAsia" w:ascii="仿宋_GB2312" w:hAnsi="仿宋_GB2312" w:eastAsia="仿宋_GB2312" w:cs="仿宋_GB2312"/>
          <w:b/>
          <w:kern w:val="0"/>
          <w:sz w:val="28"/>
          <w:szCs w:val="28"/>
        </w:rPr>
        <w:t>日印</w:t>
      </w:r>
      <w:r>
        <w:rPr>
          <w:rFonts w:hint="eastAsia" w:ascii="仿宋_GB2312" w:hAnsi="仿宋_GB2312" w:eastAsia="仿宋_GB2312" w:cs="仿宋_GB2312"/>
          <w:b/>
          <w:kern w:val="0"/>
          <w:sz w:val="28"/>
          <w:szCs w:val="28"/>
          <w:lang w:val="en-US" w:eastAsia="zh-CN"/>
        </w:rPr>
        <w:t>发</w:t>
      </w:r>
    </w:p>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lang w:val="en-US" w:eastAsia="zh-CN"/>
        </w:rPr>
      </w:pPr>
    </w:p>
    <w:sectPr>
      <w:pgSz w:w="11906" w:h="16838"/>
      <w:pgMar w:top="2098" w:right="1417" w:bottom="1984" w:left="1417" w:header="567" w:footer="1304" w:gutter="0"/>
      <w:pgNumType w:fmt="numberInDash"/>
      <w:cols w:space="720"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ESI黑体-GB13000">
    <w:altName w:val="黑体"/>
    <w:panose1 w:val="00000000000000000000"/>
    <w:charset w:val="86"/>
    <w:family w:val="auto"/>
    <w:pitch w:val="default"/>
    <w:sig w:usb0="00000000" w:usb1="00000000" w:usb2="00000016" w:usb3="00000000" w:csb0="0004000F" w:csb1="00000000"/>
  </w:font>
  <w:font w:name="宋体-方正超大字符集">
    <w:altName w:val="宋体"/>
    <w:panose1 w:val="03000509000000000000"/>
    <w:charset w:val="86"/>
    <w:family w:val="script"/>
    <w:pitch w:val="default"/>
    <w:sig w:usb0="00000000" w:usb1="00000000" w:usb2="00000000" w:usb3="00000000" w:csb0="00040000" w:csb1="00000000"/>
  </w:font>
  <w:font w:name="文星标宋">
    <w:panose1 w:val="02010604000101010101"/>
    <w:charset w:val="86"/>
    <w:family w:val="auto"/>
    <w:pitch w:val="default"/>
    <w:sig w:usb0="00000001" w:usb1="080E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- 1 -</w:t>
                          </w:r>
                          <w:r>
                            <w:rPr>
                              <w:rFonts w:hint="eastAsia" w:ascii="宋体" w:hAnsi="宋体" w:eastAsia="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- 1 -</w:t>
                    </w:r>
                    <w:r>
                      <w:rPr>
                        <w:rFonts w:hint="eastAsia" w:ascii="宋体" w:hAnsi="宋体" w:eastAsia="宋体" w:cs="宋体"/>
                        <w:b/>
                        <w:bCs/>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- 1 -</w:t>
                          </w:r>
                          <w:r>
                            <w:rPr>
                              <w:rFonts w:hint="eastAsia" w:ascii="宋体" w:hAnsi="宋体" w:eastAsia="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- 1 -</w:t>
                    </w:r>
                    <w:r>
                      <w:rPr>
                        <w:rFonts w:hint="eastAsia" w:ascii="宋体" w:hAnsi="宋体" w:eastAsia="宋体" w:cs="宋体"/>
                        <w:b/>
                        <w:bCs/>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- 9 -</w:t>
                          </w:r>
                          <w:r>
                            <w:rPr>
                              <w:rFonts w:hint="eastAsia" w:ascii="宋体" w:hAnsi="宋体" w:eastAsia="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- 9 -</w:t>
                    </w:r>
                    <w:r>
                      <w:rPr>
                        <w:rFonts w:hint="eastAsia" w:ascii="宋体" w:hAnsi="宋体" w:eastAsia="宋体" w:cs="宋体"/>
                        <w:b/>
                        <w:bCs/>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- 11 -</w:t>
                          </w:r>
                          <w:r>
                            <w:rPr>
                              <w:rFonts w:hint="eastAsia" w:ascii="宋体" w:hAnsi="宋体" w:eastAsia="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  \* MERGEFORMAT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- 11 -</w:t>
                    </w:r>
                    <w:r>
                      <w:rPr>
                        <w:rFonts w:hint="eastAsia" w:ascii="宋体" w:hAnsi="宋体" w:eastAsia="宋体" w:cs="宋体"/>
                        <w:b/>
                        <w:bCs/>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32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kNDI4YTU3MWIzNTFjYThiZmY2NmFjMDgxOGFiYzMifQ=="/>
  </w:docVars>
  <w:rsids>
    <w:rsidRoot w:val="00000000"/>
    <w:rsid w:val="002B247F"/>
    <w:rsid w:val="02461F11"/>
    <w:rsid w:val="034A0161"/>
    <w:rsid w:val="03D90886"/>
    <w:rsid w:val="0475016D"/>
    <w:rsid w:val="048B473C"/>
    <w:rsid w:val="04C81CD2"/>
    <w:rsid w:val="06257970"/>
    <w:rsid w:val="06696911"/>
    <w:rsid w:val="069D4E23"/>
    <w:rsid w:val="06B0391E"/>
    <w:rsid w:val="06EF614C"/>
    <w:rsid w:val="07520C39"/>
    <w:rsid w:val="076646E5"/>
    <w:rsid w:val="076F53FD"/>
    <w:rsid w:val="07BD2678"/>
    <w:rsid w:val="07EA70C4"/>
    <w:rsid w:val="07F719DE"/>
    <w:rsid w:val="086276F5"/>
    <w:rsid w:val="088C14EA"/>
    <w:rsid w:val="08934327"/>
    <w:rsid w:val="09A42A3B"/>
    <w:rsid w:val="09E000E5"/>
    <w:rsid w:val="09EB2C7F"/>
    <w:rsid w:val="09F51CBB"/>
    <w:rsid w:val="0A9458FA"/>
    <w:rsid w:val="0AB00A00"/>
    <w:rsid w:val="0ACA7DAD"/>
    <w:rsid w:val="0AD8499A"/>
    <w:rsid w:val="0AFA4C4B"/>
    <w:rsid w:val="0B2A4B6B"/>
    <w:rsid w:val="0B3D750A"/>
    <w:rsid w:val="0B884C29"/>
    <w:rsid w:val="0B9A2BAF"/>
    <w:rsid w:val="0BCF634A"/>
    <w:rsid w:val="0BDF6813"/>
    <w:rsid w:val="0D483CA2"/>
    <w:rsid w:val="0DF80CF8"/>
    <w:rsid w:val="0E1D7754"/>
    <w:rsid w:val="0F7F4E5E"/>
    <w:rsid w:val="0F8D509D"/>
    <w:rsid w:val="0FFF7484"/>
    <w:rsid w:val="104D5EA7"/>
    <w:rsid w:val="10850CCA"/>
    <w:rsid w:val="109F0B57"/>
    <w:rsid w:val="10E36DA6"/>
    <w:rsid w:val="11963E18"/>
    <w:rsid w:val="11C01A16"/>
    <w:rsid w:val="11E848AD"/>
    <w:rsid w:val="12ED7A68"/>
    <w:rsid w:val="135315A3"/>
    <w:rsid w:val="136956F7"/>
    <w:rsid w:val="138E1E98"/>
    <w:rsid w:val="13EE0E29"/>
    <w:rsid w:val="13FB5C48"/>
    <w:rsid w:val="1460471F"/>
    <w:rsid w:val="1481068F"/>
    <w:rsid w:val="15107A3E"/>
    <w:rsid w:val="15135B04"/>
    <w:rsid w:val="15724BC9"/>
    <w:rsid w:val="1594237F"/>
    <w:rsid w:val="16025C8E"/>
    <w:rsid w:val="1630532A"/>
    <w:rsid w:val="167E4A78"/>
    <w:rsid w:val="17574DE8"/>
    <w:rsid w:val="176D6E23"/>
    <w:rsid w:val="188615E1"/>
    <w:rsid w:val="18E4459E"/>
    <w:rsid w:val="190D676E"/>
    <w:rsid w:val="194269B6"/>
    <w:rsid w:val="19A215B9"/>
    <w:rsid w:val="1CC41839"/>
    <w:rsid w:val="1D3369BF"/>
    <w:rsid w:val="1D5A2C90"/>
    <w:rsid w:val="1D76400B"/>
    <w:rsid w:val="1D851CAF"/>
    <w:rsid w:val="1D8A3730"/>
    <w:rsid w:val="1DB7314C"/>
    <w:rsid w:val="1DCD1BD1"/>
    <w:rsid w:val="1E214232"/>
    <w:rsid w:val="1E524B92"/>
    <w:rsid w:val="1F48616B"/>
    <w:rsid w:val="1F757070"/>
    <w:rsid w:val="1F7A3050"/>
    <w:rsid w:val="201104B7"/>
    <w:rsid w:val="20315438"/>
    <w:rsid w:val="21070B06"/>
    <w:rsid w:val="214403FF"/>
    <w:rsid w:val="214614AC"/>
    <w:rsid w:val="217C6B87"/>
    <w:rsid w:val="21BF3095"/>
    <w:rsid w:val="2210656F"/>
    <w:rsid w:val="22965A26"/>
    <w:rsid w:val="22A3090B"/>
    <w:rsid w:val="22D36C7A"/>
    <w:rsid w:val="22E82D20"/>
    <w:rsid w:val="23CE073A"/>
    <w:rsid w:val="23DE0A8E"/>
    <w:rsid w:val="241C0D5A"/>
    <w:rsid w:val="247613D9"/>
    <w:rsid w:val="24E96AFF"/>
    <w:rsid w:val="24EF7561"/>
    <w:rsid w:val="2520004D"/>
    <w:rsid w:val="256E2098"/>
    <w:rsid w:val="258625F0"/>
    <w:rsid w:val="25A20B86"/>
    <w:rsid w:val="261C1243"/>
    <w:rsid w:val="264C493E"/>
    <w:rsid w:val="2660129D"/>
    <w:rsid w:val="26BE6AF6"/>
    <w:rsid w:val="277777CF"/>
    <w:rsid w:val="278B020D"/>
    <w:rsid w:val="27992515"/>
    <w:rsid w:val="27B506FD"/>
    <w:rsid w:val="27D31439"/>
    <w:rsid w:val="28170A3A"/>
    <w:rsid w:val="28B15C2F"/>
    <w:rsid w:val="28D30610"/>
    <w:rsid w:val="29B30E3F"/>
    <w:rsid w:val="29DC2237"/>
    <w:rsid w:val="2A1E2567"/>
    <w:rsid w:val="2A3A138D"/>
    <w:rsid w:val="2AC109ED"/>
    <w:rsid w:val="2AEE5478"/>
    <w:rsid w:val="2AF24AEA"/>
    <w:rsid w:val="2B6D7D2A"/>
    <w:rsid w:val="2B781530"/>
    <w:rsid w:val="2C5A1872"/>
    <w:rsid w:val="2C690E4B"/>
    <w:rsid w:val="2E0B2A2D"/>
    <w:rsid w:val="2E141EF5"/>
    <w:rsid w:val="2E4C29A7"/>
    <w:rsid w:val="2ED0406E"/>
    <w:rsid w:val="2F150728"/>
    <w:rsid w:val="2F434783"/>
    <w:rsid w:val="2F83752B"/>
    <w:rsid w:val="30500AE2"/>
    <w:rsid w:val="30B84A1C"/>
    <w:rsid w:val="31056789"/>
    <w:rsid w:val="311C17EC"/>
    <w:rsid w:val="316F62B1"/>
    <w:rsid w:val="3195433F"/>
    <w:rsid w:val="31DE03D1"/>
    <w:rsid w:val="321512EC"/>
    <w:rsid w:val="32A93554"/>
    <w:rsid w:val="32B63257"/>
    <w:rsid w:val="32D85C9F"/>
    <w:rsid w:val="330872CF"/>
    <w:rsid w:val="33380434"/>
    <w:rsid w:val="333F5C66"/>
    <w:rsid w:val="336760E5"/>
    <w:rsid w:val="337666EE"/>
    <w:rsid w:val="349873DC"/>
    <w:rsid w:val="34E15227"/>
    <w:rsid w:val="34E940DB"/>
    <w:rsid w:val="358F2351"/>
    <w:rsid w:val="364F4589"/>
    <w:rsid w:val="36AC3D2E"/>
    <w:rsid w:val="36B5636C"/>
    <w:rsid w:val="371240AC"/>
    <w:rsid w:val="374C2EE9"/>
    <w:rsid w:val="37D3697D"/>
    <w:rsid w:val="3836418A"/>
    <w:rsid w:val="384B79F2"/>
    <w:rsid w:val="38FB0441"/>
    <w:rsid w:val="3905700A"/>
    <w:rsid w:val="39734229"/>
    <w:rsid w:val="39E9692C"/>
    <w:rsid w:val="39EC3D26"/>
    <w:rsid w:val="3A1375D0"/>
    <w:rsid w:val="3A9A0850"/>
    <w:rsid w:val="3ABB26C9"/>
    <w:rsid w:val="3B7913CB"/>
    <w:rsid w:val="3B8D7F6F"/>
    <w:rsid w:val="3B935C04"/>
    <w:rsid w:val="3BAA0AD7"/>
    <w:rsid w:val="3BC248D5"/>
    <w:rsid w:val="3C0C2CC5"/>
    <w:rsid w:val="3C797702"/>
    <w:rsid w:val="3CA400C4"/>
    <w:rsid w:val="3CF759BC"/>
    <w:rsid w:val="3D6E0743"/>
    <w:rsid w:val="3D793156"/>
    <w:rsid w:val="3DA72297"/>
    <w:rsid w:val="3DA83CC3"/>
    <w:rsid w:val="3DC9501B"/>
    <w:rsid w:val="3E385ED7"/>
    <w:rsid w:val="3E5D5541"/>
    <w:rsid w:val="3E744C86"/>
    <w:rsid w:val="3F134F7F"/>
    <w:rsid w:val="41717932"/>
    <w:rsid w:val="41B16B16"/>
    <w:rsid w:val="41EB6656"/>
    <w:rsid w:val="42E12896"/>
    <w:rsid w:val="43011AC0"/>
    <w:rsid w:val="437F47C0"/>
    <w:rsid w:val="43AC05C6"/>
    <w:rsid w:val="445C3E35"/>
    <w:rsid w:val="454A362B"/>
    <w:rsid w:val="45593A8C"/>
    <w:rsid w:val="460A2D37"/>
    <w:rsid w:val="46DF70EC"/>
    <w:rsid w:val="46F7257B"/>
    <w:rsid w:val="47095F2C"/>
    <w:rsid w:val="4749197E"/>
    <w:rsid w:val="47594FA3"/>
    <w:rsid w:val="476D294A"/>
    <w:rsid w:val="48380687"/>
    <w:rsid w:val="49823771"/>
    <w:rsid w:val="49C86A16"/>
    <w:rsid w:val="49DE06CA"/>
    <w:rsid w:val="49F41101"/>
    <w:rsid w:val="4A1214FC"/>
    <w:rsid w:val="4AB83EDC"/>
    <w:rsid w:val="4ACF0F76"/>
    <w:rsid w:val="4B27000A"/>
    <w:rsid w:val="4B337A07"/>
    <w:rsid w:val="4C03562B"/>
    <w:rsid w:val="4C2B13DB"/>
    <w:rsid w:val="4C7073B6"/>
    <w:rsid w:val="4C7E658F"/>
    <w:rsid w:val="4E2A50F1"/>
    <w:rsid w:val="4E7B76FB"/>
    <w:rsid w:val="4EB82288"/>
    <w:rsid w:val="4F51255A"/>
    <w:rsid w:val="4F634F3A"/>
    <w:rsid w:val="4FD47AB5"/>
    <w:rsid w:val="506A0E30"/>
    <w:rsid w:val="50CB7318"/>
    <w:rsid w:val="50CE46CD"/>
    <w:rsid w:val="514E090E"/>
    <w:rsid w:val="51D004F4"/>
    <w:rsid w:val="52B15A57"/>
    <w:rsid w:val="52FE6B4C"/>
    <w:rsid w:val="534E6B59"/>
    <w:rsid w:val="53B216A7"/>
    <w:rsid w:val="54450199"/>
    <w:rsid w:val="54525939"/>
    <w:rsid w:val="5489120A"/>
    <w:rsid w:val="55066AD8"/>
    <w:rsid w:val="557E5D22"/>
    <w:rsid w:val="560C324E"/>
    <w:rsid w:val="56335624"/>
    <w:rsid w:val="567E306B"/>
    <w:rsid w:val="56A60C81"/>
    <w:rsid w:val="572430A9"/>
    <w:rsid w:val="57686C8A"/>
    <w:rsid w:val="57F81DBC"/>
    <w:rsid w:val="58A44F2C"/>
    <w:rsid w:val="58AB1524"/>
    <w:rsid w:val="58BF75DE"/>
    <w:rsid w:val="59164F24"/>
    <w:rsid w:val="5A042C75"/>
    <w:rsid w:val="5A2E5F69"/>
    <w:rsid w:val="5A6C5B5F"/>
    <w:rsid w:val="5A74371A"/>
    <w:rsid w:val="5AAA02C7"/>
    <w:rsid w:val="5BAD2B87"/>
    <w:rsid w:val="5BC55EED"/>
    <w:rsid w:val="5BE21A69"/>
    <w:rsid w:val="5BE574A3"/>
    <w:rsid w:val="5C563555"/>
    <w:rsid w:val="5CC42E80"/>
    <w:rsid w:val="5CD01559"/>
    <w:rsid w:val="5CE13766"/>
    <w:rsid w:val="5D363899"/>
    <w:rsid w:val="5D4A3CD0"/>
    <w:rsid w:val="5DA963B5"/>
    <w:rsid w:val="5E04201F"/>
    <w:rsid w:val="5E420235"/>
    <w:rsid w:val="5E9842F9"/>
    <w:rsid w:val="5EC71B12"/>
    <w:rsid w:val="5F261904"/>
    <w:rsid w:val="5FAB1BE1"/>
    <w:rsid w:val="607921FE"/>
    <w:rsid w:val="60A67568"/>
    <w:rsid w:val="60BE74AB"/>
    <w:rsid w:val="60C146A2"/>
    <w:rsid w:val="617C6B9D"/>
    <w:rsid w:val="61AB7E9F"/>
    <w:rsid w:val="620539EE"/>
    <w:rsid w:val="6280757E"/>
    <w:rsid w:val="634C103D"/>
    <w:rsid w:val="637B1AF3"/>
    <w:rsid w:val="63BE7C4F"/>
    <w:rsid w:val="63D7204E"/>
    <w:rsid w:val="64C74A05"/>
    <w:rsid w:val="65444892"/>
    <w:rsid w:val="65B930A6"/>
    <w:rsid w:val="65EA5AF8"/>
    <w:rsid w:val="664730A7"/>
    <w:rsid w:val="66FC4973"/>
    <w:rsid w:val="67F41A7F"/>
    <w:rsid w:val="680825BD"/>
    <w:rsid w:val="686D5318"/>
    <w:rsid w:val="687F3E33"/>
    <w:rsid w:val="69556D7B"/>
    <w:rsid w:val="69A2427D"/>
    <w:rsid w:val="6A161408"/>
    <w:rsid w:val="6A81116A"/>
    <w:rsid w:val="6AA81AF1"/>
    <w:rsid w:val="6AC54D0A"/>
    <w:rsid w:val="6AFF5AC3"/>
    <w:rsid w:val="6B517FF1"/>
    <w:rsid w:val="6BB34520"/>
    <w:rsid w:val="6C2B6982"/>
    <w:rsid w:val="6C946EC6"/>
    <w:rsid w:val="6D8E5B2E"/>
    <w:rsid w:val="6DDF784E"/>
    <w:rsid w:val="6E0E1BF6"/>
    <w:rsid w:val="70030492"/>
    <w:rsid w:val="701561A7"/>
    <w:rsid w:val="7019612D"/>
    <w:rsid w:val="701B452E"/>
    <w:rsid w:val="707211CE"/>
    <w:rsid w:val="70C90342"/>
    <w:rsid w:val="70D62585"/>
    <w:rsid w:val="713857AD"/>
    <w:rsid w:val="716B13F9"/>
    <w:rsid w:val="724056EB"/>
    <w:rsid w:val="72470CB9"/>
    <w:rsid w:val="729A185C"/>
    <w:rsid w:val="74231542"/>
    <w:rsid w:val="746926CE"/>
    <w:rsid w:val="74EC087B"/>
    <w:rsid w:val="75664F0E"/>
    <w:rsid w:val="762C1ED7"/>
    <w:rsid w:val="767A2500"/>
    <w:rsid w:val="774A6290"/>
    <w:rsid w:val="78496E1F"/>
    <w:rsid w:val="795400FB"/>
    <w:rsid w:val="796F58C7"/>
    <w:rsid w:val="79D03C93"/>
    <w:rsid w:val="79FD24C6"/>
    <w:rsid w:val="7B2965AD"/>
    <w:rsid w:val="7B32266D"/>
    <w:rsid w:val="7B860D1D"/>
    <w:rsid w:val="7C06244A"/>
    <w:rsid w:val="7CC4727F"/>
    <w:rsid w:val="7CDA7F52"/>
    <w:rsid w:val="7CF00C0B"/>
    <w:rsid w:val="7D546842"/>
    <w:rsid w:val="7D7004C3"/>
    <w:rsid w:val="7D7E4162"/>
    <w:rsid w:val="7D8F1319"/>
    <w:rsid w:val="7E1F3C97"/>
    <w:rsid w:val="7E2968C4"/>
    <w:rsid w:val="7E7F64E4"/>
    <w:rsid w:val="7EDF6642"/>
    <w:rsid w:val="7F11601D"/>
    <w:rsid w:val="7F15466C"/>
    <w:rsid w:val="7F3711D9"/>
    <w:rsid w:val="7F6A68D3"/>
    <w:rsid w:val="7FF57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99"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color w:val="auto"/>
      <w:kern w:val="2"/>
      <w:sz w:val="32"/>
      <w:szCs w:val="24"/>
      <w:lang w:val="en-US" w:eastAsia="zh-CN" w:bidi="ar-SA"/>
    </w:rPr>
  </w:style>
  <w:style w:type="paragraph" w:styleId="2">
    <w:name w:val="heading 3"/>
    <w:basedOn w:val="1"/>
    <w:next w:val="1"/>
    <w:semiHidden/>
    <w:unhideWhenUsed/>
    <w:qFormat/>
    <w:uiPriority w:val="0"/>
    <w:pPr>
      <w:keepNext/>
      <w:keepLines/>
      <w:spacing w:before="260" w:beforeLines="0" w:beforeAutospacing="0" w:after="260" w:afterLines="0" w:afterAutospacing="0" w:line="413" w:lineRule="auto"/>
      <w:outlineLvl w:val="2"/>
    </w:pPr>
    <w:rPr>
      <w:sz w:val="32"/>
    </w:rPr>
  </w:style>
  <w:style w:type="character" w:default="1" w:styleId="19">
    <w:name w:val="Default Paragraph Font"/>
    <w:semiHidden/>
    <w:qFormat/>
    <w:uiPriority w:val="0"/>
    <w:rPr>
      <w:rFonts w:ascii="Times New Roman" w:hAnsi="Times New Roman" w:eastAsia="仿宋_GB2312"/>
      <w:sz w:val="32"/>
    </w:rPr>
  </w:style>
  <w:style w:type="table" w:default="1" w:styleId="1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Body Text"/>
    <w:basedOn w:val="1"/>
    <w:qFormat/>
    <w:uiPriority w:val="0"/>
    <w:pPr>
      <w:spacing w:afterLines="0" w:afterAutospacing="0" w:line="578" w:lineRule="exact"/>
      <w:ind w:firstLine="643" w:firstLineChars="200"/>
    </w:pPr>
    <w:rPr>
      <w:rFonts w:cs="宋体"/>
    </w:rPr>
  </w:style>
  <w:style w:type="paragraph" w:styleId="5">
    <w:name w:val="Body Text Indent"/>
    <w:basedOn w:val="1"/>
    <w:next w:val="6"/>
    <w:qFormat/>
    <w:uiPriority w:val="0"/>
    <w:pPr>
      <w:spacing w:after="120" w:afterLines="0" w:afterAutospacing="0"/>
      <w:ind w:left="420" w:leftChars="200"/>
    </w:pPr>
  </w:style>
  <w:style w:type="paragraph" w:customStyle="1" w:styleId="6">
    <w:name w:val="样式 正文文本缩进 + 行距: 1.5 倍行距"/>
    <w:basedOn w:val="7"/>
    <w:next w:val="1"/>
    <w:qFormat/>
    <w:uiPriority w:val="0"/>
    <w:pPr>
      <w:spacing w:line="360" w:lineRule="auto"/>
      <w:ind w:left="90" w:leftChars="32" w:firstLine="560"/>
    </w:pPr>
    <w:rPr>
      <w:rFonts w:cs="宋体"/>
    </w:rPr>
  </w:style>
  <w:style w:type="paragraph" w:customStyle="1" w:styleId="7">
    <w:name w:val="正文文本缩进1"/>
    <w:basedOn w:val="1"/>
    <w:next w:val="6"/>
    <w:qFormat/>
    <w:uiPriority w:val="0"/>
    <w:pPr>
      <w:spacing w:after="120"/>
      <w:ind w:left="420" w:leftChars="200"/>
    </w:pPr>
  </w:style>
  <w:style w:type="paragraph" w:styleId="8">
    <w:name w:val="HTML Address"/>
    <w:basedOn w:val="1"/>
    <w:qFormat/>
    <w:uiPriority w:val="99"/>
    <w:rPr>
      <w:rFonts w:cs="宋体"/>
      <w:kern w:val="0"/>
      <w:szCs w:val="24"/>
    </w:r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snapToGrid w:val="0"/>
      <w:spacing w:beforeLines="30"/>
      <w:ind w:left="140" w:leftChars="50"/>
    </w:pPr>
    <w:rPr>
      <w:rFonts w:eastAsia="CESI黑体-GB13000" w:cs="宋体"/>
      <w:sz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Title"/>
    <w:basedOn w:val="1"/>
    <w:next w:val="1"/>
    <w:qFormat/>
    <w:uiPriority w:val="0"/>
    <w:pPr>
      <w:jc w:val="center"/>
      <w:outlineLvl w:val="0"/>
    </w:pPr>
    <w:rPr>
      <w:rFonts w:ascii="Arial" w:hAnsi="Arial"/>
      <w:b/>
    </w:rPr>
  </w:style>
  <w:style w:type="paragraph" w:styleId="16">
    <w:name w:val="Body Text First Indent 2"/>
    <w:basedOn w:val="5"/>
    <w:next w:val="1"/>
    <w:qFormat/>
    <w:uiPriority w:val="0"/>
    <w:pPr>
      <w:ind w:firstLine="420" w:firstLineChars="200"/>
    </w:pPr>
  </w:style>
  <w:style w:type="table" w:styleId="18">
    <w:name w:val="Table Grid"/>
    <w:basedOn w:val="1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99"/>
    <w:rPr>
      <w:rFonts w:cs="Times New Roman"/>
    </w:rPr>
  </w:style>
  <w:style w:type="paragraph" w:customStyle="1" w:styleId="21">
    <w:name w:val="正文格式"/>
    <w:qFormat/>
    <w:uiPriority w:val="0"/>
    <w:pPr>
      <w:spacing w:line="360" w:lineRule="auto"/>
      <w:ind w:firstLine="200" w:firstLineChars="200"/>
    </w:pPr>
    <w:rPr>
      <w:rFonts w:ascii="宋体" w:hAnsi="Times New Roman" w:eastAsia="宋体" w:cs="Times New Roman"/>
      <w:kern w:val="2"/>
      <w:sz w:val="28"/>
      <w:szCs w:val="22"/>
      <w:lang w:val="en-US" w:eastAsia="zh-CN" w:bidi="ar-SA"/>
    </w:rPr>
  </w:style>
  <w:style w:type="paragraph" w:customStyle="1" w:styleId="22">
    <w:name w:val="样式1"/>
    <w:basedOn w:val="1"/>
    <w:next w:val="4"/>
    <w:qFormat/>
    <w:uiPriority w:val="0"/>
    <w:rPr>
      <w:rFonts w:asciiTheme="minorAscii" w:hAnsiTheme="minorAscii" w:eastAsiaTheme="minorEastAsia" w:cstheme="minorBidi"/>
      <w:kern w:val="2"/>
      <w:sz w:val="21"/>
      <w:szCs w:val="24"/>
    </w:rPr>
  </w:style>
  <w:style w:type="paragraph" w:customStyle="1" w:styleId="23">
    <w:name w:val="样式2"/>
    <w:basedOn w:val="4"/>
    <w:next w:val="16"/>
    <w:qFormat/>
    <w:uiPriority w:val="0"/>
    <w:rPr>
      <w:rFonts w:hint="eastAsia" w:ascii="Calibri" w:hAnsi="Calibri" w:eastAsia="仿宋_GB2312" w:cs="Times New Roman"/>
      <w:kern w:val="2"/>
      <w:sz w:val="32"/>
      <w:szCs w:val="24"/>
    </w:rPr>
  </w:style>
  <w:style w:type="paragraph" w:customStyle="1" w:styleId="24">
    <w:name w:val="样式3"/>
    <w:basedOn w:val="4"/>
    <w:next w:val="4"/>
    <w:qFormat/>
    <w:uiPriority w:val="0"/>
    <w:pPr>
      <w:spacing w:line="578" w:lineRule="exact"/>
      <w:ind w:firstLine="909" w:firstLineChars="200"/>
    </w:pPr>
    <w:rPr>
      <w:rFonts w:hint="eastAsia" w:ascii="Calibri" w:hAnsi="Calibri" w:eastAsia="仿宋_GB2312" w:cs="Times New Roman"/>
      <w:kern w:val="2"/>
      <w:sz w:val="32"/>
      <w:szCs w:val="24"/>
    </w:rPr>
  </w:style>
  <w:style w:type="paragraph" w:customStyle="1" w:styleId="25">
    <w:name w:val="样式4"/>
    <w:basedOn w:val="1"/>
    <w:next w:val="4"/>
    <w:qFormat/>
    <w:uiPriority w:val="0"/>
    <w:pPr>
      <w:spacing w:line="578" w:lineRule="exact"/>
      <w:ind w:firstLine="881" w:firstLineChars="200"/>
    </w:pPr>
    <w:rPr>
      <w:rFonts w:eastAsia="仿宋_GB2312" w:asciiTheme="minorAscii" w:hAnsiTheme="minorAscii" w:cstheme="minorBidi"/>
      <w:kern w:val="2"/>
      <w:sz w:val="32"/>
      <w:szCs w:val="24"/>
    </w:rPr>
  </w:style>
  <w:style w:type="paragraph" w:customStyle="1" w:styleId="26">
    <w:name w:val="Default"/>
    <w:qFormat/>
    <w:uiPriority w:val="99"/>
    <w:pPr>
      <w:widowControl w:val="0"/>
      <w:autoSpaceDE w:val="0"/>
      <w:autoSpaceDN w:val="0"/>
      <w:adjustRightInd w:val="0"/>
    </w:pPr>
    <w:rPr>
      <w:rFonts w:ascii="宋体-方正超大字符集" w:hAnsi="宋体-方正超大字符集" w:eastAsia="宋体-方正超大字符集" w:cs="宋体-方正超大字符集"/>
      <w:color w:val="000000"/>
      <w:kern w:val="0"/>
      <w:sz w:val="24"/>
      <w:szCs w:val="24"/>
      <w:lang w:val="en-US" w:eastAsia="zh-CN" w:bidi="ar-SA"/>
    </w:rPr>
  </w:style>
  <w:style w:type="paragraph" w:customStyle="1" w:styleId="27">
    <w:name w:val="一般内容"/>
    <w:basedOn w:val="1"/>
    <w:qFormat/>
    <w:uiPriority w:val="0"/>
    <w:pPr>
      <w:spacing w:line="360" w:lineRule="auto"/>
      <w:ind w:firstLine="200" w:firstLineChars="200"/>
    </w:pPr>
    <w:rPr>
      <w:rFonts w:ascii="Arial" w:hAnsi="Arial" w:eastAsia="宋体" w:cs="Arial"/>
      <w:bCs/>
      <w:sz w:val="24"/>
      <w:szCs w:val="24"/>
    </w:rPr>
  </w:style>
  <w:style w:type="character" w:customStyle="1" w:styleId="28">
    <w:name w:val="apple-converted-space"/>
    <w:qFormat/>
    <w:uiPriority w:val="99"/>
    <w:rPr>
      <w:rFonts w:cs="Times New Roman"/>
    </w:rPr>
  </w:style>
  <w:style w:type="character" w:customStyle="1" w:styleId="29">
    <w:name w:val="font21"/>
    <w:qFormat/>
    <w:uiPriority w:val="0"/>
    <w:rPr>
      <w:rFonts w:hint="default" w:ascii="仿宋_GB2312" w:eastAsia="仿宋_GB2312" w:cs="仿宋_GB2312"/>
      <w:b/>
      <w:bCs/>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4589</Words>
  <Characters>4876</Characters>
  <Lines>0</Lines>
  <Paragraphs>0</Paragraphs>
  <TotalTime>73</TotalTime>
  <ScaleCrop>false</ScaleCrop>
  <LinksUpToDate>false</LinksUpToDate>
  <CharactersWithSpaces>5010</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2021-05-12T07:03:00Z</dcterms:created>
  <dc:creator>Administrator</dc:creator>
  <cp:lastModifiedBy>Lee</cp:lastModifiedBy>
  <cp:lastPrinted>2022-09-01T08:43:00Z</cp:lastPrinted>
  <dcterms:modified xsi:type="dcterms:W3CDTF">2022-09-09T02:56:06Z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67323668D5CE4BF0904FAB27F2E2700A</vt:lpwstr>
  </property>
</Properties>
</file>