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autoSpaceDN/>
        <w:spacing w:line="578" w:lineRule="exact"/>
        <w:jc w:val="center"/>
        <w:outlineLvl w:val="9"/>
        <w:rPr>
          <w:rFonts w:ascii="文星标宋" w:hAnsi="宋体" w:eastAsia="文星标宋" w:cs="宋体"/>
          <w:b/>
          <w:bCs/>
          <w:kern w:val="0"/>
          <w:sz w:val="44"/>
          <w:szCs w:val="44"/>
        </w:rPr>
      </w:pPr>
    </w:p>
    <w:p>
      <w:pPr>
        <w:autoSpaceDE/>
        <w:autoSpaceDN/>
        <w:spacing w:line="578" w:lineRule="exact"/>
        <w:jc w:val="center"/>
        <w:outlineLvl w:val="9"/>
        <w:rPr>
          <w:rFonts w:ascii="文星标宋" w:hAnsi="宋体" w:eastAsia="文星标宋" w:cs="宋体"/>
          <w:b/>
          <w:bCs/>
          <w:kern w:val="0"/>
          <w:sz w:val="44"/>
          <w:szCs w:val="44"/>
        </w:rPr>
      </w:pPr>
    </w:p>
    <w:p>
      <w:pPr>
        <w:autoSpaceDE/>
        <w:autoSpaceDN/>
        <w:spacing w:line="578" w:lineRule="exact"/>
        <w:jc w:val="center"/>
        <w:outlineLvl w:val="9"/>
        <w:rPr>
          <w:rFonts w:ascii="文星标宋" w:hAnsi="宋体" w:eastAsia="文星标宋" w:cs="宋体"/>
          <w:b/>
          <w:bCs/>
          <w:kern w:val="0"/>
          <w:sz w:val="44"/>
          <w:szCs w:val="44"/>
        </w:rPr>
      </w:pPr>
    </w:p>
    <w:p>
      <w:pPr>
        <w:autoSpaceDE/>
        <w:autoSpaceDN/>
        <w:spacing w:line="578" w:lineRule="exact"/>
        <w:jc w:val="center"/>
        <w:outlineLvl w:val="9"/>
        <w:rPr>
          <w:rFonts w:ascii="文星标宋" w:hAnsi="宋体" w:eastAsia="文星标宋" w:cs="宋体"/>
          <w:b/>
          <w:bCs/>
          <w:kern w:val="0"/>
          <w:sz w:val="44"/>
          <w:szCs w:val="44"/>
        </w:rPr>
      </w:pPr>
    </w:p>
    <w:p>
      <w:pPr>
        <w:autoSpaceDE/>
        <w:autoSpaceDN/>
        <w:spacing w:line="578" w:lineRule="exact"/>
        <w:jc w:val="center"/>
        <w:outlineLvl w:val="9"/>
        <w:rPr>
          <w:rFonts w:ascii="文星标宋" w:hAnsi="宋体" w:eastAsia="文星标宋" w:cs="宋体"/>
          <w:b/>
          <w:bCs/>
          <w:kern w:val="0"/>
          <w:sz w:val="44"/>
          <w:szCs w:val="44"/>
        </w:rPr>
      </w:pPr>
    </w:p>
    <w:p>
      <w:pPr>
        <w:autoSpaceDE/>
        <w:autoSpaceDN/>
        <w:spacing w:line="578" w:lineRule="exact"/>
        <w:jc w:val="center"/>
        <w:outlineLvl w:val="9"/>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乐政办</w:t>
      </w:r>
      <w:r>
        <w:rPr>
          <w:rFonts w:hint="eastAsia" w:ascii="仿宋_GB2312" w:hAnsi="仿宋_GB2312" w:cs="仿宋_GB2312"/>
          <w:b/>
          <w:bCs/>
          <w:kern w:val="0"/>
          <w:sz w:val="32"/>
          <w:szCs w:val="32"/>
          <w:lang w:val="en-US" w:eastAsia="zh-CN"/>
        </w:rPr>
        <w:t>字</w:t>
      </w:r>
      <w:r>
        <w:rPr>
          <w:rFonts w:hint="eastAsia" w:ascii="仿宋_GB2312" w:hAnsi="仿宋_GB2312" w:eastAsia="仿宋_GB2312" w:cs="仿宋_GB2312"/>
          <w:b/>
          <w:bCs/>
          <w:kern w:val="0"/>
          <w:sz w:val="32"/>
          <w:szCs w:val="32"/>
          <w:lang w:val="en-US" w:eastAsia="zh-CN"/>
        </w:rPr>
        <w:t>〔</w:t>
      </w:r>
      <w:r>
        <w:rPr>
          <w:rFonts w:hint="eastAsia" w:ascii="仿宋_GB2312" w:hAnsi="仿宋_GB2312" w:cs="仿宋_GB2312"/>
          <w:b/>
          <w:bCs/>
          <w:kern w:val="0"/>
          <w:sz w:val="32"/>
          <w:szCs w:val="32"/>
          <w:lang w:val="en-US" w:eastAsia="zh-CN"/>
        </w:rPr>
        <w:t>2023</w:t>
      </w:r>
      <w:r>
        <w:rPr>
          <w:rFonts w:hint="eastAsia" w:ascii="仿宋_GB2312" w:hAnsi="仿宋_GB2312" w:eastAsia="仿宋_GB2312" w:cs="仿宋_GB2312"/>
          <w:b/>
          <w:bCs/>
          <w:kern w:val="0"/>
          <w:sz w:val="32"/>
          <w:szCs w:val="32"/>
          <w:lang w:val="en-US" w:eastAsia="zh-CN"/>
        </w:rPr>
        <w:t>〕</w:t>
      </w:r>
      <w:r>
        <w:rPr>
          <w:rFonts w:hint="eastAsia" w:ascii="仿宋_GB2312" w:hAnsi="仿宋_GB2312" w:cs="仿宋_GB2312"/>
          <w:b/>
          <w:bCs/>
          <w:kern w:val="0"/>
          <w:sz w:val="32"/>
          <w:szCs w:val="32"/>
          <w:lang w:val="en-US" w:eastAsia="zh-CN"/>
        </w:rPr>
        <w:t>15号</w:t>
      </w:r>
    </w:p>
    <w:p>
      <w:pPr>
        <w:autoSpaceDE/>
        <w:autoSpaceDN/>
        <w:spacing w:line="578" w:lineRule="exact"/>
        <w:jc w:val="center"/>
        <w:outlineLvl w:val="9"/>
        <w:rPr>
          <w:rFonts w:ascii="文星标宋" w:hAnsi="宋体" w:eastAsia="文星标宋" w:cs="宋体"/>
          <w:b/>
          <w:bCs/>
          <w:kern w:val="0"/>
          <w:sz w:val="44"/>
          <w:szCs w:val="44"/>
        </w:rPr>
      </w:pPr>
    </w:p>
    <w:p>
      <w:pPr>
        <w:autoSpaceDE/>
        <w:autoSpaceDN/>
        <w:spacing w:line="578" w:lineRule="exact"/>
        <w:jc w:val="center"/>
        <w:outlineLvl w:val="9"/>
        <w:rPr>
          <w:rFonts w:ascii="文星标宋" w:hAnsi="宋体" w:eastAsia="文星标宋" w:cs="宋体"/>
          <w:b/>
          <w:bCs/>
          <w:kern w:val="0"/>
          <w:sz w:val="44"/>
          <w:szCs w:val="44"/>
        </w:rPr>
      </w:pPr>
    </w:p>
    <w:p>
      <w:pPr>
        <w:keepNext w:val="0"/>
        <w:keepLines w:val="0"/>
        <w:pageBreakBefore w:val="0"/>
        <w:kinsoku/>
        <w:wordWrap/>
        <w:overflowPunct/>
        <w:topLinePunct w:val="0"/>
        <w:autoSpaceDE/>
        <w:autoSpaceDN/>
        <w:bidi w:val="0"/>
        <w:spacing w:line="578" w:lineRule="exact"/>
        <w:jc w:val="center"/>
        <w:rPr>
          <w:rFonts w:ascii="文星标宋" w:hAnsi="文星标宋" w:eastAsia="文星标宋" w:cs="文星标宋"/>
          <w:b/>
          <w:bCs/>
          <w:sz w:val="44"/>
          <w:szCs w:val="44"/>
        </w:rPr>
      </w:pPr>
      <w:r>
        <w:rPr>
          <w:rFonts w:hint="eastAsia" w:ascii="文星标宋" w:hAnsi="文星标宋" w:eastAsia="文星标宋" w:cs="文星标宋"/>
          <w:b/>
          <w:bCs/>
          <w:sz w:val="44"/>
          <w:szCs w:val="44"/>
        </w:rPr>
        <w:t>昌乐县人民政府办公室</w:t>
      </w:r>
    </w:p>
    <w:p>
      <w:pPr>
        <w:keepNext w:val="0"/>
        <w:keepLines w:val="0"/>
        <w:pageBreakBefore w:val="0"/>
        <w:kinsoku/>
        <w:wordWrap/>
        <w:overflowPunct/>
        <w:topLinePunct w:val="0"/>
        <w:autoSpaceDE/>
        <w:autoSpaceDN/>
        <w:bidi w:val="0"/>
        <w:spacing w:line="578" w:lineRule="exact"/>
        <w:jc w:val="center"/>
        <w:rPr>
          <w:rFonts w:ascii="文星标宋" w:hAnsi="文星标宋" w:eastAsia="文星标宋" w:cs="文星标宋"/>
          <w:b/>
          <w:bCs/>
          <w:sz w:val="44"/>
          <w:szCs w:val="44"/>
        </w:rPr>
      </w:pPr>
      <w:r>
        <w:rPr>
          <w:rFonts w:hint="eastAsia" w:ascii="文星标宋" w:hAnsi="文星标宋" w:eastAsia="文星标宋" w:cs="文星标宋"/>
          <w:b/>
          <w:bCs/>
          <w:sz w:val="44"/>
          <w:szCs w:val="44"/>
        </w:rPr>
        <w:t>关于印发《昌乐县“十四五”养老服务</w:t>
      </w:r>
    </w:p>
    <w:p>
      <w:pPr>
        <w:keepNext w:val="0"/>
        <w:keepLines w:val="0"/>
        <w:pageBreakBefore w:val="0"/>
        <w:kinsoku/>
        <w:wordWrap/>
        <w:overflowPunct/>
        <w:topLinePunct w:val="0"/>
        <w:autoSpaceDE/>
        <w:autoSpaceDN/>
        <w:bidi w:val="0"/>
        <w:spacing w:line="578" w:lineRule="exact"/>
        <w:jc w:val="center"/>
        <w:rPr>
          <w:rFonts w:ascii="文星标宋" w:hAnsi="文星标宋" w:eastAsia="文星标宋" w:cs="文星标宋"/>
          <w:b/>
          <w:bCs/>
          <w:sz w:val="44"/>
          <w:szCs w:val="44"/>
        </w:rPr>
      </w:pPr>
      <w:r>
        <w:rPr>
          <w:rFonts w:hint="eastAsia" w:ascii="文星标宋" w:hAnsi="文星标宋" w:eastAsia="文星标宋" w:cs="文星标宋"/>
          <w:b/>
          <w:bCs/>
          <w:sz w:val="44"/>
          <w:szCs w:val="44"/>
        </w:rPr>
        <w:t>体系规划》的通知</w:t>
      </w:r>
    </w:p>
    <w:p>
      <w:pPr>
        <w:pStyle w:val="11"/>
        <w:keepNext w:val="0"/>
        <w:keepLines w:val="0"/>
        <w:pageBreakBefore w:val="0"/>
        <w:kinsoku/>
        <w:wordWrap/>
        <w:overflowPunct/>
        <w:topLinePunct w:val="0"/>
        <w:autoSpaceDE/>
        <w:autoSpaceDN/>
        <w:bidi w:val="0"/>
        <w:spacing w:line="578" w:lineRule="exact"/>
        <w:ind w:firstLine="624" w:firstLineChars="200"/>
        <w:rPr>
          <w:rFonts w:ascii="仿宋_GB2312" w:hAnsi="Calibri" w:eastAsia="仿宋_GB2312"/>
          <w:b/>
          <w:bCs/>
          <w:kern w:val="2"/>
          <w:sz w:val="32"/>
          <w:szCs w:val="32"/>
        </w:rPr>
      </w:pPr>
    </w:p>
    <w:p>
      <w:pPr>
        <w:pStyle w:val="11"/>
        <w:keepNext w:val="0"/>
        <w:keepLines w:val="0"/>
        <w:pageBreakBefore w:val="0"/>
        <w:widowControl/>
        <w:kinsoku/>
        <w:wordWrap/>
        <w:overflowPunct/>
        <w:topLinePunct w:val="0"/>
        <w:autoSpaceDE/>
        <w:autoSpaceDN/>
        <w:bidi w:val="0"/>
        <w:adjustRightInd w:val="0"/>
        <w:snapToGrid w:val="0"/>
        <w:spacing w:line="578" w:lineRule="exact"/>
        <w:ind w:firstLine="0"/>
        <w:textAlignment w:val="baseline"/>
        <w:rPr>
          <w:rFonts w:ascii="仿宋_GB2312" w:hAnsi="Calibri" w:eastAsia="仿宋_GB2312"/>
          <w:b/>
          <w:bCs/>
          <w:kern w:val="2"/>
          <w:sz w:val="32"/>
          <w:szCs w:val="32"/>
        </w:rPr>
      </w:pPr>
      <w:bookmarkStart w:id="0" w:name="_GoBack"/>
      <w:r>
        <w:rPr>
          <w:rFonts w:hint="eastAsia" w:ascii="仿宋_GB2312" w:hAnsi="仿宋_GB2312" w:eastAsia="仿宋_GB2312" w:cs="仿宋_GB2312"/>
          <w:b/>
          <w:bCs/>
          <w:sz w:val="32"/>
          <w:szCs w:val="32"/>
        </w:rPr>
        <w:t>各镇（街、区）人民政府（办事处、管委会、管理服务中心），县政府有关部门、单位</w:t>
      </w:r>
      <w:r>
        <w:rPr>
          <w:rFonts w:hint="eastAsia" w:ascii="仿宋_GB2312" w:hAnsi="Calibri" w:eastAsia="仿宋_GB2312"/>
          <w:b/>
          <w:bCs/>
          <w:kern w:val="2"/>
          <w:sz w:val="32"/>
          <w:szCs w:val="32"/>
        </w:rPr>
        <w:t>：</w:t>
      </w:r>
    </w:p>
    <w:p>
      <w:pPr>
        <w:pStyle w:val="11"/>
        <w:keepNext w:val="0"/>
        <w:keepLines w:val="0"/>
        <w:pageBreakBefore w:val="0"/>
        <w:widowControl/>
        <w:kinsoku/>
        <w:wordWrap/>
        <w:overflowPunct/>
        <w:topLinePunct w:val="0"/>
        <w:autoSpaceDE/>
        <w:autoSpaceDN/>
        <w:bidi w:val="0"/>
        <w:adjustRightInd w:val="0"/>
        <w:snapToGrid w:val="0"/>
        <w:spacing w:line="578" w:lineRule="exact"/>
        <w:ind w:firstLine="624" w:firstLineChars="200"/>
        <w:textAlignment w:val="baseline"/>
        <w:rPr>
          <w:rFonts w:ascii="仿宋_GB2312" w:hAnsi="Calibri" w:eastAsia="仿宋_GB2312"/>
          <w:b/>
          <w:bCs/>
          <w:kern w:val="2"/>
          <w:sz w:val="32"/>
          <w:szCs w:val="32"/>
        </w:rPr>
      </w:pPr>
      <w:r>
        <w:rPr>
          <w:rFonts w:hint="eastAsia" w:ascii="仿宋_GB2312" w:hAnsi="Calibri" w:eastAsia="仿宋_GB2312"/>
          <w:b/>
          <w:bCs/>
          <w:kern w:val="2"/>
          <w:sz w:val="32"/>
          <w:szCs w:val="32"/>
        </w:rPr>
        <w:t>《昌乐县“十四五”养老服务体系规划》已经县政府同意，现印发给你们，请结合实际认真组织实施。</w:t>
      </w:r>
    </w:p>
    <w:p>
      <w:pPr>
        <w:pStyle w:val="11"/>
        <w:keepNext w:val="0"/>
        <w:keepLines w:val="0"/>
        <w:pageBreakBefore w:val="0"/>
        <w:widowControl/>
        <w:kinsoku/>
        <w:wordWrap/>
        <w:overflowPunct/>
        <w:topLinePunct w:val="0"/>
        <w:autoSpaceDE/>
        <w:autoSpaceDN/>
        <w:bidi w:val="0"/>
        <w:adjustRightInd w:val="0"/>
        <w:snapToGrid w:val="0"/>
        <w:spacing w:line="578" w:lineRule="exact"/>
        <w:ind w:firstLine="624" w:firstLineChars="200"/>
        <w:textAlignment w:val="baseline"/>
        <w:rPr>
          <w:rFonts w:ascii="仿宋_GB2312" w:hAnsi="Calibri" w:eastAsia="仿宋_GB2312"/>
          <w:b/>
          <w:bCs/>
          <w:kern w:val="2"/>
          <w:sz w:val="32"/>
          <w:szCs w:val="32"/>
        </w:rPr>
      </w:pPr>
    </w:p>
    <w:p>
      <w:pPr>
        <w:pStyle w:val="11"/>
        <w:keepNext w:val="0"/>
        <w:keepLines w:val="0"/>
        <w:pageBreakBefore w:val="0"/>
        <w:widowControl/>
        <w:kinsoku/>
        <w:wordWrap/>
        <w:overflowPunct/>
        <w:topLinePunct w:val="0"/>
        <w:autoSpaceDE/>
        <w:autoSpaceDN/>
        <w:bidi w:val="0"/>
        <w:adjustRightInd w:val="0"/>
        <w:snapToGrid w:val="0"/>
        <w:spacing w:line="578" w:lineRule="exact"/>
        <w:ind w:firstLine="624" w:firstLineChars="200"/>
        <w:textAlignment w:val="baseline"/>
        <w:rPr>
          <w:rFonts w:ascii="仿宋_GB2312" w:hAnsi="Calibri" w:eastAsia="仿宋_GB2312"/>
          <w:b/>
          <w:bCs/>
          <w:kern w:val="2"/>
          <w:sz w:val="32"/>
          <w:szCs w:val="32"/>
        </w:rPr>
      </w:pPr>
    </w:p>
    <w:p>
      <w:pPr>
        <w:pStyle w:val="11"/>
        <w:keepNext w:val="0"/>
        <w:keepLines w:val="0"/>
        <w:pageBreakBefore w:val="0"/>
        <w:widowControl/>
        <w:kinsoku/>
        <w:wordWrap/>
        <w:overflowPunct/>
        <w:topLinePunct w:val="0"/>
        <w:autoSpaceDE/>
        <w:autoSpaceDN/>
        <w:bidi w:val="0"/>
        <w:adjustRightInd w:val="0"/>
        <w:snapToGrid w:val="0"/>
        <w:spacing w:line="578" w:lineRule="exact"/>
        <w:ind w:firstLine="4992" w:firstLineChars="1600"/>
        <w:textAlignment w:val="baseline"/>
        <w:rPr>
          <w:rFonts w:ascii="仿宋_GB2312" w:hAnsi="Calibri" w:eastAsia="仿宋_GB2312"/>
          <w:b/>
          <w:bCs/>
          <w:kern w:val="2"/>
          <w:sz w:val="32"/>
          <w:szCs w:val="32"/>
        </w:rPr>
      </w:pPr>
      <w:r>
        <w:rPr>
          <w:rFonts w:hint="eastAsia" w:ascii="仿宋_GB2312" w:hAnsi="Calibri" w:eastAsia="仿宋_GB2312"/>
          <w:b/>
          <w:bCs/>
          <w:kern w:val="2"/>
          <w:sz w:val="32"/>
          <w:szCs w:val="32"/>
        </w:rPr>
        <w:t>昌乐县人民政府办公室</w:t>
      </w:r>
    </w:p>
    <w:p>
      <w:pPr>
        <w:pStyle w:val="11"/>
        <w:keepNext w:val="0"/>
        <w:keepLines w:val="0"/>
        <w:pageBreakBefore w:val="0"/>
        <w:widowControl/>
        <w:kinsoku/>
        <w:wordWrap/>
        <w:overflowPunct/>
        <w:topLinePunct w:val="0"/>
        <w:autoSpaceDE/>
        <w:autoSpaceDN/>
        <w:bidi w:val="0"/>
        <w:adjustRightInd w:val="0"/>
        <w:snapToGrid w:val="0"/>
        <w:spacing w:line="578" w:lineRule="exact"/>
        <w:ind w:firstLine="5304" w:firstLineChars="1700"/>
        <w:textAlignment w:val="baseline"/>
        <w:rPr>
          <w:rFonts w:ascii="仿宋_GB2312" w:hAnsi="Calibri" w:eastAsia="仿宋_GB2312"/>
          <w:b/>
          <w:bCs/>
          <w:kern w:val="2"/>
          <w:sz w:val="32"/>
          <w:szCs w:val="32"/>
        </w:rPr>
      </w:pPr>
      <w:r>
        <w:rPr>
          <w:rFonts w:hint="eastAsia" w:ascii="仿宋_GB2312" w:hAnsi="Calibri" w:eastAsia="仿宋_GB2312"/>
          <w:b/>
          <w:bCs/>
          <w:kern w:val="2"/>
          <w:sz w:val="32"/>
          <w:szCs w:val="32"/>
        </w:rPr>
        <w:t>2023年</w:t>
      </w:r>
      <w:r>
        <w:rPr>
          <w:rFonts w:hint="eastAsia" w:ascii="仿宋_GB2312" w:hAnsi="Calibri" w:eastAsia="仿宋_GB2312"/>
          <w:b/>
          <w:bCs/>
          <w:kern w:val="2"/>
          <w:sz w:val="32"/>
          <w:szCs w:val="32"/>
          <w:lang w:val="en-US" w:eastAsia="zh-CN"/>
        </w:rPr>
        <w:t>9</w:t>
      </w:r>
      <w:r>
        <w:rPr>
          <w:rFonts w:hint="eastAsia" w:ascii="仿宋_GB2312" w:hAnsi="Calibri" w:eastAsia="仿宋_GB2312"/>
          <w:b/>
          <w:bCs/>
          <w:kern w:val="2"/>
          <w:sz w:val="32"/>
          <w:szCs w:val="32"/>
        </w:rPr>
        <w:t>月</w:t>
      </w:r>
      <w:r>
        <w:rPr>
          <w:rFonts w:hint="eastAsia" w:ascii="仿宋_GB2312" w:hAnsi="Calibri" w:eastAsia="仿宋_GB2312"/>
          <w:b/>
          <w:bCs/>
          <w:kern w:val="2"/>
          <w:sz w:val="32"/>
          <w:szCs w:val="32"/>
          <w:lang w:val="en-US" w:eastAsia="zh-CN"/>
        </w:rPr>
        <w:t>16</w:t>
      </w:r>
      <w:r>
        <w:rPr>
          <w:rFonts w:hint="eastAsia" w:ascii="仿宋_GB2312" w:hAnsi="Calibri" w:eastAsia="仿宋_GB2312"/>
          <w:b/>
          <w:bCs/>
          <w:kern w:val="2"/>
          <w:sz w:val="32"/>
          <w:szCs w:val="32"/>
        </w:rPr>
        <w:t>日</w:t>
      </w:r>
    </w:p>
    <w:p>
      <w:pPr>
        <w:pStyle w:val="11"/>
        <w:keepNext w:val="0"/>
        <w:keepLines w:val="0"/>
        <w:pageBreakBefore w:val="0"/>
        <w:kinsoku/>
        <w:wordWrap/>
        <w:overflowPunct/>
        <w:topLinePunct w:val="0"/>
        <w:autoSpaceDE/>
        <w:autoSpaceDN/>
        <w:bidi w:val="0"/>
        <w:spacing w:line="578" w:lineRule="exact"/>
        <w:ind w:firstLine="624" w:firstLineChars="200"/>
        <w:rPr>
          <w:rFonts w:ascii="仿宋_GB2312" w:hAnsi="Calibri" w:eastAsia="仿宋_GB2312"/>
          <w:b/>
          <w:bCs/>
          <w:kern w:val="2"/>
          <w:sz w:val="32"/>
          <w:szCs w:val="32"/>
        </w:rPr>
      </w:pPr>
      <w:r>
        <w:rPr>
          <w:rFonts w:hint="eastAsia" w:ascii="仿宋_GB2312" w:hAnsi="Calibri" w:eastAsia="仿宋_GB2312"/>
          <w:b/>
          <w:bCs/>
          <w:kern w:val="2"/>
          <w:sz w:val="32"/>
          <w:szCs w:val="32"/>
        </w:rPr>
        <w:t>（此件公开发布）</w:t>
      </w:r>
    </w:p>
    <w:p>
      <w:pPr>
        <w:spacing w:line="560" w:lineRule="exact"/>
        <w:jc w:val="center"/>
        <w:rPr>
          <w:rFonts w:hint="eastAsia" w:ascii="文星标宋" w:hAnsi="文星标宋" w:eastAsia="文星标宋" w:cs="文星标宋"/>
          <w:b/>
          <w:bCs/>
          <w:sz w:val="40"/>
          <w:szCs w:val="40"/>
        </w:rPr>
      </w:pPr>
    </w:p>
    <w:p>
      <w:pPr>
        <w:keepNext w:val="0"/>
        <w:keepLines w:val="0"/>
        <w:pageBreakBefore w:val="0"/>
        <w:kinsoku/>
        <w:wordWrap/>
        <w:overflowPunct/>
        <w:topLinePunct w:val="0"/>
        <w:autoSpaceDE/>
        <w:autoSpaceDN/>
        <w:bidi w:val="0"/>
        <w:spacing w:line="578" w:lineRule="exact"/>
        <w:jc w:val="center"/>
        <w:rPr>
          <w:rFonts w:hint="eastAsia" w:ascii="文星标宋" w:hAnsi="文星标宋" w:eastAsia="文星标宋" w:cs="文星标宋"/>
          <w:b/>
          <w:bCs/>
          <w:sz w:val="40"/>
          <w:szCs w:val="40"/>
        </w:rPr>
      </w:pPr>
    </w:p>
    <w:p>
      <w:pPr>
        <w:keepNext w:val="0"/>
        <w:keepLines w:val="0"/>
        <w:pageBreakBefore w:val="0"/>
        <w:kinsoku/>
        <w:wordWrap/>
        <w:overflowPunct/>
        <w:topLinePunct w:val="0"/>
        <w:autoSpaceDE/>
        <w:autoSpaceDN/>
        <w:bidi w:val="0"/>
        <w:spacing w:line="578" w:lineRule="exact"/>
        <w:jc w:val="center"/>
        <w:rPr>
          <w:rFonts w:ascii="仿宋_GB2312"/>
          <w:b/>
          <w:bCs/>
          <w:sz w:val="40"/>
          <w:szCs w:val="40"/>
        </w:rPr>
      </w:pPr>
      <w:r>
        <w:rPr>
          <w:rFonts w:hint="eastAsia" w:ascii="文星标宋" w:hAnsi="文星标宋" w:eastAsia="文星标宋" w:cs="文星标宋"/>
          <w:b/>
          <w:bCs/>
          <w:sz w:val="40"/>
          <w:szCs w:val="40"/>
        </w:rPr>
        <w:t>昌乐县“十四五”养老服务体系规划</w:t>
      </w:r>
    </w:p>
    <w:p>
      <w:pPr>
        <w:pStyle w:val="11"/>
        <w:keepNext w:val="0"/>
        <w:keepLines w:val="0"/>
        <w:pageBreakBefore w:val="0"/>
        <w:kinsoku/>
        <w:wordWrap/>
        <w:overflowPunct/>
        <w:topLinePunct w:val="0"/>
        <w:autoSpaceDE/>
        <w:autoSpaceDN/>
        <w:bidi w:val="0"/>
        <w:spacing w:line="578" w:lineRule="exact"/>
        <w:ind w:firstLine="624" w:firstLineChars="200"/>
        <w:rPr>
          <w:rFonts w:ascii="仿宋_GB2312" w:hAnsi="Calibri" w:eastAsia="仿宋_GB2312"/>
          <w:b/>
          <w:bCs/>
          <w:kern w:val="2"/>
          <w:sz w:val="32"/>
          <w:szCs w:val="32"/>
        </w:rPr>
      </w:pPr>
    </w:p>
    <w:p>
      <w:pPr>
        <w:keepNext w:val="0"/>
        <w:keepLines w:val="0"/>
        <w:pageBreakBefore w:val="0"/>
        <w:kinsoku/>
        <w:wordWrap/>
        <w:overflowPunct/>
        <w:topLinePunct w:val="0"/>
        <w:autoSpaceDE/>
        <w:autoSpaceDN/>
        <w:bidi w:val="0"/>
        <w:spacing w:line="578" w:lineRule="exact"/>
        <w:ind w:firstLine="624" w:firstLineChars="200"/>
        <w:rPr>
          <w:rFonts w:ascii="仿宋_GB2312" w:hAnsi="仿宋_GB2312" w:cs="仿宋_GB2312"/>
          <w:b/>
          <w:bCs/>
        </w:rPr>
      </w:pPr>
      <w:r>
        <w:rPr>
          <w:rFonts w:hint="eastAsia" w:ascii="仿宋_GB2312" w:hAnsi="仿宋_GB2312" w:cs="仿宋_GB2312"/>
          <w:b/>
          <w:bCs/>
        </w:rPr>
        <w:t>为贯彻落实积极应对人口老龄化国家战略，更好满足人民群众日益增长的多样化、多层次养老服务需求，</w:t>
      </w:r>
      <w:r>
        <w:rPr>
          <w:rFonts w:hint="eastAsia" w:ascii="仿宋_GB2312"/>
          <w:b/>
          <w:szCs w:val="32"/>
        </w:rPr>
        <w:t>根据</w:t>
      </w:r>
      <w:r>
        <w:rPr>
          <w:rStyle w:val="12"/>
          <w:rFonts w:hint="eastAsia" w:ascii="仿宋_GB2312" w:hAnsi="仿宋_GB2312"/>
          <w:b/>
          <w:color w:val="000000"/>
          <w:szCs w:val="32"/>
        </w:rPr>
        <w:t>《“十四五”国家老龄事业发展和养老服务体系规划》《山东省“十四五”养老服务体系规划》和《潍坊市“十四五”养老服务体系规划》</w:t>
      </w:r>
      <w:r>
        <w:rPr>
          <w:rStyle w:val="12"/>
          <w:rFonts w:hint="eastAsia" w:ascii="仿宋_GB2312" w:hAnsi="仿宋_GB2312"/>
          <w:b/>
          <w:color w:val="000000"/>
          <w:szCs w:val="32"/>
          <w:lang w:val="en-US" w:eastAsia="zh-CN"/>
        </w:rPr>
        <w:t>规定</w:t>
      </w:r>
      <w:r>
        <w:rPr>
          <w:rStyle w:val="12"/>
          <w:rFonts w:hint="eastAsia" w:ascii="仿宋_GB2312" w:hAnsi="仿宋_GB2312"/>
          <w:b/>
          <w:color w:val="000000"/>
          <w:szCs w:val="32"/>
        </w:rPr>
        <w:t>，</w:t>
      </w:r>
      <w:r>
        <w:rPr>
          <w:rFonts w:hint="eastAsia" w:ascii="仿宋_GB2312" w:hAnsi="仿宋_GB2312" w:cs="仿宋_GB2312"/>
          <w:b/>
          <w:bCs/>
        </w:rPr>
        <w:t>结合我县实际，制定本规划。</w:t>
      </w:r>
    </w:p>
    <w:p>
      <w:pPr>
        <w:keepNext w:val="0"/>
        <w:keepLines w:val="0"/>
        <w:pageBreakBefore w:val="0"/>
        <w:kinsoku/>
        <w:wordWrap/>
        <w:overflowPunct/>
        <w:topLinePunct w:val="0"/>
        <w:autoSpaceDE/>
        <w:autoSpaceDN/>
        <w:bidi w:val="0"/>
        <w:spacing w:line="578" w:lineRule="exact"/>
        <w:ind w:firstLine="624" w:firstLineChars="200"/>
        <w:jc w:val="both"/>
        <w:rPr>
          <w:rFonts w:ascii="黑体" w:hAnsi="黑体" w:eastAsia="黑体" w:cs="黑体"/>
          <w:b/>
          <w:bCs/>
          <w:szCs w:val="32"/>
        </w:rPr>
      </w:pPr>
      <w:r>
        <w:rPr>
          <w:rFonts w:hint="eastAsia" w:ascii="黑体" w:hAnsi="黑体" w:eastAsia="黑体" w:cs="黑体"/>
          <w:b/>
          <w:bCs/>
          <w:szCs w:val="32"/>
          <w:lang w:val="en-US" w:eastAsia="zh-CN"/>
        </w:rPr>
        <w:t>一、</w:t>
      </w:r>
      <w:r>
        <w:rPr>
          <w:rFonts w:hint="eastAsia" w:ascii="黑体" w:hAnsi="黑体" w:eastAsia="黑体" w:cs="黑体"/>
          <w:b/>
          <w:bCs/>
          <w:szCs w:val="32"/>
        </w:rPr>
        <w:t>指导思想</w:t>
      </w:r>
    </w:p>
    <w:p>
      <w:pPr>
        <w:keepNext w:val="0"/>
        <w:keepLines w:val="0"/>
        <w:pageBreakBefore w:val="0"/>
        <w:kinsoku/>
        <w:wordWrap/>
        <w:overflowPunct/>
        <w:topLinePunct w:val="0"/>
        <w:autoSpaceDE/>
        <w:autoSpaceDN/>
        <w:bidi w:val="0"/>
        <w:spacing w:line="578" w:lineRule="exact"/>
        <w:ind w:firstLine="624" w:firstLineChars="200"/>
      </w:pPr>
      <w:r>
        <w:rPr>
          <w:rFonts w:hint="eastAsia" w:ascii="仿宋_GB2312" w:hAnsi="仿宋_GB2312" w:cs="仿宋_GB2312"/>
          <w:b/>
          <w:bCs/>
        </w:rPr>
        <w:t>以习近平新时代中国特色社会主义思想为指导，以满足老年人多样化、多层次服务需求为导向，以推动养老服务业高质量发展为主题，以满足日益增长的养老服务需求为根本目的，聚焦高龄、失能老年人长期照护体系建设，完善基本养老服务，发展普惠养老服务，推进互助养老服务，促进养老事业和养老产业协同发展，不断健全完善居家社区机构相协调、医养康养相结合的多层次养老服务体系，持续增强广大老年人的获得感、幸福感和安全感,为建设富裕和谐幸福昌乐贡献力量。</w:t>
      </w:r>
    </w:p>
    <w:p>
      <w:pPr>
        <w:pStyle w:val="11"/>
        <w:keepNext w:val="0"/>
        <w:keepLines w:val="0"/>
        <w:pageBreakBefore w:val="0"/>
        <w:kinsoku/>
        <w:wordWrap/>
        <w:overflowPunct/>
        <w:topLinePunct w:val="0"/>
        <w:autoSpaceDE/>
        <w:autoSpaceDN/>
        <w:bidi w:val="0"/>
        <w:spacing w:line="578" w:lineRule="exact"/>
        <w:ind w:firstLine="624" w:firstLineChars="200"/>
        <w:jc w:val="both"/>
        <w:rPr>
          <w:rFonts w:ascii="黑体" w:hAnsi="黑体" w:eastAsia="黑体" w:cs="黑体"/>
          <w:sz w:val="32"/>
          <w:szCs w:val="32"/>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规划背景</w:t>
      </w:r>
    </w:p>
    <w:p>
      <w:pPr>
        <w:keepNext w:val="0"/>
        <w:keepLines w:val="0"/>
        <w:pageBreakBefore w:val="0"/>
        <w:kinsoku/>
        <w:wordWrap/>
        <w:overflowPunct/>
        <w:topLinePunct w:val="0"/>
        <w:autoSpaceDE/>
        <w:autoSpaceDN/>
        <w:bidi w:val="0"/>
        <w:spacing w:line="578" w:lineRule="exact"/>
        <w:ind w:firstLine="624" w:firstLineChars="200"/>
        <w:rPr>
          <w:rFonts w:ascii="仿宋_GB2312" w:hAnsi="仿宋_GB2312" w:cs="仿宋_GB2312"/>
          <w:b/>
          <w:bCs/>
        </w:rPr>
      </w:pPr>
      <w:r>
        <w:rPr>
          <w:rFonts w:hint="eastAsia" w:ascii="仿宋_GB2312" w:hAnsi="仿宋_GB2312" w:cs="仿宋_GB2312"/>
          <w:b/>
          <w:bCs/>
        </w:rPr>
        <w:t>根据第七次全国人口普查结果，我县户籍人口63.8万、常住人口58.4万，其中60岁及以上人口13.4万，占常住人口的22.97%，分别高于</w:t>
      </w:r>
      <w:r>
        <w:rPr>
          <w:rFonts w:hint="eastAsia" w:ascii="仿宋_GB2312" w:hAnsi="仿宋_GB2312" w:cs="仿宋_GB2312"/>
          <w:b/>
          <w:bCs/>
          <w:lang w:val="en-US" w:eastAsia="zh-CN"/>
        </w:rPr>
        <w:t>国家、省、市</w:t>
      </w:r>
      <w:r>
        <w:rPr>
          <w:rFonts w:hint="eastAsia" w:ascii="仿宋_GB2312" w:hAnsi="仿宋_GB2312" w:cs="仿宋_GB2312"/>
          <w:b/>
          <w:bCs/>
        </w:rPr>
        <w:t>4.27个百分点、2.07个百分点、1.2个百分点，我县已进入中度老龄化社会，养老服务需求持续增加。</w:t>
      </w:r>
    </w:p>
    <w:p>
      <w:pPr>
        <w:keepNext w:val="0"/>
        <w:keepLines w:val="0"/>
        <w:pageBreakBefore w:val="0"/>
        <w:kinsoku/>
        <w:wordWrap/>
        <w:overflowPunct/>
        <w:topLinePunct w:val="0"/>
        <w:autoSpaceDE/>
        <w:autoSpaceDN/>
        <w:bidi w:val="0"/>
        <w:spacing w:line="578" w:lineRule="exact"/>
        <w:ind w:firstLine="624" w:firstLineChars="200"/>
        <w:jc w:val="both"/>
        <w:rPr>
          <w:rFonts w:ascii="楷体_GB2312" w:hAnsi="楷体_GB2312" w:eastAsia="楷体_GB2312" w:cs="楷体_GB2312"/>
          <w:b/>
          <w:bCs/>
          <w:kern w:val="2"/>
          <w:sz w:val="32"/>
          <w:szCs w:val="32"/>
        </w:rPr>
      </w:pPr>
      <w:r>
        <w:rPr>
          <w:rFonts w:hint="eastAsia" w:ascii="黑体" w:hAnsi="黑体" w:eastAsia="黑体" w:cs="黑体"/>
          <w:b/>
          <w:bCs/>
          <w:szCs w:val="32"/>
          <w:lang w:val="en-US" w:eastAsia="zh-CN"/>
        </w:rPr>
        <w:t>三、</w:t>
      </w:r>
      <w:r>
        <w:rPr>
          <w:rFonts w:hint="eastAsia" w:ascii="黑体" w:hAnsi="黑体" w:eastAsia="黑体" w:cs="黑体"/>
          <w:b/>
          <w:bCs/>
          <w:szCs w:val="32"/>
        </w:rPr>
        <w:t>发展目标</w:t>
      </w:r>
    </w:p>
    <w:p>
      <w:pPr>
        <w:pStyle w:val="11"/>
        <w:keepNext w:val="0"/>
        <w:keepLines w:val="0"/>
        <w:pageBreakBefore w:val="0"/>
        <w:widowControl/>
        <w:kinsoku/>
        <w:wordWrap/>
        <w:overflowPunct/>
        <w:topLinePunct w:val="0"/>
        <w:autoSpaceDE/>
        <w:autoSpaceDN/>
        <w:bidi w:val="0"/>
        <w:adjustRightInd w:val="0"/>
        <w:snapToGrid w:val="0"/>
        <w:spacing w:before="126" w:beforeLines="20" w:after="126" w:afterLines="20" w:line="578" w:lineRule="exact"/>
        <w:ind w:firstLine="0"/>
        <w:jc w:val="center"/>
        <w:textAlignment w:val="baseline"/>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“十四五”期间昌乐县养老服务发展主要指标</w:t>
      </w:r>
    </w:p>
    <w:tbl>
      <w:tblPr>
        <w:tblStyle w:val="9"/>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4725"/>
        <w:gridCol w:w="1485"/>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93" w:type="dxa"/>
            <w:vAlign w:val="center"/>
          </w:tcPr>
          <w:p>
            <w:pPr>
              <w:pStyle w:val="11"/>
              <w:spacing w:line="560" w:lineRule="exact"/>
              <w:ind w:firstLine="0"/>
              <w:jc w:val="center"/>
              <w:rPr>
                <w:rFonts w:hint="eastAsia" w:ascii="黑体" w:hAnsi="黑体" w:eastAsia="黑体" w:cs="黑体"/>
                <w:b/>
                <w:bCs/>
                <w:kern w:val="2"/>
              </w:rPr>
            </w:pPr>
            <w:r>
              <w:rPr>
                <w:rFonts w:hint="eastAsia" w:ascii="黑体" w:hAnsi="黑体" w:eastAsia="黑体" w:cs="黑体"/>
                <w:b/>
                <w:bCs/>
                <w:kern w:val="2"/>
              </w:rPr>
              <w:t>序号</w:t>
            </w:r>
          </w:p>
        </w:tc>
        <w:tc>
          <w:tcPr>
            <w:tcW w:w="4725" w:type="dxa"/>
            <w:vAlign w:val="center"/>
          </w:tcPr>
          <w:p>
            <w:pPr>
              <w:pStyle w:val="11"/>
              <w:spacing w:line="560" w:lineRule="exact"/>
              <w:ind w:firstLine="0"/>
              <w:jc w:val="center"/>
              <w:rPr>
                <w:rFonts w:hint="eastAsia" w:ascii="黑体" w:hAnsi="黑体" w:eastAsia="黑体" w:cs="黑体"/>
                <w:b/>
                <w:bCs/>
                <w:kern w:val="2"/>
              </w:rPr>
            </w:pPr>
            <w:r>
              <w:rPr>
                <w:rFonts w:hint="eastAsia" w:ascii="黑体" w:hAnsi="黑体" w:eastAsia="黑体" w:cs="黑体"/>
                <w:b/>
                <w:bCs/>
                <w:kern w:val="2"/>
              </w:rPr>
              <w:t>指  标</w:t>
            </w:r>
          </w:p>
        </w:tc>
        <w:tc>
          <w:tcPr>
            <w:tcW w:w="1485" w:type="dxa"/>
            <w:vAlign w:val="center"/>
          </w:tcPr>
          <w:p>
            <w:pPr>
              <w:pStyle w:val="11"/>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黑体" w:hAnsi="黑体" w:eastAsia="黑体" w:cs="黑体"/>
                <w:b/>
                <w:bCs/>
                <w:kern w:val="2"/>
              </w:rPr>
            </w:pPr>
            <w:r>
              <w:rPr>
                <w:rFonts w:hint="eastAsia" w:ascii="黑体" w:hAnsi="黑体" w:eastAsia="黑体" w:cs="黑体"/>
                <w:b/>
                <w:bCs/>
                <w:kern w:val="2"/>
              </w:rPr>
              <w:t>2025年底</w:t>
            </w:r>
          </w:p>
          <w:p>
            <w:pPr>
              <w:pStyle w:val="11"/>
              <w:keepNext w:val="0"/>
              <w:keepLines w:val="0"/>
              <w:pageBreakBefore w:val="0"/>
              <w:widowControl/>
              <w:kinsoku/>
              <w:wordWrap/>
              <w:overflowPunct/>
              <w:topLinePunct w:val="0"/>
              <w:autoSpaceDE/>
              <w:autoSpaceDN/>
              <w:bidi w:val="0"/>
              <w:adjustRightInd w:val="0"/>
              <w:snapToGrid w:val="0"/>
              <w:spacing w:line="360" w:lineRule="exact"/>
              <w:ind w:left="0" w:leftChars="0" w:firstLine="0" w:firstLineChars="0"/>
              <w:jc w:val="center"/>
              <w:textAlignment w:val="baseline"/>
              <w:rPr>
                <w:rFonts w:hint="eastAsia" w:ascii="黑体" w:hAnsi="黑体" w:eastAsia="黑体" w:cs="黑体"/>
                <w:b/>
                <w:bCs/>
                <w:kern w:val="2"/>
              </w:rPr>
            </w:pPr>
            <w:r>
              <w:rPr>
                <w:rFonts w:hint="eastAsia" w:ascii="黑体" w:hAnsi="黑体" w:eastAsia="黑体" w:cs="黑体"/>
                <w:b/>
                <w:bCs/>
                <w:kern w:val="2"/>
              </w:rPr>
              <w:t>目标值</w:t>
            </w:r>
          </w:p>
        </w:tc>
        <w:tc>
          <w:tcPr>
            <w:tcW w:w="1920" w:type="dxa"/>
            <w:vAlign w:val="center"/>
          </w:tcPr>
          <w:p>
            <w:pPr>
              <w:pStyle w:val="11"/>
              <w:spacing w:line="560" w:lineRule="exact"/>
              <w:ind w:firstLine="0"/>
              <w:jc w:val="center"/>
              <w:rPr>
                <w:rFonts w:hint="eastAsia" w:ascii="黑体" w:hAnsi="黑体" w:eastAsia="黑体" w:cs="黑体"/>
                <w:b/>
                <w:bCs/>
                <w:kern w:val="2"/>
              </w:rPr>
            </w:pPr>
            <w:r>
              <w:rPr>
                <w:rFonts w:hint="eastAsia" w:ascii="黑体" w:hAnsi="黑体" w:eastAsia="黑体" w:cs="黑体"/>
                <w:b/>
                <w:bCs/>
                <w:kern w:val="2"/>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93"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1</w:t>
            </w:r>
          </w:p>
        </w:tc>
        <w:tc>
          <w:tcPr>
            <w:tcW w:w="4725"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失能特困人员集中供养率</w:t>
            </w:r>
          </w:p>
        </w:tc>
        <w:tc>
          <w:tcPr>
            <w:tcW w:w="1485"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≥60%</w:t>
            </w:r>
          </w:p>
        </w:tc>
        <w:tc>
          <w:tcPr>
            <w:tcW w:w="1920"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93"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2</w:t>
            </w:r>
          </w:p>
        </w:tc>
        <w:tc>
          <w:tcPr>
            <w:tcW w:w="4725"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有集中供养意愿的特困人员集中供养率</w:t>
            </w:r>
          </w:p>
        </w:tc>
        <w:tc>
          <w:tcPr>
            <w:tcW w:w="1485"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100%</w:t>
            </w:r>
          </w:p>
        </w:tc>
        <w:tc>
          <w:tcPr>
            <w:tcW w:w="1920"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93"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3</w:t>
            </w:r>
          </w:p>
        </w:tc>
        <w:tc>
          <w:tcPr>
            <w:tcW w:w="4725"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特殊困难老年人月探访率</w:t>
            </w:r>
          </w:p>
        </w:tc>
        <w:tc>
          <w:tcPr>
            <w:tcW w:w="1485"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100%</w:t>
            </w:r>
          </w:p>
        </w:tc>
        <w:tc>
          <w:tcPr>
            <w:tcW w:w="1920" w:type="dxa"/>
          </w:tcPr>
          <w:p>
            <w:pPr>
              <w:pStyle w:val="11"/>
              <w:spacing w:line="560" w:lineRule="exact"/>
              <w:ind w:firstLine="0"/>
              <w:jc w:val="center"/>
              <w:rPr>
                <w:rFonts w:ascii="仿宋_GB2312" w:hAnsi="仿宋_GB2312" w:eastAsia="仿宋_GB2312" w:cs="仿宋_GB2312"/>
                <w:b/>
                <w:bCs/>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93"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4</w:t>
            </w:r>
          </w:p>
        </w:tc>
        <w:tc>
          <w:tcPr>
            <w:tcW w:w="4725"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社区养老服务设施配建达标率</w:t>
            </w:r>
          </w:p>
        </w:tc>
        <w:tc>
          <w:tcPr>
            <w:tcW w:w="1485"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100%</w:t>
            </w:r>
          </w:p>
        </w:tc>
        <w:tc>
          <w:tcPr>
            <w:tcW w:w="1920"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93"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5</w:t>
            </w:r>
          </w:p>
        </w:tc>
        <w:tc>
          <w:tcPr>
            <w:tcW w:w="4725"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养老机构护理型床位占比</w:t>
            </w:r>
          </w:p>
        </w:tc>
        <w:tc>
          <w:tcPr>
            <w:tcW w:w="1485"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≥60%</w:t>
            </w:r>
          </w:p>
        </w:tc>
        <w:tc>
          <w:tcPr>
            <w:tcW w:w="1920"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93"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6</w:t>
            </w:r>
          </w:p>
        </w:tc>
        <w:tc>
          <w:tcPr>
            <w:tcW w:w="4725"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每千名老年人配有社会工作者人数</w:t>
            </w:r>
          </w:p>
        </w:tc>
        <w:tc>
          <w:tcPr>
            <w:tcW w:w="1485"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≥5</w:t>
            </w:r>
          </w:p>
        </w:tc>
        <w:tc>
          <w:tcPr>
            <w:tcW w:w="1920" w:type="dxa"/>
          </w:tcPr>
          <w:p>
            <w:pPr>
              <w:pStyle w:val="11"/>
              <w:spacing w:line="560" w:lineRule="exact"/>
              <w:ind w:firstLine="0"/>
              <w:jc w:val="center"/>
              <w:rPr>
                <w:rFonts w:ascii="仿宋_GB2312" w:hAnsi="仿宋_GB2312" w:eastAsia="仿宋_GB2312" w:cs="仿宋_GB2312"/>
                <w:b/>
                <w:bCs/>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93"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7</w:t>
            </w:r>
          </w:p>
        </w:tc>
        <w:tc>
          <w:tcPr>
            <w:tcW w:w="4725"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街道综合养老服务中心覆盖率</w:t>
            </w:r>
          </w:p>
        </w:tc>
        <w:tc>
          <w:tcPr>
            <w:tcW w:w="1485"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100%</w:t>
            </w:r>
          </w:p>
        </w:tc>
        <w:tc>
          <w:tcPr>
            <w:tcW w:w="1920"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93"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8</w:t>
            </w:r>
          </w:p>
        </w:tc>
        <w:tc>
          <w:tcPr>
            <w:tcW w:w="4725"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镇区域性综合养老服务中心覆盖率</w:t>
            </w:r>
          </w:p>
        </w:tc>
        <w:tc>
          <w:tcPr>
            <w:tcW w:w="1485"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≥60%</w:t>
            </w:r>
          </w:p>
        </w:tc>
        <w:tc>
          <w:tcPr>
            <w:tcW w:w="1920"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93"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9</w:t>
            </w:r>
          </w:p>
        </w:tc>
        <w:tc>
          <w:tcPr>
            <w:tcW w:w="4725"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养老机构医养结合服务覆盖率</w:t>
            </w:r>
          </w:p>
        </w:tc>
        <w:tc>
          <w:tcPr>
            <w:tcW w:w="1485"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100%</w:t>
            </w:r>
          </w:p>
        </w:tc>
        <w:tc>
          <w:tcPr>
            <w:tcW w:w="1920"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93"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10</w:t>
            </w:r>
          </w:p>
        </w:tc>
        <w:tc>
          <w:tcPr>
            <w:tcW w:w="4725"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老年大学县级覆盖率</w:t>
            </w:r>
          </w:p>
        </w:tc>
        <w:tc>
          <w:tcPr>
            <w:tcW w:w="1485" w:type="dxa"/>
          </w:tcPr>
          <w:p>
            <w:pPr>
              <w:pStyle w:val="11"/>
              <w:spacing w:line="560" w:lineRule="exact"/>
              <w:ind w:firstLine="0"/>
              <w:jc w:val="center"/>
              <w:rPr>
                <w:rFonts w:ascii="仿宋_GB2312" w:hAnsi="仿宋_GB2312" w:eastAsia="仿宋_GB2312" w:cs="仿宋_GB2312"/>
                <w:b/>
                <w:bCs/>
                <w:kern w:val="2"/>
              </w:rPr>
            </w:pPr>
            <w:r>
              <w:rPr>
                <w:rFonts w:hint="eastAsia" w:ascii="仿宋_GB2312" w:hAnsi="仿宋_GB2312" w:eastAsia="仿宋_GB2312" w:cs="仿宋_GB2312"/>
                <w:b/>
                <w:bCs/>
                <w:kern w:val="2"/>
              </w:rPr>
              <w:t>100%</w:t>
            </w:r>
          </w:p>
        </w:tc>
        <w:tc>
          <w:tcPr>
            <w:tcW w:w="1920" w:type="dxa"/>
          </w:tcPr>
          <w:p>
            <w:pPr>
              <w:pStyle w:val="11"/>
              <w:spacing w:line="560" w:lineRule="exact"/>
              <w:ind w:firstLine="0"/>
              <w:jc w:val="center"/>
              <w:rPr>
                <w:rFonts w:ascii="仿宋_GB2312" w:hAnsi="仿宋_GB2312" w:eastAsia="仿宋_GB2312" w:cs="仿宋_GB2312"/>
                <w:b/>
                <w:bCs/>
                <w:kern w:val="2"/>
              </w:rPr>
            </w:pPr>
          </w:p>
        </w:tc>
      </w:tr>
    </w:tbl>
    <w:p>
      <w:pPr>
        <w:keepNext w:val="0"/>
        <w:keepLines w:val="0"/>
        <w:pageBreakBefore w:val="0"/>
        <w:widowControl w:val="0"/>
        <w:kinsoku/>
        <w:wordWrap/>
        <w:overflowPunct/>
        <w:topLinePunct w:val="0"/>
        <w:autoSpaceDE/>
        <w:autoSpaceDN/>
        <w:bidi w:val="0"/>
        <w:adjustRightInd/>
        <w:snapToGrid/>
        <w:spacing w:line="578" w:lineRule="exact"/>
        <w:ind w:firstLine="624" w:firstLineChars="200"/>
        <w:jc w:val="both"/>
        <w:textAlignment w:val="auto"/>
        <w:rPr>
          <w:rFonts w:ascii="黑体" w:hAnsi="黑体" w:eastAsia="黑体" w:cs="黑体"/>
          <w:b/>
          <w:bCs/>
          <w:szCs w:val="32"/>
        </w:rPr>
      </w:pPr>
      <w:r>
        <w:rPr>
          <w:rFonts w:hint="eastAsia" w:ascii="黑体" w:hAnsi="黑体" w:eastAsia="黑体" w:cs="黑体"/>
          <w:b/>
          <w:bCs/>
          <w:szCs w:val="32"/>
          <w:lang w:val="en-US" w:eastAsia="zh-CN"/>
        </w:rPr>
        <w:t>四、</w:t>
      </w:r>
      <w:r>
        <w:rPr>
          <w:rFonts w:hint="eastAsia" w:ascii="黑体" w:hAnsi="黑体" w:eastAsia="黑体" w:cs="黑体"/>
          <w:b/>
          <w:bCs/>
          <w:szCs w:val="32"/>
        </w:rPr>
        <w:t>主要任务</w:t>
      </w:r>
    </w:p>
    <w:p>
      <w:pPr>
        <w:keepNext w:val="0"/>
        <w:keepLines w:val="0"/>
        <w:pageBreakBefore w:val="0"/>
        <w:widowControl w:val="0"/>
        <w:kinsoku/>
        <w:wordWrap/>
        <w:overflowPunct/>
        <w:topLinePunct w:val="0"/>
        <w:autoSpaceDE/>
        <w:autoSpaceDN/>
        <w:bidi w:val="0"/>
        <w:adjustRightInd/>
        <w:snapToGrid/>
        <w:spacing w:line="578" w:lineRule="exact"/>
        <w:ind w:firstLine="624" w:firstLineChars="200"/>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1</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健全社会救助和社会福利制度。</w:t>
      </w:r>
      <w:r>
        <w:rPr>
          <w:rFonts w:hint="eastAsia" w:ascii="仿宋_GB2312" w:hAnsi="仿宋_GB2312" w:cs="仿宋_GB2312"/>
          <w:b/>
          <w:bCs/>
          <w:szCs w:val="32"/>
        </w:rPr>
        <w:t>健全分层分类的社会救助体系，建立多维救助模式，积极开展“物质+服务”救助、</w:t>
      </w:r>
      <w:r>
        <w:rPr>
          <w:rFonts w:hint="eastAsia" w:ascii="仿宋_GB2312" w:hAnsi="仿宋_GB2312" w:cs="仿宋_GB2312"/>
          <w:b/>
          <w:bCs/>
          <w:szCs w:val="32"/>
          <w:lang w:eastAsia="zh-CN"/>
        </w:rPr>
        <w:t>“</w:t>
      </w:r>
      <w:r>
        <w:rPr>
          <w:rFonts w:hint="eastAsia" w:ascii="仿宋_GB2312" w:hAnsi="仿宋_GB2312" w:cs="仿宋_GB2312"/>
          <w:b/>
          <w:bCs/>
          <w:szCs w:val="32"/>
        </w:rPr>
        <w:t>政府救助+慈善救助</w:t>
      </w:r>
      <w:r>
        <w:rPr>
          <w:rFonts w:hint="eastAsia" w:ascii="仿宋_GB2312" w:hAnsi="仿宋_GB2312" w:cs="仿宋_GB2312"/>
          <w:b/>
          <w:bCs/>
          <w:szCs w:val="32"/>
          <w:lang w:eastAsia="zh-CN"/>
        </w:rPr>
        <w:t>”</w:t>
      </w:r>
      <w:r>
        <w:rPr>
          <w:rFonts w:hint="eastAsia" w:ascii="仿宋_GB2312" w:hAnsi="仿宋_GB2312" w:cs="仿宋_GB2312"/>
          <w:b/>
          <w:bCs/>
          <w:szCs w:val="32"/>
        </w:rPr>
        <w:t>、</w:t>
      </w:r>
      <w:r>
        <w:rPr>
          <w:rFonts w:hint="eastAsia" w:ascii="仿宋_GB2312" w:hAnsi="仿宋_GB2312" w:cs="仿宋_GB2312"/>
          <w:b/>
          <w:bCs/>
          <w:szCs w:val="32"/>
          <w:lang w:eastAsia="zh-CN"/>
        </w:rPr>
        <w:t>“</w:t>
      </w:r>
      <w:r>
        <w:rPr>
          <w:rFonts w:hint="eastAsia" w:ascii="仿宋_GB2312" w:hAnsi="仿宋_GB2312" w:cs="仿宋_GB2312"/>
          <w:b/>
          <w:bCs/>
          <w:szCs w:val="32"/>
        </w:rPr>
        <w:t>党建+救助</w:t>
      </w:r>
      <w:r>
        <w:rPr>
          <w:rFonts w:hint="eastAsia" w:ascii="仿宋_GB2312" w:hAnsi="仿宋_GB2312" w:cs="仿宋_GB2312"/>
          <w:b/>
          <w:bCs/>
          <w:szCs w:val="32"/>
          <w:lang w:eastAsia="zh-CN"/>
        </w:rPr>
        <w:t>”</w:t>
      </w:r>
      <w:r>
        <w:rPr>
          <w:rFonts w:hint="eastAsia" w:ascii="仿宋_GB2312" w:hAnsi="仿宋_GB2312" w:cs="仿宋_GB2312"/>
          <w:b/>
          <w:bCs/>
          <w:szCs w:val="32"/>
        </w:rPr>
        <w:t>，将符合条件的老年人纳入相应社会救助范围，符合特困供养条件的老年人实现</w:t>
      </w:r>
      <w:r>
        <w:rPr>
          <w:rFonts w:hint="eastAsia" w:ascii="仿宋_GB2312" w:hAnsi="仿宋_GB2312" w:cs="仿宋_GB2312"/>
          <w:b/>
          <w:bCs/>
        </w:rPr>
        <w:t>“愿进全进、应养尽养”。到2025年底，失能特困老年人集中供养率达到并保持在60%以上</w:t>
      </w:r>
      <w:r>
        <w:rPr>
          <w:rFonts w:hint="eastAsia" w:ascii="仿宋_GB2312" w:hAnsi="仿宋_GB2312" w:cs="仿宋_GB2312"/>
          <w:b/>
          <w:bCs/>
          <w:szCs w:val="32"/>
        </w:rPr>
        <w:t>。</w:t>
      </w:r>
      <w:r>
        <w:rPr>
          <w:rFonts w:hint="eastAsia" w:ascii="仿宋_GB2312" w:hAnsi="仿宋_GB2312" w:cs="仿宋_GB2312"/>
          <w:b/>
          <w:bCs/>
        </w:rPr>
        <w:t>通过政府购买服务等方式为失能居家老年人提供居家养老服务，为特殊困难老年人家庭实施适老化改造。</w:t>
      </w:r>
      <w:r>
        <w:rPr>
          <w:rFonts w:hint="eastAsia" w:ascii="楷体_GB2312" w:hAnsi="楷体_GB2312" w:eastAsia="楷体_GB2312" w:cs="楷体_GB2312"/>
          <w:b/>
          <w:bCs/>
          <w:szCs w:val="32"/>
        </w:rPr>
        <w:t>（责任部门：县民政局、财政局</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各镇街区）</w:t>
      </w:r>
    </w:p>
    <w:p>
      <w:pPr>
        <w:keepNext w:val="0"/>
        <w:keepLines w:val="0"/>
        <w:pageBreakBefore w:val="0"/>
        <w:widowControl w:val="0"/>
        <w:kinsoku/>
        <w:wordWrap/>
        <w:overflowPunct/>
        <w:topLinePunct w:val="0"/>
        <w:autoSpaceDE/>
        <w:autoSpaceDN/>
        <w:bidi w:val="0"/>
        <w:adjustRightInd/>
        <w:snapToGrid/>
        <w:spacing w:line="578" w:lineRule="exact"/>
        <w:ind w:firstLine="624" w:firstLineChars="200"/>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2</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健全特殊困难老年人关爱探访机制。</w:t>
      </w:r>
      <w:r>
        <w:rPr>
          <w:rFonts w:hint="eastAsia" w:ascii="仿宋_GB2312" w:hAnsi="仿宋_GB2312" w:cs="仿宋_GB2312"/>
          <w:b/>
          <w:bCs/>
        </w:rPr>
        <w:t>建立健全特殊</w:t>
      </w:r>
      <w:r>
        <w:rPr>
          <w:rFonts w:hint="eastAsia" w:ascii="仿宋_GB2312" w:hAnsi="仿宋_GB2312" w:cs="仿宋_GB2312"/>
          <w:b/>
          <w:bCs/>
          <w:lang w:val="en-US" w:eastAsia="zh-CN"/>
        </w:rPr>
        <w:t>困难</w:t>
      </w:r>
      <w:r>
        <w:rPr>
          <w:rFonts w:hint="eastAsia" w:ascii="仿宋_GB2312" w:hAnsi="仿宋_GB2312" w:cs="仿宋_GB2312"/>
          <w:b/>
          <w:bCs/>
        </w:rPr>
        <w:t>老年人巡访关爱制度，定期对独居、空巢、农村留守、计划生育特殊家庭老年人开展探视与帮扶服务，特殊困难老年人月探访率达到100%。落实普惠型老年人服务，充分利用镇（街道）社工站阵地，积极开展为老服务。为80周岁及以上老年人发放高龄津贴，为65周岁及以上老年人每年提供一次免费健康管理服务并建立健康档案，为60周岁及以上老年人提供文体休闲、县内公共交通等优待。</w:t>
      </w:r>
      <w:r>
        <w:rPr>
          <w:rFonts w:hint="eastAsia" w:ascii="楷体_GB2312" w:hAnsi="楷体_GB2312" w:eastAsia="楷体_GB2312" w:cs="楷体_GB2312"/>
          <w:b/>
          <w:bCs/>
          <w:szCs w:val="32"/>
        </w:rPr>
        <w:t>（责任部门：县民政局、财政局、卫健局、交通局、</w:t>
      </w:r>
      <w:r>
        <w:rPr>
          <w:rFonts w:hint="eastAsia" w:ascii="楷体_GB2312" w:hAnsi="楷体_GB2312" w:eastAsia="楷体_GB2312" w:cs="楷体_GB2312"/>
          <w:b/>
          <w:bCs/>
          <w:szCs w:val="32"/>
          <w:lang w:eastAsia="zh-CN"/>
        </w:rPr>
        <w:t>文化和旅游局</w:t>
      </w:r>
      <w:r>
        <w:rPr>
          <w:rFonts w:hint="eastAsia" w:ascii="楷体_GB2312" w:hAnsi="楷体_GB2312" w:eastAsia="楷体_GB2312" w:cs="楷体_GB2312"/>
          <w:b/>
          <w:bCs/>
          <w:szCs w:val="32"/>
        </w:rPr>
        <w:t>、体育事业发展中心</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各镇街区）</w:t>
      </w:r>
    </w:p>
    <w:p>
      <w:pPr>
        <w:keepNext w:val="0"/>
        <w:keepLines w:val="0"/>
        <w:pageBreakBefore w:val="0"/>
        <w:widowControl w:val="0"/>
        <w:kinsoku/>
        <w:wordWrap/>
        <w:overflowPunct/>
        <w:topLinePunct w:val="0"/>
        <w:autoSpaceDE/>
        <w:autoSpaceDN/>
        <w:bidi w:val="0"/>
        <w:adjustRightInd/>
        <w:snapToGrid/>
        <w:spacing w:line="578" w:lineRule="exact"/>
        <w:ind w:firstLine="624" w:firstLineChars="200"/>
        <w:textAlignment w:val="auto"/>
        <w:rPr>
          <w:rFonts w:ascii="仿宋_GB2312" w:hAnsi="仿宋_GB2312" w:cs="仿宋_GB2312"/>
          <w:b/>
          <w:bCs/>
          <w:szCs w:val="32"/>
        </w:rPr>
      </w:pPr>
      <w:r>
        <w:rPr>
          <w:rFonts w:hint="eastAsia" w:ascii="楷体_GB2312" w:hAnsi="楷体_GB2312" w:eastAsia="楷体_GB2312" w:cs="楷体_GB2312"/>
          <w:b/>
          <w:bCs/>
          <w:szCs w:val="32"/>
        </w:rPr>
        <w:t>3</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lang w:val="en-US" w:eastAsia="zh-CN"/>
        </w:rPr>
        <w:t>完善</w:t>
      </w:r>
      <w:r>
        <w:rPr>
          <w:rFonts w:hint="eastAsia" w:ascii="楷体_GB2312" w:hAnsi="楷体_GB2312" w:eastAsia="楷体_GB2312" w:cs="楷体_GB2312"/>
          <w:b/>
          <w:bCs/>
          <w:szCs w:val="32"/>
        </w:rPr>
        <w:t>基本养老服务制度。</w:t>
      </w:r>
      <w:r>
        <w:rPr>
          <w:rFonts w:hint="eastAsia" w:ascii="仿宋_GB2312" w:hAnsi="仿宋_GB2312" w:cs="仿宋_GB2312"/>
          <w:b/>
          <w:bCs/>
          <w:szCs w:val="32"/>
        </w:rPr>
        <w:t>统筹老年人能力、需求、健康、残疾、照护、消费等评估，通过政府购买服务等方式，开展老年人能力综合评估，评估结果作为领取老年人补贴、接受基本养老服务的参考依据。完善政府购买基本养老服务制度，健全基本养老服务清单，明确服务项目、服务对象、服务内容、服务标准等，并根据经济社会发展进行动态调整。规范政府购买基本养老服务流程，鼓励更多市场主体为老年人提供专业化的基本养老服务。</w:t>
      </w:r>
      <w:r>
        <w:rPr>
          <w:rFonts w:hint="eastAsia" w:ascii="楷体_GB2312" w:hAnsi="楷体_GB2312" w:eastAsia="楷体_GB2312" w:cs="楷体_GB2312"/>
          <w:b/>
          <w:bCs/>
          <w:szCs w:val="32"/>
        </w:rPr>
        <w:t>（责任部门：县民政局、法院、公安局、总工会、</w:t>
      </w:r>
      <w:r>
        <w:rPr>
          <w:rFonts w:hint="eastAsia" w:ascii="楷体_GB2312" w:hAnsi="楷体_GB2312" w:eastAsia="楷体_GB2312" w:cs="楷体_GB2312"/>
          <w:b/>
          <w:bCs/>
          <w:szCs w:val="32"/>
          <w:lang w:eastAsia="zh-CN"/>
        </w:rPr>
        <w:t>发改局</w:t>
      </w:r>
      <w:r>
        <w:rPr>
          <w:rFonts w:hint="eastAsia" w:ascii="楷体_GB2312" w:hAnsi="楷体_GB2312" w:eastAsia="楷体_GB2312" w:cs="楷体_GB2312"/>
          <w:b/>
          <w:bCs/>
          <w:szCs w:val="32"/>
        </w:rPr>
        <w:t>、司法局、人社局、财政局、交通局、</w:t>
      </w:r>
      <w:r>
        <w:rPr>
          <w:rFonts w:hint="eastAsia" w:ascii="楷体_GB2312" w:hAnsi="楷体_GB2312" w:eastAsia="楷体_GB2312" w:cs="楷体_GB2312"/>
          <w:b/>
          <w:bCs/>
          <w:szCs w:val="32"/>
          <w:lang w:eastAsia="zh-CN"/>
        </w:rPr>
        <w:t>文化和旅游局</w:t>
      </w:r>
      <w:r>
        <w:rPr>
          <w:rFonts w:hint="eastAsia" w:ascii="楷体_GB2312" w:hAnsi="楷体_GB2312" w:eastAsia="楷体_GB2312" w:cs="楷体_GB2312"/>
          <w:b/>
          <w:bCs/>
          <w:szCs w:val="32"/>
        </w:rPr>
        <w:t>、卫健局、退役军人事务局、体育事业发展中心</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各镇街区）</w:t>
      </w:r>
    </w:p>
    <w:p>
      <w:pPr>
        <w:keepNext w:val="0"/>
        <w:keepLines w:val="0"/>
        <w:pageBreakBefore w:val="0"/>
        <w:widowControl w:val="0"/>
        <w:kinsoku/>
        <w:wordWrap/>
        <w:overflowPunct/>
        <w:topLinePunct w:val="0"/>
        <w:autoSpaceDE/>
        <w:autoSpaceDN/>
        <w:bidi w:val="0"/>
        <w:adjustRightInd/>
        <w:snapToGrid/>
        <w:spacing w:line="578" w:lineRule="exact"/>
        <w:ind w:firstLine="624" w:firstLineChars="200"/>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4</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探索建立多层次长期护理保障制度。</w:t>
      </w:r>
      <w:r>
        <w:rPr>
          <w:rFonts w:hint="eastAsia" w:ascii="仿宋_GB2312" w:hAnsi="仿宋_GB2312" w:cs="仿宋_GB2312"/>
          <w:b/>
          <w:bCs/>
        </w:rPr>
        <w:t>加快构建由长期护理保险、社会救助、社会福利、慈善事业、商业保险组成的多层次长期照护保障体系，满足失能老年人照护服务刚性需求。</w:t>
      </w:r>
      <w:r>
        <w:rPr>
          <w:rFonts w:hint="eastAsia" w:ascii="仿宋_GB2312" w:hAnsi="仿宋_GB2312" w:cs="仿宋_GB2312"/>
          <w:b/>
          <w:bCs/>
          <w:szCs w:val="32"/>
        </w:rPr>
        <w:t>完善老年人高龄津贴、低收入养老服务补贴和失能护理补贴制度。</w:t>
      </w:r>
      <w:r>
        <w:rPr>
          <w:rFonts w:hint="eastAsia" w:ascii="仿宋_GB2312" w:hAnsi="仿宋_GB2312" w:cs="仿宋_GB2312"/>
          <w:b/>
          <w:bCs/>
        </w:rPr>
        <w:t>实施职工长期护理保险制度，适时开展城乡居民试点。</w:t>
      </w:r>
      <w:r>
        <w:rPr>
          <w:rFonts w:hint="eastAsia" w:ascii="楷体_GB2312" w:hAnsi="楷体_GB2312" w:eastAsia="楷体_GB2312" w:cs="楷体_GB2312"/>
          <w:b/>
          <w:bCs/>
          <w:szCs w:val="32"/>
        </w:rPr>
        <w:t>（责任部门：县民政局、财政局、卫健局、医保局、</w:t>
      </w:r>
      <w:r>
        <w:rPr>
          <w:rFonts w:hint="eastAsia" w:ascii="楷体_GB2312" w:hAnsi="楷体_GB2312" w:eastAsia="楷体_GB2312" w:cs="楷体_GB2312"/>
          <w:b/>
          <w:bCs/>
          <w:szCs w:val="32"/>
          <w:lang w:val="en-US" w:eastAsia="zh-CN"/>
        </w:rPr>
        <w:t>地方</w:t>
      </w:r>
      <w:r>
        <w:rPr>
          <w:rFonts w:hint="eastAsia" w:ascii="楷体_GB2312" w:hAnsi="楷体_GB2312" w:eastAsia="楷体_GB2312" w:cs="楷体_GB2312"/>
          <w:b/>
          <w:bCs/>
          <w:szCs w:val="32"/>
        </w:rPr>
        <w:t>金融管理局</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各镇街区）</w:t>
      </w:r>
    </w:p>
    <w:p>
      <w:pPr>
        <w:keepNext w:val="0"/>
        <w:keepLines w:val="0"/>
        <w:pageBreakBefore w:val="0"/>
        <w:widowControl w:val="0"/>
        <w:kinsoku/>
        <w:wordWrap/>
        <w:overflowPunct/>
        <w:topLinePunct w:val="0"/>
        <w:autoSpaceDE/>
        <w:autoSpaceDN/>
        <w:bidi w:val="0"/>
        <w:adjustRightInd/>
        <w:snapToGrid/>
        <w:spacing w:line="578" w:lineRule="exact"/>
        <w:ind w:firstLine="624" w:firstLineChars="200"/>
        <w:textAlignment w:val="auto"/>
        <w:rPr>
          <w:rFonts w:ascii="仿宋_GB2312" w:hAnsi="仿宋_GB2312" w:cs="仿宋_GB2312"/>
          <w:b/>
          <w:bCs/>
          <w:szCs w:val="32"/>
        </w:rPr>
      </w:pPr>
      <w:r>
        <w:rPr>
          <w:rFonts w:hint="eastAsia" w:ascii="楷体_GB2312" w:hAnsi="楷体_GB2312" w:eastAsia="楷体_GB2312" w:cs="楷体_GB2312"/>
          <w:b/>
          <w:bCs/>
          <w:szCs w:val="32"/>
        </w:rPr>
        <w:t>5</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强化公办养老机构兜底保障作用。</w:t>
      </w:r>
      <w:r>
        <w:rPr>
          <w:rFonts w:hint="eastAsia" w:ascii="仿宋_GB2312" w:hAnsi="仿宋_GB2312" w:cs="仿宋_GB2312"/>
          <w:b/>
          <w:bCs/>
          <w:szCs w:val="32"/>
        </w:rPr>
        <w:t>充分发挥公办养老机构的兜底保障作用，坚持公益属性，在满足有意愿的特困老年人集中供养需求的前提下，重点为经济困难的空巢、留守、失能、残疾、高龄老年人及计划生育特殊家庭老年人（特殊困难老年人）等提供服务。</w:t>
      </w:r>
      <w:r>
        <w:rPr>
          <w:rFonts w:hint="eastAsia" w:ascii="仿宋_GB2312" w:hAnsi="仿宋_GB2312" w:cs="仿宋_GB2312"/>
          <w:b/>
          <w:bCs/>
        </w:rPr>
        <w:t>建立公办养老机构入住评估制度。</w:t>
      </w:r>
      <w:r>
        <w:rPr>
          <w:rFonts w:hint="eastAsia" w:ascii="楷体_GB2312" w:hAnsi="楷体_GB2312" w:eastAsia="楷体_GB2312" w:cs="楷体_GB2312"/>
          <w:b/>
          <w:bCs/>
          <w:szCs w:val="32"/>
        </w:rPr>
        <w:t>（责任部门：县发改局、民政局、财政局、卫健局</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各镇街区）</w:t>
      </w:r>
    </w:p>
    <w:p>
      <w:pPr>
        <w:keepNext w:val="0"/>
        <w:keepLines w:val="0"/>
        <w:pageBreakBefore w:val="0"/>
        <w:widowControl w:val="0"/>
        <w:kinsoku/>
        <w:wordWrap/>
        <w:overflowPunct/>
        <w:topLinePunct w:val="0"/>
        <w:autoSpaceDE/>
        <w:autoSpaceDN/>
        <w:bidi w:val="0"/>
        <w:adjustRightInd/>
        <w:snapToGrid/>
        <w:spacing w:line="578" w:lineRule="exact"/>
        <w:ind w:firstLine="624" w:firstLineChars="200"/>
        <w:textAlignment w:val="auto"/>
        <w:rPr>
          <w:rFonts w:ascii="仿宋_GB2312" w:hAnsi="仿宋_GB2312" w:cs="仿宋_GB2312"/>
          <w:b/>
          <w:bCs/>
          <w:szCs w:val="32"/>
        </w:rPr>
      </w:pPr>
      <w:r>
        <w:rPr>
          <w:rFonts w:hint="eastAsia" w:ascii="楷体_GB2312" w:hAnsi="楷体_GB2312" w:eastAsia="楷体_GB2312" w:cs="楷体_GB2312"/>
          <w:b/>
          <w:bCs/>
          <w:szCs w:val="32"/>
        </w:rPr>
        <w:t>6</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完善社区养老服务设施建设。</w:t>
      </w:r>
      <w:r>
        <w:rPr>
          <w:rFonts w:hint="eastAsia" w:ascii="仿宋_GB2312" w:hAnsi="仿宋_GB2312" w:cs="仿宋_GB2312"/>
          <w:b/>
          <w:bCs/>
          <w:szCs w:val="32"/>
        </w:rPr>
        <w:t>统筹推进社区养老服务设施建设，城市新建住宅小区按照每百户不少于20平方米的标准配建社区养老服务用房，老旧城区和已建成居住区没有配套建设养老服务设施或者养老服务设施未达到规划要求和建设标准的，按照每百户不低于15平方米的标准，通过新建、改建、购置、置换、租赁等方式进行配置。落实社区养老服务用房与住宅同步规划、同步建设、同步验收、同步交付。</w:t>
      </w:r>
      <w:r>
        <w:rPr>
          <w:rFonts w:hint="eastAsia" w:ascii="楷体_GB2312" w:hAnsi="楷体_GB2312" w:eastAsia="楷体_GB2312" w:cs="楷体_GB2312"/>
          <w:b/>
          <w:bCs/>
          <w:szCs w:val="32"/>
        </w:rPr>
        <w:t>（责任部门：县民政局、自然资源和规划局、住建局、财政局</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各镇街区）</w:t>
      </w:r>
    </w:p>
    <w:p>
      <w:pPr>
        <w:keepNext w:val="0"/>
        <w:keepLines w:val="0"/>
        <w:pageBreakBefore w:val="0"/>
        <w:widowControl w:val="0"/>
        <w:kinsoku/>
        <w:wordWrap/>
        <w:overflowPunct/>
        <w:topLinePunct w:val="0"/>
        <w:autoSpaceDE/>
        <w:autoSpaceDN/>
        <w:bidi w:val="0"/>
        <w:adjustRightInd/>
        <w:snapToGrid/>
        <w:spacing w:line="578" w:lineRule="exact"/>
        <w:ind w:firstLine="624" w:firstLineChars="200"/>
        <w:textAlignment w:val="auto"/>
        <w:rPr>
          <w:rFonts w:ascii="仿宋_GB2312" w:hAnsi="仿宋_GB2312" w:cs="仿宋_GB2312"/>
          <w:b/>
          <w:bCs/>
        </w:rPr>
      </w:pPr>
      <w:r>
        <w:rPr>
          <w:rFonts w:hint="eastAsia" w:ascii="楷体_GB2312" w:hAnsi="楷体_GB2312" w:eastAsia="楷体_GB2312" w:cs="楷体_GB2312"/>
          <w:b/>
          <w:bCs/>
          <w:szCs w:val="32"/>
        </w:rPr>
        <w:t>7</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健全养老服务网络。</w:t>
      </w:r>
      <w:r>
        <w:rPr>
          <w:rFonts w:hint="eastAsia" w:ascii="仿宋_GB2312" w:hAnsi="仿宋_GB2312" w:cs="仿宋_GB2312"/>
          <w:b/>
          <w:bCs/>
        </w:rPr>
        <w:t>运营好县智慧养老服务平台，为居家社区机构养老提供智能化、专业化、数据化支撑。运营好以失能特困老年人专业照护为主的县特困人员供养机构，引导社会力量重点发展护理型养老床位。在街道，依托现有养老机构或卫生院建设具备全托、日托、上门服务、对下指导等功能的街道综合养老服务中心。在</w:t>
      </w:r>
      <w:r>
        <w:rPr>
          <w:rFonts w:hint="eastAsia" w:ascii="仿宋_GB2312" w:hAnsi="仿宋_GB2312" w:cs="仿宋_GB2312"/>
          <w:b/>
          <w:bCs/>
          <w:lang w:val="en-US" w:eastAsia="zh-CN"/>
        </w:rPr>
        <w:t>乡</w:t>
      </w:r>
      <w:r>
        <w:rPr>
          <w:rFonts w:hint="eastAsia" w:ascii="仿宋_GB2312" w:hAnsi="仿宋_GB2312" w:cs="仿宋_GB2312"/>
          <w:b/>
          <w:bCs/>
        </w:rPr>
        <w:t>镇，依托现有养老机构或卫生院发展区域性综合养老服务中心。在村（社区），发展社区老年人日间照料中心、农村幸福院等设施，2025年年底前，实现城镇社区日间照料服务全覆盖。在家庭层面，引导发展“家庭养老床位”，依托专业服务组织开展居家上门服务。</w:t>
      </w:r>
      <w:r>
        <w:rPr>
          <w:rFonts w:hint="eastAsia" w:ascii="楷体_GB2312" w:hAnsi="楷体_GB2312" w:eastAsia="楷体_GB2312" w:cs="楷体_GB2312"/>
          <w:b/>
          <w:bCs/>
          <w:szCs w:val="32"/>
        </w:rPr>
        <w:t>（责任部门：县民政局、工信局、大数据中心、卫健局</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各镇街区）</w:t>
      </w:r>
    </w:p>
    <w:p>
      <w:pPr>
        <w:keepNext w:val="0"/>
        <w:keepLines w:val="0"/>
        <w:pageBreakBefore w:val="0"/>
        <w:widowControl w:val="0"/>
        <w:kinsoku/>
        <w:wordWrap/>
        <w:overflowPunct/>
        <w:topLinePunct w:val="0"/>
        <w:autoSpaceDE/>
        <w:autoSpaceDN/>
        <w:bidi w:val="0"/>
        <w:adjustRightInd/>
        <w:snapToGrid/>
        <w:spacing w:line="578" w:lineRule="exact"/>
        <w:ind w:firstLine="624" w:firstLineChars="200"/>
        <w:textAlignment w:val="auto"/>
        <w:rPr>
          <w:rFonts w:ascii="仿宋_GB2312" w:hAnsi="仿宋_GB2312" w:cs="仿宋_GB2312"/>
          <w:b/>
          <w:bCs/>
          <w:szCs w:val="32"/>
        </w:rPr>
      </w:pPr>
      <w:r>
        <w:rPr>
          <w:rFonts w:hint="eastAsia" w:ascii="楷体_GB2312" w:hAnsi="楷体_GB2312" w:eastAsia="楷体_GB2312" w:cs="楷体_GB2312"/>
          <w:b/>
          <w:bCs/>
          <w:szCs w:val="32"/>
        </w:rPr>
        <w:t>8</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丰富社区居家养老服务供给。</w:t>
      </w:r>
      <w:r>
        <w:rPr>
          <w:rFonts w:hint="eastAsia" w:ascii="仿宋_GB2312" w:hAnsi="仿宋_GB2312" w:cs="仿宋_GB2312"/>
          <w:b/>
          <w:bCs/>
        </w:rPr>
        <w:t>鼓励养老机构、企业或服务组织，以失能老年人为重点，以医养结合养老机构为主体，连锁运营辖区日间照料设施和“家庭养老床位”，推动专业养老服务向社区和家庭延伸。探索家庭照护床位建设，依托专业养老服务机构，为居家老年人提供生活照料、医疗康复护理、居家安全协助、家庭照护支持等服务。</w:t>
      </w:r>
      <w:r>
        <w:rPr>
          <w:rFonts w:hint="eastAsia" w:ascii="仿宋_GB2312" w:hAnsi="仿宋_GB2312" w:cs="仿宋_GB2312"/>
          <w:b/>
          <w:bCs/>
          <w:szCs w:val="32"/>
        </w:rPr>
        <w:t>探索“党建+社区+物业+养老”服务模式，增加居家社区养老服务有效供给。</w:t>
      </w:r>
      <w:r>
        <w:rPr>
          <w:rFonts w:hint="eastAsia" w:ascii="仿宋_GB2312" w:hAnsi="仿宋_GB2312" w:cs="仿宋_GB2312"/>
          <w:b/>
          <w:bCs/>
        </w:rPr>
        <w:t>积极推进城乡社区（村）助老食堂或老年助餐点建设，为老年人提供助餐服务</w:t>
      </w:r>
      <w:r>
        <w:rPr>
          <w:rFonts w:hint="eastAsia" w:ascii="仿宋_GB2312" w:hAnsi="仿宋_GB2312" w:cs="仿宋_GB2312"/>
          <w:b/>
          <w:bCs/>
          <w:szCs w:val="32"/>
        </w:rPr>
        <w:t>。</w:t>
      </w:r>
      <w:r>
        <w:rPr>
          <w:rFonts w:hint="eastAsia" w:ascii="楷体_GB2312" w:hAnsi="楷体_GB2312" w:eastAsia="楷体_GB2312" w:cs="楷体_GB2312"/>
          <w:b/>
          <w:bCs/>
          <w:szCs w:val="32"/>
        </w:rPr>
        <w:t>（责任部门：县发改局、民政局、财政局、卫健局</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各镇街区）</w:t>
      </w:r>
    </w:p>
    <w:p>
      <w:pPr>
        <w:keepNext w:val="0"/>
        <w:keepLines w:val="0"/>
        <w:pageBreakBefore w:val="0"/>
        <w:widowControl w:val="0"/>
        <w:kinsoku/>
        <w:wordWrap/>
        <w:overflowPunct/>
        <w:topLinePunct w:val="0"/>
        <w:autoSpaceDE/>
        <w:autoSpaceDN/>
        <w:bidi w:val="0"/>
        <w:adjustRightInd/>
        <w:snapToGrid/>
        <w:spacing w:line="578" w:lineRule="exact"/>
        <w:ind w:firstLine="624" w:firstLineChars="200"/>
        <w:textAlignment w:val="auto"/>
        <w:rPr>
          <w:rFonts w:ascii="仿宋_GB2312" w:hAnsi="仿宋_GB2312" w:cs="仿宋_GB2312"/>
          <w:b/>
          <w:bCs/>
        </w:rPr>
      </w:pPr>
      <w:r>
        <w:rPr>
          <w:rFonts w:hint="eastAsia" w:ascii="楷体_GB2312" w:hAnsi="楷体_GB2312" w:eastAsia="楷体_GB2312" w:cs="楷体_GB2312"/>
          <w:b/>
          <w:bCs/>
          <w:szCs w:val="32"/>
        </w:rPr>
        <w:t>9</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支持家庭承担养老功能。</w:t>
      </w:r>
      <w:r>
        <w:rPr>
          <w:rFonts w:hint="eastAsia" w:ascii="仿宋_GB2312" w:hAnsi="仿宋_GB2312" w:cs="仿宋_GB2312"/>
          <w:b/>
          <w:bCs/>
          <w:szCs w:val="32"/>
        </w:rPr>
        <w:t>鼓励成年子女与老年父母就近居住或共同生活，履行赡养义务，承担照料责任。</w:t>
      </w:r>
      <w:r>
        <w:rPr>
          <w:rFonts w:hint="eastAsia" w:ascii="仿宋_GB2312" w:hAnsi="仿宋_GB2312" w:cs="仿宋_GB2312"/>
          <w:b/>
          <w:bCs/>
        </w:rPr>
        <w:t>鼓励对需要长期照护的失能老年人家庭提供“喘息”服务。</w:t>
      </w:r>
      <w:r>
        <w:rPr>
          <w:rFonts w:hint="eastAsia" w:ascii="仿宋_GB2312" w:hAnsi="仿宋_GB2312" w:cs="仿宋_GB2312"/>
          <w:b/>
          <w:bCs/>
          <w:szCs w:val="32"/>
        </w:rPr>
        <w:t>实施老年人家庭照护者培训计划，通过政府购买服务等方式，对照顾失能失智老年人的家庭成员提供每年不少于1次养老护理技能培训，不断增强家庭照料能力。</w:t>
      </w:r>
      <w:r>
        <w:rPr>
          <w:rFonts w:hint="eastAsia" w:ascii="仿宋_GB2312" w:hAnsi="仿宋_GB2312" w:cs="仿宋_GB2312"/>
          <w:b/>
          <w:bCs/>
        </w:rPr>
        <w:t>加强已建成住宅小区公共服务设施的适老化无障碍改造，推进老旧小区坡道、楼梯扶手、电梯等与老年人日常生活密切相关的生活服务设施改造。</w:t>
      </w:r>
      <w:r>
        <w:rPr>
          <w:rFonts w:hint="eastAsia" w:ascii="楷体_GB2312" w:hAnsi="楷体_GB2312" w:eastAsia="楷体_GB2312" w:cs="楷体_GB2312"/>
          <w:b/>
          <w:bCs/>
          <w:szCs w:val="32"/>
        </w:rPr>
        <w:t>（责任部门：县民政局、财政局、自然资源和规划局、住建局、人社局</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各镇街区）</w:t>
      </w:r>
    </w:p>
    <w:p>
      <w:pPr>
        <w:keepNext w:val="0"/>
        <w:keepLines w:val="0"/>
        <w:pageBreakBefore w:val="0"/>
        <w:widowControl w:val="0"/>
        <w:kinsoku/>
        <w:wordWrap/>
        <w:overflowPunct/>
        <w:topLinePunct w:val="0"/>
        <w:autoSpaceDE/>
        <w:autoSpaceDN/>
        <w:bidi w:val="0"/>
        <w:adjustRightInd/>
        <w:snapToGrid/>
        <w:spacing w:line="578" w:lineRule="exact"/>
        <w:ind w:firstLine="624" w:firstLineChars="200"/>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10</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补齐农村养老服务短板。</w:t>
      </w:r>
      <w:r>
        <w:rPr>
          <w:rFonts w:hint="eastAsia" w:ascii="仿宋_GB2312" w:hAnsi="仿宋_GB2312" w:cs="仿宋_GB2312"/>
          <w:b/>
          <w:bCs/>
        </w:rPr>
        <w:t>将农村养老服务纳入乡村振兴战略布局，统筹城乡、整合资源、优化供给、补齐短板。对全县特困人员集中供养后闲置的原镇（街、区）敬老院，改造成集短期托养、日间照料、居家养老、医养结合等功能于一体的农村区域性养老服务中心，为农村失能失智等老年人和其他有需求的老年人提供照护服务，提高农村养老服务质量。推广庵上湖村“党支部+合作社+互助”养老模式，发展农村就近互助养老设施，打造政府扶得起、村里办得起、农民用得上、服务可持续的农村互助养老模式。鼓励设立老年协会、老年志愿服务队等群众性养老服务组织</w:t>
      </w:r>
      <w:r>
        <w:rPr>
          <w:rFonts w:hint="eastAsia" w:ascii="仿宋_GB2312" w:hAnsi="仿宋_GB2312" w:cs="仿宋_GB2312"/>
          <w:b/>
          <w:bCs/>
          <w:szCs w:val="32"/>
        </w:rPr>
        <w:t>。</w:t>
      </w:r>
      <w:r>
        <w:rPr>
          <w:rFonts w:hint="eastAsia" w:ascii="楷体_GB2312" w:hAnsi="楷体_GB2312" w:eastAsia="楷体_GB2312" w:cs="楷体_GB2312"/>
          <w:b/>
          <w:bCs/>
          <w:szCs w:val="32"/>
        </w:rPr>
        <w:t>（责任部门：县发改局、民政局、财政局、卫健局</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各镇街区）</w:t>
      </w:r>
    </w:p>
    <w:p>
      <w:pPr>
        <w:keepNext w:val="0"/>
        <w:keepLines w:val="0"/>
        <w:pageBreakBefore w:val="0"/>
        <w:widowControl w:val="0"/>
        <w:kinsoku/>
        <w:wordWrap/>
        <w:overflowPunct/>
        <w:topLinePunct w:val="0"/>
        <w:autoSpaceDE/>
        <w:autoSpaceDN/>
        <w:bidi w:val="0"/>
        <w:adjustRightInd/>
        <w:snapToGrid/>
        <w:spacing w:line="578" w:lineRule="exact"/>
        <w:ind w:firstLine="624" w:firstLineChars="200"/>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11</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丰富医养结合服务模式。</w:t>
      </w:r>
      <w:r>
        <w:rPr>
          <w:rFonts w:hint="eastAsia" w:ascii="仿宋_GB2312" w:hAnsi="仿宋_GB2312" w:cs="仿宋_GB2312"/>
          <w:b/>
          <w:bCs/>
        </w:rPr>
        <w:t>按照方便就近、互利互惠的原则，推动未设立医疗卫生机构的养老机构与周边医疗卫生机构建立协作合作关系，签订合作协议。养老机构申请内部设置诊所、卫生所（室）、医务室、护理站的，取消行政审批，实行备案管理。</w:t>
      </w:r>
      <w:r>
        <w:rPr>
          <w:rFonts w:hint="eastAsia" w:ascii="仿宋_GB2312" w:hAnsi="仿宋_GB2312" w:cs="仿宋_GB2312"/>
          <w:b/>
          <w:bCs/>
          <w:szCs w:val="32"/>
        </w:rPr>
        <w:t>支持医疗卫生机构依法依规开展养老服务，鼓励医疗卫生机构在养老服务机构设立医疗服务站点，提供嵌入式医疗卫生服务。将医养结合机构内设医疗机构纳入医联体管理，根据服务老年人的特点，合理核定养老机构举办的医疗机构医保限额。</w:t>
      </w:r>
      <w:r>
        <w:rPr>
          <w:rFonts w:hint="eastAsia" w:ascii="楷体_GB2312" w:hAnsi="楷体_GB2312" w:eastAsia="楷体_GB2312" w:cs="楷体_GB2312"/>
          <w:b/>
          <w:bCs/>
          <w:szCs w:val="32"/>
        </w:rPr>
        <w:t>（责任部门：县民政局、卫健局</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lang w:val="en-US" w:eastAsia="zh-CN"/>
        </w:rPr>
        <w:t>医保局</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各镇街区）</w:t>
      </w:r>
    </w:p>
    <w:p>
      <w:pPr>
        <w:keepNext w:val="0"/>
        <w:keepLines w:val="0"/>
        <w:pageBreakBefore w:val="0"/>
        <w:widowControl w:val="0"/>
        <w:kinsoku/>
        <w:wordWrap/>
        <w:overflowPunct/>
        <w:topLinePunct w:val="0"/>
        <w:autoSpaceDE/>
        <w:autoSpaceDN/>
        <w:bidi w:val="0"/>
        <w:adjustRightInd/>
        <w:snapToGrid/>
        <w:spacing w:line="578" w:lineRule="exact"/>
        <w:ind w:firstLine="624" w:firstLineChars="200"/>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12</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推进互联网与养老服务深度融合。</w:t>
      </w:r>
      <w:r>
        <w:rPr>
          <w:rFonts w:hint="eastAsia" w:ascii="仿宋_GB2312" w:hAnsi="仿宋_GB2312" w:cs="仿宋_GB2312"/>
          <w:b/>
          <w:bCs/>
        </w:rPr>
        <w:t>创新“互联网＋养老”等智慧养老模式，汇聚线上线下资源，丰富产品供给，精准对接需求和供给，为老年人提供“菜单式”就近便捷养老服务，着力打造“没有围墙的养老院”。</w:t>
      </w:r>
      <w:r>
        <w:rPr>
          <w:rFonts w:hint="eastAsia" w:ascii="仿宋_GB2312" w:hAnsi="仿宋_GB2312" w:cs="仿宋_GB2312"/>
          <w:b/>
          <w:bCs/>
          <w:szCs w:val="32"/>
        </w:rPr>
        <w:t>引导有条件的社区养老服务机构、养老机构线上线下融合发展，构建“互联网＋养老服务”智慧养老模式，实现个人、家庭、社区、机构与养老资源的有效对接和优化配置。</w:t>
      </w:r>
      <w:r>
        <w:rPr>
          <w:rFonts w:hint="eastAsia" w:ascii="仿宋_GB2312" w:hAnsi="仿宋_GB2312" w:cs="仿宋_GB2312"/>
          <w:b/>
          <w:bCs/>
        </w:rPr>
        <w:t>探索建设“智慧养老院”，利用物联网和远程智能安防监控技术，实行24小时安全自动值守，降低老年人意外风险。</w:t>
      </w:r>
      <w:r>
        <w:rPr>
          <w:rFonts w:hint="eastAsia" w:ascii="楷体_GB2312" w:hAnsi="楷体_GB2312" w:eastAsia="楷体_GB2312" w:cs="楷体_GB2312"/>
          <w:b/>
          <w:bCs/>
          <w:szCs w:val="32"/>
        </w:rPr>
        <w:t>（责任部门：县发改局、民政局、工信局、卫健局、大数据中心</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各镇街区）</w:t>
      </w:r>
    </w:p>
    <w:p>
      <w:pPr>
        <w:keepNext w:val="0"/>
        <w:keepLines w:val="0"/>
        <w:pageBreakBefore w:val="0"/>
        <w:widowControl w:val="0"/>
        <w:kinsoku/>
        <w:wordWrap/>
        <w:overflowPunct/>
        <w:topLinePunct w:val="0"/>
        <w:autoSpaceDE/>
        <w:autoSpaceDN/>
        <w:bidi w:val="0"/>
        <w:adjustRightInd/>
        <w:snapToGrid/>
        <w:spacing w:line="578" w:lineRule="exact"/>
        <w:ind w:firstLine="624" w:firstLineChars="200"/>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13</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提升行业监管水平。</w:t>
      </w:r>
      <w:r>
        <w:rPr>
          <w:rFonts w:hint="eastAsia" w:ascii="仿宋_GB2312" w:hAnsi="仿宋_GB2312" w:cs="仿宋_GB2312"/>
          <w:b/>
          <w:bCs/>
        </w:rPr>
        <w:t>建立健全以“双随机、一公开”监管为基本手段、以重点监管为补充、以信用监管为基础的跨部门综合监管机制。依托昌乐县智慧养老大数据平台，积极对接户籍、医疗健康、社会保险、社会救助等信息资源，搭建信息共享、互联互通的养老服务“大数据库”，为加强行业监管提供支撑。建立安全管理长效机制，指导督促养老机构落实安全管理主体责任，健全消防、安全值守、设施设备、食品药品等安全管理制度。利用“智慧消防”系统实时监控养老机构用电、消防用水管网水压、自动消防设施运行及防火巡查、火灾隐患整改等消防安全状况，及时消除安全隐患。</w:t>
      </w:r>
      <w:r>
        <w:rPr>
          <w:rFonts w:hint="eastAsia" w:ascii="楷体_GB2312" w:hAnsi="楷体_GB2312" w:eastAsia="楷体_GB2312" w:cs="楷体_GB2312"/>
          <w:b/>
          <w:bCs/>
          <w:szCs w:val="32"/>
        </w:rPr>
        <w:t>（责任部门：县发改局、公安局、民政局、人社局、卫健局、市场监管局、医保局、大数据中心、消防救援大队</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各镇街区)</w:t>
      </w:r>
    </w:p>
    <w:p>
      <w:pPr>
        <w:keepNext w:val="0"/>
        <w:keepLines w:val="0"/>
        <w:pageBreakBefore w:val="0"/>
        <w:widowControl w:val="0"/>
        <w:kinsoku/>
        <w:wordWrap/>
        <w:overflowPunct/>
        <w:topLinePunct w:val="0"/>
        <w:autoSpaceDE/>
        <w:autoSpaceDN/>
        <w:bidi w:val="0"/>
        <w:adjustRightInd/>
        <w:snapToGrid/>
        <w:spacing w:line="578" w:lineRule="exact"/>
        <w:ind w:firstLine="624" w:firstLineChars="200"/>
        <w:textAlignment w:val="auto"/>
        <w:rPr>
          <w:rFonts w:hint="eastAsia" w:ascii="楷体_GB2312" w:hAnsi="楷体_GB2312" w:eastAsia="楷体_GB2312" w:cs="楷体_GB2312"/>
          <w:b/>
          <w:bCs/>
          <w:szCs w:val="32"/>
        </w:rPr>
      </w:pPr>
      <w:r>
        <w:rPr>
          <w:rFonts w:hint="eastAsia" w:ascii="楷体_GB2312" w:hAnsi="楷体_GB2312" w:eastAsia="楷体_GB2312" w:cs="楷体_GB2312"/>
          <w:b/>
          <w:bCs/>
          <w:szCs w:val="32"/>
        </w:rPr>
        <w:t>14</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加强人才队伍建设。</w:t>
      </w:r>
      <w:r>
        <w:rPr>
          <w:rFonts w:hint="eastAsia" w:ascii="仿宋_GB2312" w:hAnsi="仿宋_GB2312" w:cs="仿宋_GB2312"/>
          <w:b/>
          <w:bCs/>
        </w:rPr>
        <w:t>鼓励山东昌乐技师学院设置养老服务相关专业，加快培养社会工作、养老服务管理等专业人才，探讨建立现代学徒制，引导学生到养老机构跟岗或顶岗学习，强化实训。发挥养老职业技能培训基地作用，大规模开展岗前和岗位技能培训。广泛吸收社会各类有从事养老服务意愿的人员进行培训，为机构、居家和社区养老服务提供人才支撑。开展养老服务人才培训提升行动，培训养老护理员、养老院院长、老年社会工作者。2025年年底前，养老护理员岗前培训率达到100%，养老机构中从事医疗护理、康复治疗、消防管理等服务的专业人员持证上岗率达到100%。引导用人单位建立与职业技能等级配套的薪酬激励机制。定期举办全县养老护理员技能大赛，对符合条件的获奖选手授予荣誉称号。持续开展养老服务领域“和谐使者”选拔推荐工作。</w:t>
      </w:r>
      <w:r>
        <w:rPr>
          <w:rFonts w:hint="eastAsia" w:ascii="楷体_GB2312" w:hAnsi="楷体_GB2312" w:eastAsia="楷体_GB2312" w:cs="楷体_GB2312"/>
          <w:b/>
          <w:bCs/>
          <w:szCs w:val="32"/>
        </w:rPr>
        <w:t>（责任部门：县发改局、民政局、人社局</w:t>
      </w:r>
      <w:r>
        <w:rPr>
          <w:rFonts w:hint="eastAsia" w:ascii="楷体_GB2312" w:hAnsi="楷体_GB2312" w:eastAsia="楷体_GB2312" w:cs="楷体_GB2312"/>
          <w:b/>
          <w:bCs/>
          <w:szCs w:val="32"/>
          <w:lang w:eastAsia="zh-CN"/>
        </w:rPr>
        <w:t>，</w:t>
      </w:r>
      <w:r>
        <w:rPr>
          <w:rFonts w:hint="eastAsia" w:ascii="楷体_GB2312" w:hAnsi="楷体_GB2312" w:eastAsia="楷体_GB2312" w:cs="楷体_GB2312"/>
          <w:b/>
          <w:bCs/>
          <w:szCs w:val="32"/>
        </w:rPr>
        <w:t>各镇街区）</w:t>
      </w:r>
    </w:p>
    <w:p>
      <w:pPr>
        <w:keepNext w:val="0"/>
        <w:keepLines w:val="0"/>
        <w:pageBreakBefore w:val="0"/>
        <w:widowControl w:val="0"/>
        <w:kinsoku/>
        <w:wordWrap/>
        <w:overflowPunct/>
        <w:topLinePunct w:val="0"/>
        <w:autoSpaceDE/>
        <w:autoSpaceDN/>
        <w:bidi w:val="0"/>
        <w:adjustRightInd/>
        <w:snapToGrid/>
        <w:spacing w:line="578" w:lineRule="exact"/>
        <w:ind w:firstLine="624" w:firstLineChars="200"/>
        <w:jc w:val="both"/>
        <w:textAlignment w:val="auto"/>
        <w:rPr>
          <w:rFonts w:ascii="黑体" w:hAnsi="黑体" w:eastAsia="黑体" w:cs="黑体"/>
          <w:b/>
          <w:bCs/>
        </w:rPr>
      </w:pPr>
      <w:r>
        <w:rPr>
          <w:rFonts w:hint="eastAsia" w:ascii="黑体" w:hAnsi="黑体" w:eastAsia="黑体" w:cs="黑体"/>
          <w:b/>
          <w:bCs/>
          <w:lang w:val="en-US" w:eastAsia="zh-CN"/>
        </w:rPr>
        <w:t>五、</w:t>
      </w:r>
      <w:r>
        <w:rPr>
          <w:rFonts w:hint="eastAsia" w:ascii="黑体" w:hAnsi="黑体" w:eastAsia="黑体" w:cs="黑体"/>
          <w:b/>
          <w:bCs/>
        </w:rPr>
        <w:t>保障措施</w:t>
      </w:r>
    </w:p>
    <w:p>
      <w:pPr>
        <w:keepNext w:val="0"/>
        <w:keepLines w:val="0"/>
        <w:pageBreakBefore w:val="0"/>
        <w:widowControl w:val="0"/>
        <w:kinsoku/>
        <w:wordWrap/>
        <w:overflowPunct/>
        <w:topLinePunct w:val="0"/>
        <w:autoSpaceDE/>
        <w:autoSpaceDN/>
        <w:bidi w:val="0"/>
        <w:adjustRightInd/>
        <w:snapToGrid/>
        <w:spacing w:line="578" w:lineRule="exact"/>
        <w:ind w:firstLine="624" w:firstLineChars="200"/>
        <w:textAlignment w:val="auto"/>
        <w:rPr>
          <w:rFonts w:ascii="仿宋_GB2312" w:hAnsi="仿宋_GB2312" w:cs="仿宋_GB2312"/>
          <w:b/>
          <w:bCs/>
        </w:rPr>
      </w:pPr>
      <w:r>
        <w:rPr>
          <w:rFonts w:hint="eastAsia" w:ascii="楷体_GB2312" w:hAnsi="楷体_GB2312" w:eastAsia="楷体_GB2312" w:cs="楷体_GB2312"/>
          <w:b/>
          <w:bCs/>
        </w:rPr>
        <w:t>（一）加强组织领导</w:t>
      </w:r>
      <w:r>
        <w:rPr>
          <w:rFonts w:hint="eastAsia" w:ascii="仿宋_GB2312" w:hAnsi="仿宋_GB2312" w:cs="仿宋_GB2312"/>
          <w:b/>
          <w:bCs/>
        </w:rPr>
        <w:t>。建立健全与实施积极应对人口老龄化国家战略相适应的领导体制，加强党的领导，强化政府规划落实责任，纳入为民办实事项目，强化考评监督，层层抓好落实。充分发挥养老服务发展联席会议重要作用，定期研究解决实施中的重大问题，明确责任分工，凝聚工作合力，确保各项规划任务落实。</w:t>
      </w:r>
    </w:p>
    <w:p>
      <w:pPr>
        <w:keepNext w:val="0"/>
        <w:keepLines w:val="0"/>
        <w:pageBreakBefore w:val="0"/>
        <w:widowControl w:val="0"/>
        <w:kinsoku/>
        <w:wordWrap/>
        <w:overflowPunct/>
        <w:topLinePunct w:val="0"/>
        <w:autoSpaceDE/>
        <w:autoSpaceDN/>
        <w:bidi w:val="0"/>
        <w:adjustRightInd/>
        <w:snapToGrid/>
        <w:spacing w:line="578" w:lineRule="exact"/>
        <w:ind w:firstLine="624" w:firstLineChars="200"/>
        <w:textAlignment w:val="auto"/>
        <w:rPr>
          <w:rFonts w:ascii="仿宋_GB2312" w:hAnsi="仿宋_GB2312" w:cs="仿宋_GB2312"/>
          <w:b/>
          <w:bCs/>
        </w:rPr>
      </w:pPr>
      <w:r>
        <w:rPr>
          <w:rFonts w:hint="eastAsia" w:ascii="楷体_GB2312" w:hAnsi="楷体_GB2312" w:eastAsia="楷体_GB2312" w:cs="楷体_GB2312"/>
          <w:b/>
          <w:bCs/>
        </w:rPr>
        <w:t>（二）深化改革创新</w:t>
      </w:r>
      <w:r>
        <w:rPr>
          <w:rFonts w:hint="eastAsia" w:ascii="仿宋_GB2312" w:hAnsi="仿宋_GB2312" w:cs="仿宋_GB2312"/>
          <w:b/>
          <w:bCs/>
        </w:rPr>
        <w:t>。聚焦养老服务发展的难点、重点、堵点问题，强化改革思维，破解发展难题。以整体解决县域养老问题为目标，统筹要素资源，强化改革集成，加强全县养老服务体系建设，积极开展服务体系创新、业态模式创新、要素支持创新、适老环境创新、体制机制创新。</w:t>
      </w:r>
    </w:p>
    <w:p>
      <w:pPr>
        <w:keepNext w:val="0"/>
        <w:keepLines w:val="0"/>
        <w:pageBreakBefore w:val="0"/>
        <w:widowControl w:val="0"/>
        <w:kinsoku/>
        <w:wordWrap/>
        <w:overflowPunct/>
        <w:topLinePunct w:val="0"/>
        <w:autoSpaceDE/>
        <w:autoSpaceDN/>
        <w:bidi w:val="0"/>
        <w:adjustRightInd/>
        <w:snapToGrid/>
        <w:spacing w:line="578" w:lineRule="exact"/>
        <w:ind w:firstLine="624" w:firstLineChars="200"/>
        <w:textAlignment w:val="auto"/>
        <w:rPr>
          <w:rFonts w:hint="eastAsia" w:ascii="仿宋_GB2312" w:hAnsi="仿宋_GB2312" w:cs="仿宋_GB2312"/>
          <w:b/>
          <w:bCs/>
        </w:rPr>
      </w:pPr>
      <w:r>
        <w:rPr>
          <w:rFonts w:hint="eastAsia" w:ascii="楷体_GB2312" w:hAnsi="楷体_GB2312" w:eastAsia="楷体_GB2312" w:cs="楷体_GB2312"/>
          <w:b/>
          <w:bCs/>
        </w:rPr>
        <w:t>（三）实施结果评估</w:t>
      </w:r>
      <w:r>
        <w:rPr>
          <w:rFonts w:hint="eastAsia" w:ascii="仿宋_GB2312" w:hAnsi="仿宋_GB2312" w:cs="仿宋_GB2312"/>
          <w:b/>
          <w:bCs/>
        </w:rPr>
        <w:t>。建立养老服务发展指标监测机制，完善养老服务统计指标体系，加强对规划实施情况的动态监测，“十四五”末，对规划的执行情况进行全面评估。</w:t>
      </w:r>
    </w:p>
    <w:bookmarkEnd w:id="0"/>
    <w:p>
      <w:pPr>
        <w:pStyle w:val="11"/>
        <w:keepNext w:val="0"/>
        <w:keepLines w:val="0"/>
        <w:pageBreakBefore w:val="0"/>
        <w:widowControl/>
        <w:kinsoku/>
        <w:wordWrap/>
        <w:overflowPunct/>
        <w:topLinePunct w:val="0"/>
        <w:autoSpaceDE/>
        <w:autoSpaceDN/>
        <w:bidi w:val="0"/>
        <w:adjustRightInd w:val="0"/>
        <w:snapToGrid w:val="0"/>
        <w:spacing w:line="440" w:lineRule="exact"/>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ind w:firstLine="482"/>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ind w:firstLine="482"/>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ind w:firstLine="482"/>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ind w:firstLine="482"/>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ind w:firstLine="482"/>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ind w:firstLine="482"/>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ind w:firstLine="482"/>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ind w:firstLine="482"/>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ind w:firstLine="482"/>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ind w:firstLine="482"/>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ind w:firstLine="482"/>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ind w:firstLine="482"/>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ind w:firstLine="482"/>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ind w:firstLine="482"/>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ind w:firstLine="482"/>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ind w:left="0" w:leftChars="0" w:firstLine="0" w:firstLineChars="0"/>
        <w:textAlignment w:val="baseline"/>
        <w:rPr>
          <w:rFonts w:hint="eastAsia" w:ascii="仿宋_GB2312" w:hAnsi="仿宋_GB2312" w:cs="仿宋_GB2312"/>
          <w:b/>
          <w:bCs/>
        </w:rPr>
      </w:pPr>
    </w:p>
    <w:p>
      <w:pPr>
        <w:pStyle w:val="11"/>
        <w:keepNext w:val="0"/>
        <w:keepLines w:val="0"/>
        <w:pageBreakBefore w:val="0"/>
        <w:widowControl/>
        <w:kinsoku/>
        <w:wordWrap/>
        <w:overflowPunct/>
        <w:topLinePunct w:val="0"/>
        <w:autoSpaceDE/>
        <w:autoSpaceDN/>
        <w:bidi w:val="0"/>
        <w:adjustRightInd w:val="0"/>
        <w:snapToGrid w:val="0"/>
        <w:spacing w:line="440" w:lineRule="exact"/>
        <w:ind w:firstLine="482"/>
        <w:textAlignment w:val="baseline"/>
        <w:rPr>
          <w:rFonts w:hint="eastAsia" w:ascii="仿宋_GB2312" w:hAnsi="仿宋_GB2312" w:cs="仿宋_GB2312"/>
          <w:b/>
          <w:bCs/>
        </w:rPr>
      </w:pPr>
    </w:p>
    <w:p>
      <w:pPr>
        <w:widowControl/>
        <w:adjustRightInd w:val="0"/>
        <w:snapToGrid w:val="0"/>
        <w:spacing w:line="600" w:lineRule="exact"/>
        <w:jc w:val="center"/>
        <w:rPr>
          <w:rFonts w:hint="eastAsia"/>
          <w:lang w:val="en-US" w:eastAsia="zh-CN"/>
        </w:rPr>
      </w:pPr>
      <w:r>
        <w:rPr>
          <w:rFonts w:hint="eastAsia" w:ascii="仿宋_GB2312" w:eastAsia="仿宋_GB2312"/>
          <w:b/>
          <w:bCs/>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19050</wp:posOffset>
                </wp:positionV>
                <wp:extent cx="576008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5pt;height:0pt;width:453.55pt;z-index:251659264;mso-width-relative:page;mso-height-relative:page;" filled="f" stroked="t" coordsize="21600,21600" o:gfxdata="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tCv91AAAAAQBAAAPAAAAAAAAAAEAIAAAACIAAABkcnMvZG93bnJldi54bWxQ&#10;SwECFAAUAAAACACHTuJAJXdn2PsBAADzAwAADgAAAAAAAAABACAAAAAjAQAAZHJzL2Uyb0RvYy54&#10;bWxQSwUGAAAAAAYABgBZAQAAkAUAAAAA&#10;">
                <v:fill on="f" focussize="0,0"/>
                <v:stroke weight="1pt" color="#000000" joinstyle="round"/>
                <v:imagedata o:title=""/>
                <o:lock v:ext="edit" aspectratio="f"/>
              </v:line>
            </w:pict>
          </mc:Fallback>
        </mc:AlternateContent>
      </w:r>
      <w:r>
        <w:rPr>
          <w:rFonts w:hint="eastAsia" w:ascii="仿宋_GB2312" w:eastAsia="仿宋_GB2312"/>
          <w:b/>
          <w:bCs/>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436880</wp:posOffset>
                </wp:positionV>
                <wp:extent cx="57600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4.4pt;height:0pt;width:453.55pt;z-index:251660288;mso-width-relative:page;mso-height-relative:page;" filled="f" stroked="t" coordsize="21600,21600" o:gfxdata="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No8CG1QAAAAYBAAAPAAAAAAAAAAEAIAAAACIAAABkcnMvZG93bnJldi54bWxQ&#10;SwECFAAUAAAACACHTuJAh7Nn0/oBAADzAwAADgAAAAAAAAABACAAAAAkAQAAZHJzL2Uyb0RvYy54&#10;bWxQSwUGAAAAAAYABgBZAQAAkAUAAAAA&#10;">
                <v:fill on="f" focussize="0,0"/>
                <v:stroke weight="1pt" color="#000000" joinstyle="round"/>
                <v:imagedata o:title=""/>
                <o:lock v:ext="edit" aspectratio="f"/>
              </v:line>
            </w:pict>
          </mc:Fallback>
        </mc:AlternateContent>
      </w:r>
      <w:r>
        <w:rPr>
          <w:rFonts w:hint="eastAsia" w:ascii="仿宋_GB2312" w:eastAsia="仿宋_GB2312"/>
          <w:b/>
          <w:bCs/>
          <w:kern w:val="0"/>
          <w:sz w:val="28"/>
          <w:szCs w:val="28"/>
        </w:rPr>
        <w:t xml:space="preserve">昌乐县人民政府办公室             </w:t>
      </w:r>
      <w:r>
        <w:rPr>
          <w:rFonts w:hint="eastAsia" w:ascii="仿宋_GB2312" w:eastAsia="仿宋_GB2312"/>
          <w:b/>
          <w:bCs/>
          <w:spacing w:val="34"/>
          <w:kern w:val="0"/>
          <w:sz w:val="28"/>
          <w:szCs w:val="28"/>
        </w:rPr>
        <w:t xml:space="preserve">  </w:t>
      </w:r>
      <w:r>
        <w:rPr>
          <w:rFonts w:hint="eastAsia" w:ascii="仿宋_GB2312" w:eastAsia="仿宋_GB2312"/>
          <w:b/>
          <w:bCs/>
          <w:kern w:val="0"/>
          <w:sz w:val="28"/>
          <w:szCs w:val="28"/>
        </w:rPr>
        <w:t xml:space="preserve">    </w:t>
      </w:r>
      <w:r>
        <w:rPr>
          <w:rFonts w:hint="eastAsia" w:ascii="仿宋_GB2312"/>
          <w:b/>
          <w:bCs/>
          <w:kern w:val="0"/>
          <w:sz w:val="28"/>
          <w:szCs w:val="28"/>
          <w:lang w:val="en-US" w:eastAsia="zh-CN"/>
        </w:rPr>
        <w:t xml:space="preserve">    </w:t>
      </w:r>
      <w:r>
        <w:rPr>
          <w:rFonts w:hint="eastAsia" w:ascii="仿宋_GB2312" w:eastAsia="仿宋_GB2312"/>
          <w:b/>
          <w:bCs/>
          <w:kern w:val="0"/>
          <w:sz w:val="28"/>
          <w:szCs w:val="28"/>
        </w:rPr>
        <w:t xml:space="preserve">  202</w:t>
      </w:r>
      <w:r>
        <w:rPr>
          <w:rFonts w:hint="eastAsia" w:ascii="仿宋_GB2312"/>
          <w:b/>
          <w:bCs/>
          <w:kern w:val="0"/>
          <w:sz w:val="28"/>
          <w:szCs w:val="28"/>
          <w:lang w:val="en-US" w:eastAsia="zh-CN"/>
        </w:rPr>
        <w:t>3</w:t>
      </w:r>
      <w:r>
        <w:rPr>
          <w:rFonts w:hint="eastAsia" w:ascii="仿宋_GB2312" w:eastAsia="仿宋_GB2312"/>
          <w:b/>
          <w:bCs/>
          <w:kern w:val="0"/>
          <w:sz w:val="28"/>
          <w:szCs w:val="28"/>
        </w:rPr>
        <w:t>年</w:t>
      </w:r>
      <w:r>
        <w:rPr>
          <w:rFonts w:hint="eastAsia" w:ascii="仿宋_GB2312"/>
          <w:b/>
          <w:bCs/>
          <w:kern w:val="0"/>
          <w:sz w:val="28"/>
          <w:szCs w:val="28"/>
          <w:lang w:val="en-US" w:eastAsia="zh-CN"/>
        </w:rPr>
        <w:t>9</w:t>
      </w:r>
      <w:r>
        <w:rPr>
          <w:rFonts w:hint="eastAsia" w:ascii="仿宋_GB2312" w:eastAsia="仿宋_GB2312"/>
          <w:b/>
          <w:bCs/>
          <w:kern w:val="0"/>
          <w:sz w:val="28"/>
          <w:szCs w:val="28"/>
        </w:rPr>
        <w:t>月</w:t>
      </w:r>
      <w:r>
        <w:rPr>
          <w:rFonts w:hint="eastAsia" w:ascii="仿宋_GB2312"/>
          <w:b/>
          <w:bCs/>
          <w:kern w:val="0"/>
          <w:sz w:val="28"/>
          <w:szCs w:val="28"/>
          <w:lang w:val="en-US" w:eastAsia="zh-CN"/>
        </w:rPr>
        <w:t>16</w:t>
      </w:r>
      <w:r>
        <w:rPr>
          <w:rFonts w:hint="eastAsia" w:ascii="仿宋_GB2312" w:eastAsia="仿宋_GB2312"/>
          <w:b/>
          <w:bCs/>
          <w:kern w:val="0"/>
          <w:sz w:val="28"/>
          <w:szCs w:val="28"/>
        </w:rPr>
        <w:t>日印发</w:t>
      </w:r>
    </w:p>
    <w:sectPr>
      <w:footerReference r:id="rId3" w:type="default"/>
      <w:pgSz w:w="11906" w:h="16838"/>
      <w:pgMar w:top="2098" w:right="1417" w:bottom="1984" w:left="1417" w:header="851" w:footer="1304" w:gutter="0"/>
      <w:pgNumType w:fmt="numberInDash"/>
      <w:cols w:space="0" w:num="1"/>
      <w:rtlGutter w:val="0"/>
      <w:docGrid w:type="linesAndChars" w:linePitch="618"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文星标宋">
    <w:panose1 w:val="02010604000101010101"/>
    <w:charset w:val="86"/>
    <w:family w:val="auto"/>
    <w:pitch w:val="default"/>
    <w:sig w:usb0="00000001" w:usb1="080E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snapToGrid w:val="0"/>
                      <w:rPr>
                        <w:sz w:val="1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6"/>
  <w:drawingGridVerticalSpacing w:val="309"/>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NDJhYTY3OThkMzhjNGFkMDEzOTIxN2VmMjkwOGEifQ=="/>
  </w:docVars>
  <w:rsids>
    <w:rsidRoot w:val="11D6216F"/>
    <w:rsid w:val="0000214E"/>
    <w:rsid w:val="00023A40"/>
    <w:rsid w:val="00025471"/>
    <w:rsid w:val="00041F13"/>
    <w:rsid w:val="00043B55"/>
    <w:rsid w:val="000A266E"/>
    <w:rsid w:val="00192AB6"/>
    <w:rsid w:val="001B77EE"/>
    <w:rsid w:val="001D46E4"/>
    <w:rsid w:val="002050C7"/>
    <w:rsid w:val="002C582D"/>
    <w:rsid w:val="002C7705"/>
    <w:rsid w:val="002D3AFC"/>
    <w:rsid w:val="003D3CC8"/>
    <w:rsid w:val="0040006D"/>
    <w:rsid w:val="00557B54"/>
    <w:rsid w:val="005A6AA3"/>
    <w:rsid w:val="006245A8"/>
    <w:rsid w:val="006A6C4F"/>
    <w:rsid w:val="006E377F"/>
    <w:rsid w:val="00805026"/>
    <w:rsid w:val="008274AD"/>
    <w:rsid w:val="008303BD"/>
    <w:rsid w:val="008456BC"/>
    <w:rsid w:val="008726C0"/>
    <w:rsid w:val="00902517"/>
    <w:rsid w:val="00985ECB"/>
    <w:rsid w:val="009F35B9"/>
    <w:rsid w:val="00A71FA9"/>
    <w:rsid w:val="00AB79C7"/>
    <w:rsid w:val="00C47907"/>
    <w:rsid w:val="00D165DA"/>
    <w:rsid w:val="00D23035"/>
    <w:rsid w:val="00DB10A5"/>
    <w:rsid w:val="00E34FD4"/>
    <w:rsid w:val="00E46856"/>
    <w:rsid w:val="00E9393D"/>
    <w:rsid w:val="00EB3625"/>
    <w:rsid w:val="00F050BC"/>
    <w:rsid w:val="00F66B66"/>
    <w:rsid w:val="00FA42EB"/>
    <w:rsid w:val="01E80451"/>
    <w:rsid w:val="02BA0F2C"/>
    <w:rsid w:val="034B1BBD"/>
    <w:rsid w:val="045F760C"/>
    <w:rsid w:val="05256B4C"/>
    <w:rsid w:val="05BE0D39"/>
    <w:rsid w:val="0635691E"/>
    <w:rsid w:val="067210DC"/>
    <w:rsid w:val="06CD6C9D"/>
    <w:rsid w:val="074B0D9A"/>
    <w:rsid w:val="074D28B2"/>
    <w:rsid w:val="07B74F40"/>
    <w:rsid w:val="08F77E38"/>
    <w:rsid w:val="09AD7064"/>
    <w:rsid w:val="0A3870EE"/>
    <w:rsid w:val="0A503BDE"/>
    <w:rsid w:val="0B197C79"/>
    <w:rsid w:val="0B294C31"/>
    <w:rsid w:val="0B525B31"/>
    <w:rsid w:val="0C1B5AE1"/>
    <w:rsid w:val="0C5C36BD"/>
    <w:rsid w:val="0D2D6348"/>
    <w:rsid w:val="0E222C63"/>
    <w:rsid w:val="0E4E5C66"/>
    <w:rsid w:val="0E5F2043"/>
    <w:rsid w:val="0E9251CA"/>
    <w:rsid w:val="0F290192"/>
    <w:rsid w:val="10C06DCC"/>
    <w:rsid w:val="10C66B57"/>
    <w:rsid w:val="1166486A"/>
    <w:rsid w:val="11AE6DD7"/>
    <w:rsid w:val="11D6216F"/>
    <w:rsid w:val="1252046D"/>
    <w:rsid w:val="127A6B2F"/>
    <w:rsid w:val="13113EB5"/>
    <w:rsid w:val="162503F4"/>
    <w:rsid w:val="1742416C"/>
    <w:rsid w:val="17550073"/>
    <w:rsid w:val="17D33F70"/>
    <w:rsid w:val="183D3514"/>
    <w:rsid w:val="185F771B"/>
    <w:rsid w:val="186110CE"/>
    <w:rsid w:val="1942052B"/>
    <w:rsid w:val="1B0C5C80"/>
    <w:rsid w:val="1BA52F53"/>
    <w:rsid w:val="1BF74942"/>
    <w:rsid w:val="1C342748"/>
    <w:rsid w:val="1C654EF3"/>
    <w:rsid w:val="1C7646E1"/>
    <w:rsid w:val="1D800C69"/>
    <w:rsid w:val="1DEB01A8"/>
    <w:rsid w:val="1E4F5844"/>
    <w:rsid w:val="1EC559AB"/>
    <w:rsid w:val="1EF16D65"/>
    <w:rsid w:val="1F195CE1"/>
    <w:rsid w:val="20396D79"/>
    <w:rsid w:val="20484530"/>
    <w:rsid w:val="20DB3735"/>
    <w:rsid w:val="21CD0826"/>
    <w:rsid w:val="227C4964"/>
    <w:rsid w:val="22B34068"/>
    <w:rsid w:val="22C708C4"/>
    <w:rsid w:val="2311202F"/>
    <w:rsid w:val="245F0100"/>
    <w:rsid w:val="24DB1C45"/>
    <w:rsid w:val="24E212DD"/>
    <w:rsid w:val="2592586C"/>
    <w:rsid w:val="25B05C5B"/>
    <w:rsid w:val="25DE0DA5"/>
    <w:rsid w:val="265E40AD"/>
    <w:rsid w:val="26B537A3"/>
    <w:rsid w:val="26CB0DF2"/>
    <w:rsid w:val="27C429D4"/>
    <w:rsid w:val="27D712D8"/>
    <w:rsid w:val="27F53778"/>
    <w:rsid w:val="28070DC1"/>
    <w:rsid w:val="28242687"/>
    <w:rsid w:val="291122AA"/>
    <w:rsid w:val="294B2758"/>
    <w:rsid w:val="29B55F91"/>
    <w:rsid w:val="2A9E4A97"/>
    <w:rsid w:val="2ABE5527"/>
    <w:rsid w:val="2ADE1FCC"/>
    <w:rsid w:val="2AF668D6"/>
    <w:rsid w:val="2B5F6958"/>
    <w:rsid w:val="2B9017D1"/>
    <w:rsid w:val="2BDD39CE"/>
    <w:rsid w:val="2C261AE6"/>
    <w:rsid w:val="2C39447F"/>
    <w:rsid w:val="2C78730D"/>
    <w:rsid w:val="2C903B6E"/>
    <w:rsid w:val="2DA66425"/>
    <w:rsid w:val="2DAC36CD"/>
    <w:rsid w:val="2DBB14E0"/>
    <w:rsid w:val="2E9A1610"/>
    <w:rsid w:val="2F0B4618"/>
    <w:rsid w:val="305220C0"/>
    <w:rsid w:val="3138414C"/>
    <w:rsid w:val="3162120B"/>
    <w:rsid w:val="318908BB"/>
    <w:rsid w:val="31E45C68"/>
    <w:rsid w:val="33D62747"/>
    <w:rsid w:val="346D3488"/>
    <w:rsid w:val="34A76CB2"/>
    <w:rsid w:val="356866A6"/>
    <w:rsid w:val="35D14F17"/>
    <w:rsid w:val="371B1F99"/>
    <w:rsid w:val="377E0650"/>
    <w:rsid w:val="37914F84"/>
    <w:rsid w:val="382062C0"/>
    <w:rsid w:val="391F7E6B"/>
    <w:rsid w:val="39364146"/>
    <w:rsid w:val="3A9479A4"/>
    <w:rsid w:val="3AAF461F"/>
    <w:rsid w:val="3C0417FB"/>
    <w:rsid w:val="3C514EE9"/>
    <w:rsid w:val="3C883FA5"/>
    <w:rsid w:val="3D1A3E05"/>
    <w:rsid w:val="3D863724"/>
    <w:rsid w:val="3EEA719C"/>
    <w:rsid w:val="3F4F7A06"/>
    <w:rsid w:val="3F952DC8"/>
    <w:rsid w:val="404B1EAE"/>
    <w:rsid w:val="408A79A1"/>
    <w:rsid w:val="40C334FE"/>
    <w:rsid w:val="41B34120"/>
    <w:rsid w:val="424B10EF"/>
    <w:rsid w:val="42F61250"/>
    <w:rsid w:val="43231541"/>
    <w:rsid w:val="443E7A43"/>
    <w:rsid w:val="44E03674"/>
    <w:rsid w:val="456661FB"/>
    <w:rsid w:val="4589585D"/>
    <w:rsid w:val="46967597"/>
    <w:rsid w:val="46EC6A08"/>
    <w:rsid w:val="479A54F2"/>
    <w:rsid w:val="47E32C0C"/>
    <w:rsid w:val="487C6DCE"/>
    <w:rsid w:val="48837930"/>
    <w:rsid w:val="49342455"/>
    <w:rsid w:val="49896C35"/>
    <w:rsid w:val="49AF6C96"/>
    <w:rsid w:val="49EB517F"/>
    <w:rsid w:val="49EF1EB5"/>
    <w:rsid w:val="4B26156D"/>
    <w:rsid w:val="4B7655C3"/>
    <w:rsid w:val="4BB067EB"/>
    <w:rsid w:val="4CBD28D0"/>
    <w:rsid w:val="4CE91B64"/>
    <w:rsid w:val="4DCA7D4C"/>
    <w:rsid w:val="4E0244F9"/>
    <w:rsid w:val="4ED941CC"/>
    <w:rsid w:val="4F185C57"/>
    <w:rsid w:val="4FBF3E85"/>
    <w:rsid w:val="4FC957C9"/>
    <w:rsid w:val="5049609F"/>
    <w:rsid w:val="507B6192"/>
    <w:rsid w:val="509A7751"/>
    <w:rsid w:val="52410A4E"/>
    <w:rsid w:val="525B103B"/>
    <w:rsid w:val="52C142A8"/>
    <w:rsid w:val="52E752C1"/>
    <w:rsid w:val="534F5EE4"/>
    <w:rsid w:val="53B41703"/>
    <w:rsid w:val="53C767BB"/>
    <w:rsid w:val="53D21A4A"/>
    <w:rsid w:val="53E71052"/>
    <w:rsid w:val="53EB5322"/>
    <w:rsid w:val="54732FDB"/>
    <w:rsid w:val="562B255D"/>
    <w:rsid w:val="56BF0B23"/>
    <w:rsid w:val="570636B6"/>
    <w:rsid w:val="5840382E"/>
    <w:rsid w:val="585D33E3"/>
    <w:rsid w:val="586F462D"/>
    <w:rsid w:val="58874971"/>
    <w:rsid w:val="59CC13CD"/>
    <w:rsid w:val="59DF4FA9"/>
    <w:rsid w:val="5A7A538B"/>
    <w:rsid w:val="5ABC1C57"/>
    <w:rsid w:val="5B8C1E60"/>
    <w:rsid w:val="5C45759A"/>
    <w:rsid w:val="5C5D78D2"/>
    <w:rsid w:val="5D137698"/>
    <w:rsid w:val="5D26479C"/>
    <w:rsid w:val="5D4B2CF4"/>
    <w:rsid w:val="5E4A0770"/>
    <w:rsid w:val="5EB4768B"/>
    <w:rsid w:val="5ECE010D"/>
    <w:rsid w:val="5F586481"/>
    <w:rsid w:val="5FC87A03"/>
    <w:rsid w:val="609210E8"/>
    <w:rsid w:val="60C40364"/>
    <w:rsid w:val="61492409"/>
    <w:rsid w:val="62A21F11"/>
    <w:rsid w:val="62D73E14"/>
    <w:rsid w:val="63101042"/>
    <w:rsid w:val="633731E5"/>
    <w:rsid w:val="64BC1FEA"/>
    <w:rsid w:val="65B415DE"/>
    <w:rsid w:val="65C27711"/>
    <w:rsid w:val="6603364F"/>
    <w:rsid w:val="66E95957"/>
    <w:rsid w:val="679531AA"/>
    <w:rsid w:val="68777D9E"/>
    <w:rsid w:val="68B166E3"/>
    <w:rsid w:val="696B1995"/>
    <w:rsid w:val="6A0025C8"/>
    <w:rsid w:val="6A1879E8"/>
    <w:rsid w:val="6A3B586B"/>
    <w:rsid w:val="6B2D1C03"/>
    <w:rsid w:val="6B2F1671"/>
    <w:rsid w:val="6BD01D72"/>
    <w:rsid w:val="6BFE3BD0"/>
    <w:rsid w:val="6CCD24AF"/>
    <w:rsid w:val="6D013DF5"/>
    <w:rsid w:val="6DD109CE"/>
    <w:rsid w:val="6E867E09"/>
    <w:rsid w:val="6EB5712C"/>
    <w:rsid w:val="6EB64310"/>
    <w:rsid w:val="70041FAE"/>
    <w:rsid w:val="701A0F48"/>
    <w:rsid w:val="7082773A"/>
    <w:rsid w:val="70BA00FF"/>
    <w:rsid w:val="70D76C44"/>
    <w:rsid w:val="70F843D6"/>
    <w:rsid w:val="71D85045"/>
    <w:rsid w:val="71EF2EE3"/>
    <w:rsid w:val="721D1184"/>
    <w:rsid w:val="73835CCC"/>
    <w:rsid w:val="73B9169B"/>
    <w:rsid w:val="74046618"/>
    <w:rsid w:val="74671140"/>
    <w:rsid w:val="749043CD"/>
    <w:rsid w:val="74B9654F"/>
    <w:rsid w:val="754905BA"/>
    <w:rsid w:val="76CF2E97"/>
    <w:rsid w:val="76F9147F"/>
    <w:rsid w:val="776D2980"/>
    <w:rsid w:val="777271A3"/>
    <w:rsid w:val="77B25FD0"/>
    <w:rsid w:val="78351086"/>
    <w:rsid w:val="7855070D"/>
    <w:rsid w:val="7871747F"/>
    <w:rsid w:val="78987889"/>
    <w:rsid w:val="794456FD"/>
    <w:rsid w:val="79544935"/>
    <w:rsid w:val="797372E2"/>
    <w:rsid w:val="7AAF3371"/>
    <w:rsid w:val="7AE938CE"/>
    <w:rsid w:val="7CCB4E09"/>
    <w:rsid w:val="7D6159C3"/>
    <w:rsid w:val="7D9C7105"/>
    <w:rsid w:val="7DB44799"/>
    <w:rsid w:val="7E2E0FF7"/>
    <w:rsid w:val="7EB74F38"/>
    <w:rsid w:val="7F9222C2"/>
    <w:rsid w:val="7FF64583"/>
    <w:rsid w:val="B7A5E385"/>
    <w:rsid w:val="EBFF9DFE"/>
    <w:rsid w:val="FB96D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2"/>
    <w:basedOn w:val="1"/>
    <w:next w:val="1"/>
    <w:qFormat/>
    <w:uiPriority w:val="0"/>
    <w:pPr>
      <w:keepNext/>
      <w:keepLines/>
      <w:spacing w:before="20" w:after="20" w:line="416" w:lineRule="auto"/>
      <w:outlineLvl w:val="1"/>
    </w:pPr>
    <w:rPr>
      <w:rFonts w:ascii="Cambria" w:hAnsi="Cambria"/>
      <w:b/>
      <w:bCs/>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unhideWhenUsed/>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pPr>
      <w:snapToGrid w:val="0"/>
      <w:spacing w:line="640" w:lineRule="exact"/>
      <w:ind w:firstLine="705"/>
    </w:pPr>
    <w:rPr>
      <w:rFonts w:ascii="仿宋_GB2312" w:hAnsi="Calibri" w:eastAsia="仿宋_GB2312" w:cs="Times New Roman"/>
      <w:color w:val="000000"/>
      <w:sz w:val="36"/>
      <w:szCs w:val="36"/>
    </w:rPr>
  </w:style>
  <w:style w:type="paragraph" w:styleId="7">
    <w:name w:val="Title"/>
    <w:basedOn w:val="1"/>
    <w:next w:val="1"/>
    <w:qFormat/>
    <w:uiPriority w:val="0"/>
    <w:pPr>
      <w:jc w:val="center"/>
      <w:outlineLvl w:val="0"/>
    </w:pPr>
    <w:rPr>
      <w:rFonts w:ascii="Arial" w:hAnsi="Arial"/>
      <w:b/>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正文格式"/>
    <w:basedOn w:val="1"/>
    <w:qFormat/>
    <w:uiPriority w:val="0"/>
    <w:pPr>
      <w:widowControl/>
      <w:adjustRightInd w:val="0"/>
      <w:snapToGrid w:val="0"/>
      <w:spacing w:line="400" w:lineRule="atLeast"/>
      <w:ind w:firstLine="482"/>
      <w:textAlignment w:val="baseline"/>
    </w:pPr>
    <w:rPr>
      <w:rFonts w:ascii="Times New Roman" w:hAnsi="Times New Roman" w:eastAsia="宋体"/>
      <w:kern w:val="0"/>
      <w:sz w:val="24"/>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61F93E-D750-4762-A6F1-43119C58384A}">
  <ds:schemaRefs/>
</ds:datastoreItem>
</file>

<file path=docProps/app.xml><?xml version="1.0" encoding="utf-8"?>
<Properties xmlns="http://schemas.openxmlformats.org/officeDocument/2006/extended-properties" xmlns:vt="http://schemas.openxmlformats.org/officeDocument/2006/docPropsVTypes">
  <Template>Normal</Template>
  <Pages>10</Pages>
  <Words>4720</Words>
  <Characters>4814</Characters>
  <Lines>35</Lines>
  <Paragraphs>9</Paragraphs>
  <TotalTime>5</TotalTime>
  <ScaleCrop>false</ScaleCrop>
  <LinksUpToDate>false</LinksUpToDate>
  <CharactersWithSpaces>4842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2021-12-14T18:19:00Z</dcterms:created>
  <dc:creator>Lenovo</dc:creator>
  <cp:lastModifiedBy>WPS_1658918391</cp:lastModifiedBy>
  <cp:lastPrinted>2023-09-14T03:30:00Z</cp:lastPrinted>
  <dcterms:modified xsi:type="dcterms:W3CDTF">2023-12-26T01:03:23Z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2487C8F3916142EBB9015C75FD16C82D_13</vt:lpwstr>
  </property>
</Properties>
</file>