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  <w:t>CLDR-2024-0010001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8" w:lineRule="exact"/>
        <w:ind w:right="0"/>
        <w:jc w:val="center"/>
        <w:textAlignment w:val="auto"/>
        <w:rPr>
          <w:rFonts w:hint="eastAsia" w:ascii="文星标宋" w:hAnsi="文星标宋" w:eastAsia="文星标宋" w:cs="文星标宋"/>
          <w:b/>
          <w:bCs/>
          <w:i w:val="0"/>
          <w:i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8" w:lineRule="exact"/>
        <w:ind w:right="0"/>
        <w:jc w:val="center"/>
        <w:textAlignment w:val="auto"/>
        <w:rPr>
          <w:rFonts w:hint="eastAsia" w:ascii="文星标宋" w:hAnsi="文星标宋" w:eastAsia="文星标宋" w:cs="文星标宋"/>
          <w:b/>
          <w:bCs/>
          <w:i w:val="0"/>
          <w:i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8" w:lineRule="exact"/>
        <w:ind w:right="0"/>
        <w:jc w:val="center"/>
        <w:textAlignment w:val="auto"/>
        <w:rPr>
          <w:rFonts w:hint="eastAsia" w:ascii="文星标宋" w:hAnsi="文星标宋" w:eastAsia="文星标宋" w:cs="文星标宋"/>
          <w:b/>
          <w:bCs/>
          <w:i w:val="0"/>
          <w:i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8" w:lineRule="exact"/>
        <w:ind w:right="0"/>
        <w:jc w:val="center"/>
        <w:textAlignment w:val="auto"/>
        <w:rPr>
          <w:rFonts w:hint="eastAsia" w:ascii="文星标宋" w:hAnsi="文星标宋" w:eastAsia="文星标宋" w:cs="文星标宋"/>
          <w:b/>
          <w:bCs/>
          <w:i w:val="0"/>
          <w:i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8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  <w:t>乐政字〔202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8" w:lineRule="exact"/>
        <w:ind w:right="0"/>
        <w:jc w:val="center"/>
        <w:textAlignment w:val="auto"/>
        <w:rPr>
          <w:rFonts w:hint="eastAsia" w:ascii="文星标宋" w:hAnsi="文星标宋" w:eastAsia="文星标宋" w:cs="文星标宋"/>
          <w:b/>
          <w:bCs/>
          <w:i w:val="0"/>
          <w:i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8" w:lineRule="exact"/>
        <w:ind w:right="0"/>
        <w:jc w:val="center"/>
        <w:textAlignment w:val="auto"/>
        <w:rPr>
          <w:rFonts w:hint="eastAsia" w:ascii="文星标宋" w:hAnsi="文星标宋" w:eastAsia="文星标宋" w:cs="文星标宋"/>
          <w:b/>
          <w:bCs/>
          <w:i w:val="0"/>
          <w:iCs w:val="0"/>
          <w:sz w:val="44"/>
          <w:szCs w:val="44"/>
        </w:rPr>
      </w:pPr>
    </w:p>
    <w:p>
      <w:pPr>
        <w:spacing w:beforeLines="0" w:afterLines="0" w:line="578" w:lineRule="exact"/>
        <w:jc w:val="center"/>
        <w:rPr>
          <w:rFonts w:hint="eastAsia" w:ascii="文星标宋" w:hAnsi="文星标宋" w:eastAsia="文星标宋" w:cs="文星标宋"/>
          <w:b/>
          <w:bCs/>
          <w:i w:val="0"/>
          <w:iCs w:val="0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b/>
          <w:bCs/>
          <w:i w:val="0"/>
          <w:iCs w:val="0"/>
          <w:sz w:val="44"/>
          <w:szCs w:val="44"/>
          <w:lang w:eastAsia="zh-CN"/>
        </w:rPr>
        <w:t>昌乐县人民政府</w:t>
      </w:r>
    </w:p>
    <w:p>
      <w:pPr>
        <w:spacing w:beforeLines="0" w:afterLines="0" w:line="578" w:lineRule="exact"/>
        <w:jc w:val="center"/>
        <w:rPr>
          <w:rFonts w:hint="eastAsia" w:ascii="文星标宋" w:hAnsi="文星标宋" w:eastAsia="文星标宋" w:cs="文星标宋"/>
          <w:b/>
          <w:bCs/>
          <w:i w:val="0"/>
          <w:i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/>
          <w:bCs/>
          <w:i w:val="0"/>
          <w:iCs w:val="0"/>
          <w:sz w:val="44"/>
          <w:szCs w:val="44"/>
        </w:rPr>
        <w:t>关于公布实施</w:t>
      </w:r>
      <w:r>
        <w:rPr>
          <w:rFonts w:hint="eastAsia" w:ascii="文星标宋" w:hAnsi="文星标宋" w:eastAsia="文星标宋" w:cs="文星标宋"/>
          <w:b/>
          <w:bCs/>
          <w:i w:val="0"/>
          <w:iCs w:val="0"/>
          <w:sz w:val="44"/>
          <w:szCs w:val="44"/>
          <w:lang w:val="en-US" w:eastAsia="zh-CN"/>
        </w:rPr>
        <w:t>2023年度</w:t>
      </w:r>
      <w:r>
        <w:rPr>
          <w:rFonts w:hint="eastAsia" w:ascii="文星标宋" w:hAnsi="文星标宋" w:eastAsia="文星标宋" w:cs="文星标宋"/>
          <w:b/>
          <w:bCs/>
          <w:i w:val="0"/>
          <w:iCs w:val="0"/>
          <w:sz w:val="44"/>
          <w:szCs w:val="44"/>
        </w:rPr>
        <w:t>昌乐县</w:t>
      </w:r>
      <w:r>
        <w:rPr>
          <w:rFonts w:hint="eastAsia" w:ascii="文星标宋" w:hAnsi="文星标宋" w:eastAsia="文星标宋" w:cs="文星标宋"/>
          <w:b/>
          <w:bCs/>
          <w:i w:val="0"/>
          <w:iCs w:val="0"/>
          <w:sz w:val="44"/>
          <w:szCs w:val="44"/>
          <w:lang w:val="en-US" w:eastAsia="zh-CN"/>
        </w:rPr>
        <w:t>城镇土地级别</w:t>
      </w:r>
    </w:p>
    <w:p>
      <w:pPr>
        <w:spacing w:beforeLines="0" w:afterLines="0" w:line="578" w:lineRule="exact"/>
        <w:jc w:val="center"/>
        <w:rPr>
          <w:rFonts w:hint="eastAsia" w:ascii="文星标宋" w:hAnsi="文星标宋" w:eastAsia="文星标宋" w:cs="文星标宋"/>
          <w:b/>
          <w:bCs/>
          <w:i w:val="0"/>
          <w:iCs w:val="0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/>
          <w:bCs/>
          <w:i w:val="0"/>
          <w:iCs w:val="0"/>
          <w:sz w:val="44"/>
          <w:szCs w:val="44"/>
          <w:lang w:val="en-US" w:eastAsia="zh-CN"/>
        </w:rPr>
        <w:t>调整与基准地价更新</w:t>
      </w:r>
      <w:r>
        <w:rPr>
          <w:rFonts w:hint="eastAsia" w:ascii="文星标宋" w:hAnsi="文星标宋" w:eastAsia="文星标宋" w:cs="文星标宋"/>
          <w:b/>
          <w:bCs/>
          <w:i w:val="0"/>
          <w:iCs w:val="0"/>
          <w:sz w:val="44"/>
          <w:szCs w:val="44"/>
        </w:rPr>
        <w:t>成果</w:t>
      </w:r>
      <w:r>
        <w:rPr>
          <w:rFonts w:hint="eastAsia" w:ascii="文星标宋" w:hAnsi="文星标宋" w:eastAsia="文星标宋" w:cs="文星标宋"/>
          <w:b/>
          <w:bCs/>
          <w:i w:val="0"/>
          <w:iCs w:val="0"/>
          <w:kern w:val="0"/>
          <w:sz w:val="44"/>
          <w:szCs w:val="44"/>
        </w:rPr>
        <w:t>的通知</w:t>
      </w:r>
    </w:p>
    <w:p>
      <w:pPr>
        <w:spacing w:beforeLines="0" w:afterLines="0" w:line="578" w:lineRule="exact"/>
        <w:rPr>
          <w:rFonts w:hint="eastAsia" w:ascii="仿宋_GB2312" w:eastAsia="仿宋_GB2312" w:cs="黑体"/>
          <w:b/>
          <w:bCs/>
          <w:i w:val="0"/>
          <w:iCs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textAlignment w:val="auto"/>
        <w:rPr>
          <w:rFonts w:hint="eastAsia" w:ascii="仿宋_GB2312" w:hAnsi="仿宋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各镇（街、区）人民政府（办事处、管委会、管理服务中心），县政府各部门、单位</w:t>
      </w:r>
      <w:r>
        <w:rPr>
          <w:rFonts w:hint="eastAsia" w:ascii="仿宋_GB2312" w:hAnsi="仿宋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43" w:firstLineChars="200"/>
        <w:textAlignment w:val="auto"/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为保持我县城镇土地级别和基准地价的现势性，满足不同类型地价管理需要，推动土地市场健康有序发展，</w:t>
      </w:r>
      <w:r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</w:rPr>
        <w:t>根据省自然资源厅《关于</w:t>
      </w:r>
      <w:r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做好</w:t>
      </w:r>
      <w:r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</w:rPr>
        <w:t>2</w:t>
      </w:r>
      <w:r>
        <w:rPr>
          <w:rFonts w:ascii="仿宋_GB2312" w:eastAsia="仿宋_GB2312" w:cs="仿宋_GB2312"/>
          <w:b/>
          <w:bCs/>
          <w:i w:val="0"/>
          <w:iCs w:val="0"/>
          <w:sz w:val="32"/>
          <w:szCs w:val="32"/>
        </w:rPr>
        <w:t>02</w:t>
      </w:r>
      <w:r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</w:rPr>
        <w:t>年度自然资源评价评估</w:t>
      </w:r>
      <w:r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有关</w:t>
      </w:r>
      <w:r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</w:rPr>
        <w:t>工作的通知》（鲁自然资字〔2</w:t>
      </w:r>
      <w:r>
        <w:rPr>
          <w:rFonts w:ascii="仿宋_GB2312" w:eastAsia="仿宋_GB2312" w:cs="仿宋_GB2312"/>
          <w:b/>
          <w:bCs/>
          <w:i w:val="0"/>
          <w:iCs w:val="0"/>
          <w:sz w:val="32"/>
          <w:szCs w:val="32"/>
        </w:rPr>
        <w:t>02</w:t>
      </w:r>
      <w:r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  <w:t>号</w:t>
      </w:r>
      <w:r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</w:rPr>
        <w:t>），</w:t>
      </w:r>
      <w:r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结合我县实际，</w:t>
      </w:r>
      <w:r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</w:rPr>
        <w:t>现将</w:t>
      </w:r>
      <w:r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调整更新后的土地级别和基准地价</w:t>
      </w:r>
      <w:r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</w:rPr>
        <w:t>予以公布</w:t>
      </w:r>
      <w:r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（详见附件</w:t>
      </w:r>
      <w:r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1、2）</w:t>
      </w:r>
      <w:r>
        <w:rPr>
          <w:rFonts w:hint="eastAsia" w:ascii="仿宋_GB2312" w:eastAsia="仿宋_GB2312" w:cs="仿宋_GB2312"/>
          <w:b/>
          <w:bCs/>
          <w:i w:val="0"/>
          <w:i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43" w:firstLineChars="200"/>
        <w:textAlignment w:val="auto"/>
        <w:rPr>
          <w:rFonts w:hint="eastAsia" w:ascii="仿宋_GB2312" w:eastAsia="仿宋_GB2312" w:cs="黑体"/>
          <w:b/>
          <w:bCs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  <w:t>本通知自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2024年7月18日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  <w:t>起施行，有效期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  <w:t>年。《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昌乐县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  <w:t>人民政府关于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公布实施昌乐县城镇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  <w:t>土地级别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调整与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  <w:t>基准地价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更新成果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  <w:t>的通知》（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乐政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  <w:t>字〔2020〕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  <w:t>号）同时废止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。</w:t>
      </w:r>
    </w:p>
    <w:p>
      <w:pPr>
        <w:spacing w:beforeLines="0" w:afterLines="0" w:line="578" w:lineRule="exact"/>
        <w:ind w:firstLine="643" w:firstLineChars="200"/>
        <w:rPr>
          <w:rFonts w:hint="eastAsia" w:ascii="仿宋_GB2312" w:eastAsia="仿宋_GB2312" w:cs="黑体"/>
          <w:b/>
          <w:bCs/>
          <w:i w:val="0"/>
          <w:iCs w:val="0"/>
          <w:kern w:val="0"/>
          <w:sz w:val="32"/>
          <w:szCs w:val="32"/>
        </w:rPr>
      </w:pPr>
    </w:p>
    <w:p>
      <w:pPr>
        <w:spacing w:beforeLines="0" w:afterLines="0" w:line="578" w:lineRule="exact"/>
        <w:ind w:firstLine="643" w:firstLineChars="200"/>
        <w:rPr>
          <w:rFonts w:hint="eastAsia" w:ascii="仿宋_GB2312" w:eastAsia="仿宋_GB2312" w:cs="黑体"/>
          <w:b/>
          <w:bCs/>
          <w:i w:val="0"/>
          <w:i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黑体"/>
          <w:b/>
          <w:bCs/>
          <w:i w:val="0"/>
          <w:iCs w:val="0"/>
          <w:kern w:val="0"/>
          <w:sz w:val="32"/>
          <w:szCs w:val="32"/>
        </w:rPr>
        <w:t>附件：</w:t>
      </w:r>
      <w:r>
        <w:rPr>
          <w:rFonts w:hint="eastAsia" w:ascii="仿宋_GB2312" w:eastAsia="仿宋_GB2312" w:cs="黑体"/>
          <w:b/>
          <w:bCs/>
          <w:i w:val="0"/>
          <w:iCs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黑体"/>
          <w:b/>
          <w:bCs/>
          <w:spacing w:val="0"/>
          <w:kern w:val="0"/>
          <w:sz w:val="32"/>
          <w:szCs w:val="32"/>
          <w:lang w:eastAsia="zh-CN"/>
        </w:rPr>
        <w:t>．</w:t>
      </w:r>
      <w:r>
        <w:rPr>
          <w:rFonts w:hint="eastAsia" w:ascii="仿宋_GB2312" w:eastAsia="仿宋_GB2312" w:cs="黑体"/>
          <w:b/>
          <w:bCs/>
          <w:i w:val="0"/>
          <w:iCs w:val="0"/>
          <w:kern w:val="0"/>
          <w:sz w:val="32"/>
          <w:szCs w:val="32"/>
          <w:highlight w:val="none"/>
        </w:rPr>
        <w:t>昌乐县</w:t>
      </w:r>
      <w:r>
        <w:rPr>
          <w:rFonts w:hint="eastAsia" w:ascii="仿宋_GB2312" w:eastAsia="仿宋_GB2312" w:cs="黑体"/>
          <w:b/>
          <w:bCs/>
          <w:i w:val="0"/>
          <w:iCs w:val="0"/>
          <w:kern w:val="0"/>
          <w:sz w:val="32"/>
          <w:szCs w:val="32"/>
          <w:highlight w:val="none"/>
          <w:lang w:val="en-US" w:eastAsia="zh-CN"/>
        </w:rPr>
        <w:t>城区土地级别基准地价表</w:t>
      </w:r>
    </w:p>
    <w:p>
      <w:pPr>
        <w:numPr>
          <w:ilvl w:val="0"/>
          <w:numId w:val="0"/>
        </w:numPr>
        <w:spacing w:beforeLines="0" w:afterLines="0" w:line="578" w:lineRule="exact"/>
        <w:ind w:firstLine="1606" w:firstLineChars="500"/>
        <w:rPr>
          <w:rFonts w:hint="eastAsia" w:ascii="仿宋_GB2312" w:eastAsia="仿宋_GB2312" w:cs="黑体"/>
          <w:b/>
          <w:bCs/>
          <w:i w:val="0"/>
          <w:i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黑体"/>
          <w:b/>
          <w:bCs/>
          <w:i w:val="0"/>
          <w:iCs w:val="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 w:cs="黑体"/>
          <w:b/>
          <w:bCs/>
          <w:spacing w:val="0"/>
          <w:kern w:val="0"/>
          <w:sz w:val="32"/>
          <w:szCs w:val="32"/>
          <w:lang w:eastAsia="zh-CN"/>
        </w:rPr>
        <w:t>．</w:t>
      </w:r>
      <w:r>
        <w:rPr>
          <w:rFonts w:hint="eastAsia" w:ascii="仿宋_GB2312" w:eastAsia="仿宋_GB2312" w:cs="黑体"/>
          <w:b/>
          <w:bCs/>
          <w:i w:val="0"/>
          <w:iCs w:val="0"/>
          <w:kern w:val="0"/>
          <w:sz w:val="32"/>
          <w:szCs w:val="32"/>
          <w:highlight w:val="none"/>
        </w:rPr>
        <w:t>昌乐县</w:t>
      </w:r>
      <w:r>
        <w:rPr>
          <w:rFonts w:hint="eastAsia" w:ascii="仿宋_GB2312" w:eastAsia="仿宋_GB2312" w:cs="黑体"/>
          <w:b/>
          <w:bCs/>
          <w:i w:val="0"/>
          <w:iCs w:val="0"/>
          <w:kern w:val="0"/>
          <w:sz w:val="32"/>
          <w:szCs w:val="32"/>
          <w:highlight w:val="none"/>
          <w:lang w:val="en-US" w:eastAsia="zh-CN"/>
        </w:rPr>
        <w:t>镇区土地级别基准地价表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firstLine="422" w:firstLineChars="200"/>
        <w:jc w:val="both"/>
        <w:textAlignment w:val="auto"/>
        <w:rPr>
          <w:rFonts w:ascii="仿宋_GB2312" w:hAnsi="仿宋_GB2312" w:cs="仿宋_GB2312"/>
          <w:b/>
          <w:bCs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jc w:val="right"/>
        <w:textAlignment w:val="auto"/>
        <w:rPr>
          <w:rFonts w:ascii="仿宋" w:hAnsi="仿宋" w:eastAsia="仿宋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 xml:space="preserve">昌乐县人民政府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righ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cs="仿宋_GB2312"/>
          <w:b/>
          <w:bCs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cs="仿宋_GB2312"/>
          <w:b/>
          <w:bCs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cs="仿宋_GB2312"/>
          <w:b/>
          <w:bCs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19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 xml:space="preserve">日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firstLine="643" w:firstLineChars="200"/>
        <w:textAlignment w:val="auto"/>
        <w:rPr>
          <w:rFonts w:hint="default" w:ascii="仿宋_GB2312" w:eastAsia="仿宋_GB2312" w:cs="黑体" w:hAnsiTheme="minorHAnsi"/>
          <w:b/>
          <w:bCs/>
          <w:i w:val="0"/>
          <w:i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黑体" w:hAnsiTheme="minorHAnsi"/>
          <w:b/>
          <w:bCs/>
          <w:i w:val="0"/>
          <w:iCs w:val="0"/>
          <w:kern w:val="0"/>
          <w:sz w:val="32"/>
          <w:szCs w:val="32"/>
          <w:highlight w:val="none"/>
          <w:lang w:val="en-US" w:eastAsia="zh-CN" w:bidi="ar-SA"/>
        </w:rPr>
        <w:t>（此件公开发布）</w:t>
      </w:r>
    </w:p>
    <w:p>
      <w:pPr>
        <w:pStyle w:val="14"/>
        <w:rPr>
          <w:rFonts w:hint="eastAsia"/>
          <w:b/>
          <w:bCs/>
          <w:i w:val="0"/>
          <w:iCs w:val="0"/>
        </w:rPr>
      </w:pPr>
    </w:p>
    <w:p>
      <w:pPr>
        <w:spacing w:line="578" w:lineRule="exact"/>
        <w:ind w:firstLine="643" w:firstLineChars="200"/>
        <w:rPr>
          <w:rFonts w:hint="eastAsia" w:ascii="仿宋_GB2312" w:hAnsi="宋体" w:eastAsia="仿宋_GB2312" w:cs="宋体"/>
          <w:b/>
          <w:bCs/>
          <w:i w:val="0"/>
          <w:iCs w:val="0"/>
          <w:kern w:val="0"/>
          <w:sz w:val="32"/>
          <w:szCs w:val="32"/>
        </w:rPr>
      </w:pPr>
    </w:p>
    <w:p>
      <w:pPr>
        <w:spacing w:line="578" w:lineRule="exact"/>
        <w:rPr>
          <w:rFonts w:hint="eastAsia" w:ascii="黑体" w:hAnsi="黑体" w:eastAsia="黑体" w:cs="黑体"/>
          <w:b/>
          <w:bCs/>
          <w:i w:val="0"/>
          <w:iCs w:val="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17" w:bottom="1984" w:left="1417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/>
          <w:bCs/>
          <w:spacing w:val="0"/>
          <w:kern w:val="0"/>
          <w:sz w:val="44"/>
          <w:szCs w:val="44"/>
        </w:rPr>
        <w:t>昌乐县</w:t>
      </w:r>
      <w:r>
        <w:rPr>
          <w:rFonts w:hint="eastAsia" w:ascii="文星标宋" w:hAnsi="文星标宋" w:eastAsia="文星标宋" w:cs="文星标宋"/>
          <w:b/>
          <w:bCs/>
          <w:spacing w:val="0"/>
          <w:kern w:val="0"/>
          <w:sz w:val="44"/>
          <w:szCs w:val="44"/>
          <w:lang w:eastAsia="zh-CN"/>
        </w:rPr>
        <w:t>城区土地级别基准地价表</w:t>
      </w:r>
    </w:p>
    <w:tbl>
      <w:tblPr>
        <w:tblStyle w:val="11"/>
        <w:tblpPr w:leftFromText="180" w:rightFromText="180" w:vertAnchor="text" w:horzAnchor="page" w:tblpXSpec="center" w:tblpY="554"/>
        <w:tblOverlap w:val="never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299"/>
        <w:gridCol w:w="1300"/>
        <w:gridCol w:w="1300"/>
        <w:gridCol w:w="1300"/>
        <w:gridCol w:w="1300"/>
        <w:gridCol w:w="13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土地级别</w:t>
            </w: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工业用地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万元/亩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1650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1725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502.5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33.5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1200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1260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84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337.5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900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930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270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四级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675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690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240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11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1819"/>
        <w:gridCol w:w="1820"/>
        <w:gridCol w:w="1820"/>
        <w:gridCol w:w="18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土地级别</w:t>
            </w:r>
          </w:p>
        </w:tc>
        <w:tc>
          <w:tcPr>
            <w:tcW w:w="2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公共管理与公共服务用地Ⅰ</w:t>
            </w:r>
          </w:p>
        </w:tc>
        <w:tc>
          <w:tcPr>
            <w:tcW w:w="2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公共管理与公共服务用地Ⅱ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万元/亩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一级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1230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82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480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1005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315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三级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765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255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四级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540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240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注：公共管理与公共服务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lang w:bidi="ar"/>
        </w:rPr>
        <w:t>用地Ⅰ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主要包含机关团体用地、新闻出版用地、教育用地、科研用地、医疗卫生用地、社会福利用地、文化设施用地、体育用地。公共管理与公共服务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lang w:bidi="ar"/>
        </w:rPr>
        <w:t>用地Ⅱ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主要包含公用设施用地、公园与绿地。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/>
          <w:bCs/>
          <w:spacing w:val="0"/>
          <w:kern w:val="0"/>
          <w:sz w:val="44"/>
          <w:szCs w:val="44"/>
        </w:rPr>
        <w:t>昌乐县</w:t>
      </w:r>
      <w:r>
        <w:rPr>
          <w:rFonts w:hint="eastAsia" w:ascii="文星标宋" w:hAnsi="文星标宋" w:eastAsia="文星标宋" w:cs="文星标宋"/>
          <w:b/>
          <w:bCs/>
          <w:spacing w:val="0"/>
          <w:kern w:val="0"/>
          <w:sz w:val="44"/>
          <w:szCs w:val="44"/>
          <w:lang w:eastAsia="zh-CN"/>
        </w:rPr>
        <w:t>镇区土地级别基准地价表</w:t>
      </w:r>
    </w:p>
    <w:tbl>
      <w:tblPr>
        <w:tblStyle w:val="11"/>
        <w:tblpPr w:leftFromText="180" w:rightFromText="180" w:vertAnchor="text" w:horzAnchor="page" w:tblpXSpec="center" w:tblpY="554"/>
        <w:tblOverlap w:val="never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299"/>
        <w:gridCol w:w="1300"/>
        <w:gridCol w:w="1300"/>
        <w:gridCol w:w="1300"/>
        <w:gridCol w:w="1300"/>
        <w:gridCol w:w="13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土地级别</w:t>
            </w: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工业用地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万元/亩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375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375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300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300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宋体" w:eastAsia="仿宋_GB2312" w:cs="宋体"/>
          <w:spacing w:val="0"/>
          <w:kern w:val="0"/>
          <w:sz w:val="32"/>
          <w:szCs w:val="32"/>
          <w:u w:val="single"/>
        </w:rPr>
      </w:pPr>
    </w:p>
    <w:tbl>
      <w:tblPr>
        <w:tblStyle w:val="11"/>
        <w:tblW w:w="90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814"/>
        <w:gridCol w:w="1814"/>
        <w:gridCol w:w="1814"/>
        <w:gridCol w:w="18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土地级别</w:t>
            </w:r>
          </w:p>
        </w:tc>
        <w:tc>
          <w:tcPr>
            <w:tcW w:w="3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公共管理与公共服务用地Ⅰ</w:t>
            </w:r>
          </w:p>
        </w:tc>
        <w:tc>
          <w:tcPr>
            <w:tcW w:w="3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公共管理与公共服务用地Ⅱ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万元/亩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270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225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195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注：公共管理与公共服务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lang w:bidi="ar"/>
        </w:rPr>
        <w:t>用地Ⅰ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主要包含机关团体用地、新闻出版用地、教育用地、科研用地、医疗卫生用地、社会福利用地、文化设施用地、体育用地。公共管理与公共服务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lang w:bidi="ar"/>
        </w:rPr>
        <w:t>用地Ⅱ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主要包含公用设施用地、公园与绿地。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textAlignment w:val="auto"/>
        <w:rPr>
          <w:rFonts w:hint="eastAsia" w:ascii="仿宋_GB2312" w:hAnsi="仿宋_GB2312" w:eastAsia="仿宋_GB2312" w:cs="仿宋_GB2312"/>
          <w:b/>
          <w:color w:val="000000"/>
          <w:spacing w:val="0"/>
          <w:sz w:val="32"/>
          <w:szCs w:val="32"/>
        </w:rPr>
      </w:pPr>
    </w:p>
    <w:p>
      <w:pPr>
        <w:widowControl/>
        <w:adjustRightInd w:val="0"/>
        <w:snapToGrid w:val="0"/>
        <w:spacing w:line="578" w:lineRule="exact"/>
        <w:ind w:firstLine="275" w:firstLineChars="98"/>
        <w:rPr>
          <w:rFonts w:hint="eastAsia" w:ascii="仿宋_GB2312" w:hAnsi="Calibri" w:eastAsia="仿宋_GB2312" w:cs="Times New Roman"/>
          <w:b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color w:val="000000"/>
          <w:spacing w:val="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760085" cy="0"/>
                <wp:effectExtent l="0" t="6350" r="0" b="63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53.55pt;z-index:251660288;mso-width-relative:page;mso-height-relative:page;" filled="f" stroked="t" coordsize="21600,21600" o:gfxdata="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ocfpfTAAAABAEAAA8AAAAAAAAAAQAgAAAAIgAAAGRycy9kb3ducmV2LnhtbFBLAQIUABQA&#10;AAAIAIdO4kCpVR6e9QEAAOcDAAAOAAAAAAAAAAEAIAAAACIBAABkcnMvZTJvRG9jLnhtbFBLBQYA&#10;AAAABgAGAFkBAACJBQAAAAA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alibri" w:eastAsia="仿宋_GB2312" w:cs="Times New Roman"/>
          <w:b/>
          <w:color w:val="000000"/>
          <w:spacing w:val="0"/>
          <w:kern w:val="0"/>
          <w:sz w:val="28"/>
          <w:szCs w:val="28"/>
        </w:rPr>
        <w:t>抄送：县委各部门，县人大常委会办公室，县政协办公室，县法院，</w:t>
      </w:r>
    </w:p>
    <w:p>
      <w:pPr>
        <w:widowControl/>
        <w:adjustRightInd w:val="0"/>
        <w:snapToGrid w:val="0"/>
        <w:spacing w:line="578" w:lineRule="exact"/>
        <w:ind w:firstLine="1105" w:firstLineChars="393"/>
        <w:jc w:val="left"/>
        <w:rPr>
          <w:rFonts w:hint="eastAsia" w:ascii="仿宋_GB2312" w:hAnsi="Calibri" w:eastAsia="仿宋_GB2312" w:cs="Times New Roman"/>
          <w:b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color w:val="000000"/>
          <w:spacing w:val="0"/>
          <w:kern w:val="0"/>
          <w:sz w:val="28"/>
          <w:szCs w:val="28"/>
        </w:rPr>
        <w:t>县检察院，</w:t>
      </w:r>
      <w:bookmarkStart w:id="0" w:name="_GoBack"/>
      <w:bookmarkEnd w:id="0"/>
      <w:r>
        <w:rPr>
          <w:rFonts w:hint="eastAsia" w:ascii="仿宋_GB2312" w:hAnsi="Calibri" w:eastAsia="仿宋_GB2312" w:cs="Times New Roman"/>
          <w:b/>
          <w:color w:val="000000"/>
          <w:spacing w:val="0"/>
          <w:kern w:val="0"/>
          <w:sz w:val="28"/>
          <w:szCs w:val="28"/>
        </w:rPr>
        <w:t>县人武部。</w:t>
      </w:r>
    </w:p>
    <w:p>
      <w:pPr>
        <w:widowControl/>
        <w:adjustRightInd w:val="0"/>
        <w:snapToGrid w:val="0"/>
        <w:spacing w:line="578" w:lineRule="exact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color w:val="000000"/>
          <w:spacing w:val="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436880</wp:posOffset>
                </wp:positionV>
                <wp:extent cx="5760085" cy="0"/>
                <wp:effectExtent l="0" t="6350" r="0" b="63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4.4pt;height:0pt;width:453.55pt;z-index:251661312;mso-width-relative:page;mso-height-relative:page;" filled="f" stroked="t" coordsize="21600,21600" o:gfxdata="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aPAhtUAAAAGAQAADwAAAAAAAAABACAAAAAiAAAAZHJzL2Rvd25yZXYueG1sUEsBAhQA&#10;FAAAAAgAh07iQEOv7Nf1AQAA5wMAAA4AAAAAAAAAAQAgAAAAJAEAAGRycy9lMm9Eb2MueG1sUEsF&#10;BgAAAAAGAAYAWQEAAIs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alibri" w:eastAsia="仿宋_GB2312" w:cs="Times New Roman"/>
          <w:b/>
          <w:color w:val="000000"/>
          <w:spacing w:val="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760085" cy="0"/>
                <wp:effectExtent l="0" t="4445" r="0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2pt;height:0pt;width:453.55pt;z-index:251659264;mso-width-relative:page;mso-height-relative:page;" filled="f" stroked="t" coordsize="21600,21600" o:gfxdata="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cIUh/SAAAABAEAAA8AAAAAAAAAAQAgAAAAIgAAAGRycy9kb3ducmV2LnhtbFBLAQIUABQA&#10;AAAIAIdO4kD+kJGj9gEAAOYDAAAOAAAAAAAAAAEAIAAAACEBAABkcnMvZTJvRG9jLnhtbFBLBQYA&#10;AAAABgAGAFkBAACJ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alibri" w:eastAsia="仿宋_GB2312" w:cs="Times New Roman"/>
          <w:b/>
          <w:color w:val="000000"/>
          <w:spacing w:val="0"/>
          <w:kern w:val="0"/>
          <w:sz w:val="28"/>
          <w:szCs w:val="28"/>
        </w:rPr>
        <w:t xml:space="preserve">　昌乐县人民政府办公室              </w:t>
      </w:r>
      <w:r>
        <w:rPr>
          <w:rFonts w:hint="eastAsia" w:ascii="仿宋_GB2312" w:hAnsi="Calibri" w:eastAsia="仿宋_GB2312" w:cs="Times New Roman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Calibri" w:eastAsia="仿宋_GB2312" w:cs="Times New Roman"/>
          <w:b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/>
          <w:color w:val="000000"/>
          <w:kern w:val="0"/>
          <w:sz w:val="28"/>
          <w:szCs w:val="28"/>
        </w:rPr>
        <w:t xml:space="preserve">    202</w:t>
      </w:r>
      <w:r>
        <w:rPr>
          <w:rFonts w:hint="eastAsia" w:ascii="仿宋_GB2312" w:hAnsi="Calibri" w:eastAsia="仿宋_GB2312" w:cs="Times New Roman"/>
          <w:b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b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Calibri" w:eastAsia="仿宋_GB2312" w:cs="Times New Roman"/>
          <w:b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/>
          <w:color w:val="000000"/>
          <w:spacing w:val="4"/>
          <w:kern w:val="0"/>
          <w:sz w:val="28"/>
          <w:szCs w:val="28"/>
        </w:rPr>
        <w:t>月</w:t>
      </w:r>
      <w:r>
        <w:rPr>
          <w:rFonts w:hint="eastAsia" w:ascii="仿宋_GB2312" w:hAnsi="Calibri" w:eastAsia="仿宋_GB2312" w:cs="Times New Roman"/>
          <w:b/>
          <w:color w:val="000000"/>
          <w:spacing w:val="4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_GB2312" w:hAnsi="Calibri" w:eastAsia="仿宋_GB2312" w:cs="Times New Roman"/>
          <w:b/>
          <w:color w:val="000000"/>
          <w:spacing w:val="4"/>
          <w:kern w:val="0"/>
          <w:sz w:val="28"/>
          <w:szCs w:val="28"/>
        </w:rPr>
        <w:t>日</w:t>
      </w:r>
      <w:r>
        <w:rPr>
          <w:rFonts w:hint="eastAsia" w:ascii="仿宋_GB2312" w:hAnsi="Calibri" w:eastAsia="仿宋_GB2312" w:cs="Times New Roman"/>
          <w:b/>
          <w:color w:val="000000"/>
          <w:kern w:val="0"/>
          <w:sz w:val="28"/>
          <w:szCs w:val="28"/>
        </w:rPr>
        <w:t>印发</w:t>
      </w:r>
    </w:p>
    <w:sectPr>
      <w:footerReference r:id="rId5" w:type="default"/>
      <w:pgSz w:w="11906" w:h="16838"/>
      <w:pgMar w:top="2098" w:right="1417" w:bottom="1984" w:left="1417" w:header="851" w:footer="130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Nzk2YzVlNWUxNzE1ZTllZjVkNDY4MGU0ODM0NDAifQ=="/>
  </w:docVars>
  <w:rsids>
    <w:rsidRoot w:val="003026C8"/>
    <w:rsid w:val="00087C07"/>
    <w:rsid w:val="00157373"/>
    <w:rsid w:val="001A19C6"/>
    <w:rsid w:val="001A37FF"/>
    <w:rsid w:val="001A4E29"/>
    <w:rsid w:val="00211BC5"/>
    <w:rsid w:val="00292E49"/>
    <w:rsid w:val="003026C8"/>
    <w:rsid w:val="00373162"/>
    <w:rsid w:val="003C7439"/>
    <w:rsid w:val="005305F5"/>
    <w:rsid w:val="006D2E97"/>
    <w:rsid w:val="00711D40"/>
    <w:rsid w:val="00A00572"/>
    <w:rsid w:val="00A632A3"/>
    <w:rsid w:val="00B122E9"/>
    <w:rsid w:val="00CD671C"/>
    <w:rsid w:val="00E2546C"/>
    <w:rsid w:val="00E87621"/>
    <w:rsid w:val="00FB369A"/>
    <w:rsid w:val="0168700A"/>
    <w:rsid w:val="035E406B"/>
    <w:rsid w:val="03716620"/>
    <w:rsid w:val="04DB2375"/>
    <w:rsid w:val="052530DC"/>
    <w:rsid w:val="05331B7E"/>
    <w:rsid w:val="05346940"/>
    <w:rsid w:val="05A06019"/>
    <w:rsid w:val="06727F90"/>
    <w:rsid w:val="08494851"/>
    <w:rsid w:val="08C72F61"/>
    <w:rsid w:val="0A977CC9"/>
    <w:rsid w:val="0AF513CF"/>
    <w:rsid w:val="0BAA7E65"/>
    <w:rsid w:val="0C695223"/>
    <w:rsid w:val="0CC7380C"/>
    <w:rsid w:val="0F0D0BA3"/>
    <w:rsid w:val="0F656AA1"/>
    <w:rsid w:val="0F6F08EB"/>
    <w:rsid w:val="0F73174D"/>
    <w:rsid w:val="0FF934B7"/>
    <w:rsid w:val="0FFE0611"/>
    <w:rsid w:val="13CE3618"/>
    <w:rsid w:val="13EA214E"/>
    <w:rsid w:val="1444507F"/>
    <w:rsid w:val="156B3B06"/>
    <w:rsid w:val="15825FB7"/>
    <w:rsid w:val="162641DB"/>
    <w:rsid w:val="16E664A8"/>
    <w:rsid w:val="171E4694"/>
    <w:rsid w:val="17A577FB"/>
    <w:rsid w:val="18BD433B"/>
    <w:rsid w:val="1BD00B2C"/>
    <w:rsid w:val="1C9172AD"/>
    <w:rsid w:val="1C9B2F82"/>
    <w:rsid w:val="1D6F4D74"/>
    <w:rsid w:val="1E2B0F50"/>
    <w:rsid w:val="1F005EDB"/>
    <w:rsid w:val="20817A88"/>
    <w:rsid w:val="20AA5D86"/>
    <w:rsid w:val="20EE50D7"/>
    <w:rsid w:val="210D2037"/>
    <w:rsid w:val="21873B9D"/>
    <w:rsid w:val="22187924"/>
    <w:rsid w:val="2255792F"/>
    <w:rsid w:val="22593683"/>
    <w:rsid w:val="22BF7D81"/>
    <w:rsid w:val="22C323D3"/>
    <w:rsid w:val="22EC250A"/>
    <w:rsid w:val="24B943E9"/>
    <w:rsid w:val="24BE7EDE"/>
    <w:rsid w:val="25A045D5"/>
    <w:rsid w:val="25D20290"/>
    <w:rsid w:val="263E2098"/>
    <w:rsid w:val="26BB1EFF"/>
    <w:rsid w:val="26F86C22"/>
    <w:rsid w:val="279D1D98"/>
    <w:rsid w:val="280E72EC"/>
    <w:rsid w:val="28CC23F0"/>
    <w:rsid w:val="290F6381"/>
    <w:rsid w:val="2948051D"/>
    <w:rsid w:val="2A0D6723"/>
    <w:rsid w:val="2B8856B6"/>
    <w:rsid w:val="2CDB7444"/>
    <w:rsid w:val="2CE61A28"/>
    <w:rsid w:val="2D2835D4"/>
    <w:rsid w:val="2D2B1C56"/>
    <w:rsid w:val="2E5B64E3"/>
    <w:rsid w:val="2EB622DE"/>
    <w:rsid w:val="2EE16459"/>
    <w:rsid w:val="2EFB50CC"/>
    <w:rsid w:val="2FB1616F"/>
    <w:rsid w:val="30802FB0"/>
    <w:rsid w:val="30EF0061"/>
    <w:rsid w:val="320014CF"/>
    <w:rsid w:val="32044FA5"/>
    <w:rsid w:val="33040B99"/>
    <w:rsid w:val="34172ED3"/>
    <w:rsid w:val="34BD3586"/>
    <w:rsid w:val="34E54387"/>
    <w:rsid w:val="35C07FC5"/>
    <w:rsid w:val="390A5E84"/>
    <w:rsid w:val="39420B5A"/>
    <w:rsid w:val="3A89491E"/>
    <w:rsid w:val="3A9107B4"/>
    <w:rsid w:val="3C0E07ED"/>
    <w:rsid w:val="3C184E45"/>
    <w:rsid w:val="3C3B516E"/>
    <w:rsid w:val="3CB324DF"/>
    <w:rsid w:val="3D1706E8"/>
    <w:rsid w:val="3D8957FE"/>
    <w:rsid w:val="3E507B6C"/>
    <w:rsid w:val="3E5B1421"/>
    <w:rsid w:val="3F6E3FEB"/>
    <w:rsid w:val="408847A8"/>
    <w:rsid w:val="409340C3"/>
    <w:rsid w:val="410656C6"/>
    <w:rsid w:val="42222F9E"/>
    <w:rsid w:val="4223688C"/>
    <w:rsid w:val="423E39B5"/>
    <w:rsid w:val="4485290C"/>
    <w:rsid w:val="44A95078"/>
    <w:rsid w:val="44C84B44"/>
    <w:rsid w:val="458909A8"/>
    <w:rsid w:val="4659102D"/>
    <w:rsid w:val="47F123B9"/>
    <w:rsid w:val="48876202"/>
    <w:rsid w:val="498875C7"/>
    <w:rsid w:val="49A0146E"/>
    <w:rsid w:val="49AF69AB"/>
    <w:rsid w:val="4A093633"/>
    <w:rsid w:val="4AE23977"/>
    <w:rsid w:val="4BCD39B7"/>
    <w:rsid w:val="4D812C63"/>
    <w:rsid w:val="4DA35446"/>
    <w:rsid w:val="4E02784E"/>
    <w:rsid w:val="4F494BAD"/>
    <w:rsid w:val="507E0010"/>
    <w:rsid w:val="54090BA8"/>
    <w:rsid w:val="542E65A7"/>
    <w:rsid w:val="54B73901"/>
    <w:rsid w:val="553E089B"/>
    <w:rsid w:val="559E3AD5"/>
    <w:rsid w:val="55E62B26"/>
    <w:rsid w:val="562409DC"/>
    <w:rsid w:val="565A2C7B"/>
    <w:rsid w:val="583B4568"/>
    <w:rsid w:val="59154BBC"/>
    <w:rsid w:val="599E5680"/>
    <w:rsid w:val="5A476E05"/>
    <w:rsid w:val="5CE17812"/>
    <w:rsid w:val="5D4B11CF"/>
    <w:rsid w:val="5E3716FF"/>
    <w:rsid w:val="5EA17297"/>
    <w:rsid w:val="5EF73A49"/>
    <w:rsid w:val="5F007434"/>
    <w:rsid w:val="5F1A5DA0"/>
    <w:rsid w:val="60713BA5"/>
    <w:rsid w:val="607E0D7A"/>
    <w:rsid w:val="6098600B"/>
    <w:rsid w:val="612744A6"/>
    <w:rsid w:val="61900492"/>
    <w:rsid w:val="61FC5A36"/>
    <w:rsid w:val="623726DA"/>
    <w:rsid w:val="6319319A"/>
    <w:rsid w:val="63307BCA"/>
    <w:rsid w:val="642713E3"/>
    <w:rsid w:val="649460BE"/>
    <w:rsid w:val="64B901DC"/>
    <w:rsid w:val="64BB02E6"/>
    <w:rsid w:val="65877EA4"/>
    <w:rsid w:val="65BE625B"/>
    <w:rsid w:val="66B477B2"/>
    <w:rsid w:val="67AC493E"/>
    <w:rsid w:val="68AB2CED"/>
    <w:rsid w:val="68F10E46"/>
    <w:rsid w:val="6A38701A"/>
    <w:rsid w:val="6A7153B2"/>
    <w:rsid w:val="6B112D16"/>
    <w:rsid w:val="6C542996"/>
    <w:rsid w:val="6CB87C2E"/>
    <w:rsid w:val="6E12698C"/>
    <w:rsid w:val="6E97048A"/>
    <w:rsid w:val="6F914C6A"/>
    <w:rsid w:val="6F9E2C92"/>
    <w:rsid w:val="70636F31"/>
    <w:rsid w:val="70A04742"/>
    <w:rsid w:val="71014B0E"/>
    <w:rsid w:val="71430FB5"/>
    <w:rsid w:val="72773424"/>
    <w:rsid w:val="72D2687E"/>
    <w:rsid w:val="73DE418E"/>
    <w:rsid w:val="73DF6705"/>
    <w:rsid w:val="73E77D9A"/>
    <w:rsid w:val="75DE6F14"/>
    <w:rsid w:val="76A020B5"/>
    <w:rsid w:val="76C81262"/>
    <w:rsid w:val="7707184C"/>
    <w:rsid w:val="785A6448"/>
    <w:rsid w:val="78655832"/>
    <w:rsid w:val="79450781"/>
    <w:rsid w:val="79551CEE"/>
    <w:rsid w:val="7A981AEF"/>
    <w:rsid w:val="7AFA6D84"/>
    <w:rsid w:val="7B045E4A"/>
    <w:rsid w:val="7B5953BD"/>
    <w:rsid w:val="7BBA359C"/>
    <w:rsid w:val="7BC80C46"/>
    <w:rsid w:val="7BEB38F0"/>
    <w:rsid w:val="7D8C27C7"/>
    <w:rsid w:val="7EAD790E"/>
    <w:rsid w:val="7EB900E9"/>
    <w:rsid w:val="7F3B112F"/>
    <w:rsid w:val="7F4407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0"/>
    <w:pPr>
      <w:keepNext/>
      <w:keepLines/>
      <w:spacing w:before="20" w:after="2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1"/>
    <w:next w:val="1"/>
    <w:autoRedefine/>
    <w:unhideWhenUsed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 w:firstLineChars="200"/>
    </w:pPr>
  </w:style>
  <w:style w:type="paragraph" w:styleId="5">
    <w:name w:val="Body Text"/>
    <w:basedOn w:val="1"/>
    <w:link w:val="16"/>
    <w:autoRedefine/>
    <w:qFormat/>
    <w:uiPriority w:val="0"/>
    <w:rPr>
      <w:rFonts w:ascii="Times New Roman" w:hAnsi="Times New Roman" w:eastAsia="仿宋_GB2312" w:cs="Times New Roman"/>
      <w:sz w:val="32"/>
    </w:rPr>
  </w:style>
  <w:style w:type="paragraph" w:styleId="6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itle"/>
    <w:basedOn w:val="1"/>
    <w:next w:val="1"/>
    <w:link w:val="17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Body Text First Indent 2"/>
    <w:basedOn w:val="6"/>
    <w:next w:val="6"/>
    <w:autoRedefine/>
    <w:qFormat/>
    <w:uiPriority w:val="0"/>
    <w:pPr>
      <w:ind w:firstLine="420" w:firstLineChars="200"/>
    </w:pPr>
  </w:style>
  <w:style w:type="character" w:styleId="13">
    <w:name w:val="page number"/>
    <w:basedOn w:val="12"/>
    <w:autoRedefine/>
    <w:unhideWhenUsed/>
    <w:qFormat/>
    <w:uiPriority w:val="99"/>
  </w:style>
  <w:style w:type="paragraph" w:customStyle="1" w:styleId="14">
    <w:name w:val="Default"/>
    <w:autoRedefine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标题 2 Char"/>
    <w:basedOn w:val="12"/>
    <w:link w:val="2"/>
    <w:autoRedefine/>
    <w:qFormat/>
    <w:uiPriority w:val="0"/>
    <w:rPr>
      <w:rFonts w:ascii="Cambria" w:hAnsi="Cambria" w:eastAsiaTheme="minorEastAsia" w:cstheme="minorBidi"/>
      <w:b/>
      <w:bCs/>
      <w:kern w:val="2"/>
      <w:sz w:val="21"/>
      <w:szCs w:val="32"/>
    </w:rPr>
  </w:style>
  <w:style w:type="character" w:customStyle="1" w:styleId="16">
    <w:name w:val="正文文本 Char"/>
    <w:basedOn w:val="12"/>
    <w:link w:val="5"/>
    <w:autoRedefine/>
    <w:qFormat/>
    <w:uiPriority w:val="0"/>
    <w:rPr>
      <w:rFonts w:eastAsia="仿宋_GB2312"/>
      <w:kern w:val="2"/>
      <w:sz w:val="32"/>
      <w:szCs w:val="24"/>
    </w:rPr>
  </w:style>
  <w:style w:type="character" w:customStyle="1" w:styleId="17">
    <w:name w:val="标题 Char"/>
    <w:basedOn w:val="12"/>
    <w:link w:val="9"/>
    <w:autoRedefine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paragraph" w:customStyle="1" w:styleId="18">
    <w:name w:val="正文格式"/>
    <w:autoRedefine/>
    <w:qFormat/>
    <w:uiPriority w:val="0"/>
    <w:pPr>
      <w:spacing w:line="360" w:lineRule="auto"/>
      <w:ind w:firstLine="200" w:firstLineChars="200"/>
    </w:pPr>
    <w:rPr>
      <w:rFonts w:ascii="宋体" w:hAnsi="Times New Roman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48EF4E-2CCE-4B3C-A538-225051F275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1813</Words>
  <Characters>1999</Characters>
  <Lines>4</Lines>
  <Paragraphs>14</Paragraphs>
  <TotalTime>0</TotalTime>
  <ScaleCrop>false</ScaleCrop>
  <LinksUpToDate>false</LinksUpToDate>
  <CharactersWithSpaces>2091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2022-07-02T09:04:00Z</dcterms:created>
  <dc:creator>Administrator</dc:creator>
  <cp:lastModifiedBy>高升</cp:lastModifiedBy>
  <cp:lastPrinted>2024-06-14T08:12:00Z</cp:lastPrinted>
  <dcterms:modified xsi:type="dcterms:W3CDTF">2024-06-19T01:00:23Z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5D05525C1EE143258849C50FA57A677A_13</vt:lpwstr>
  </property>
</Properties>
</file>