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BABBC">
      <w:pPr>
        <w:widowControl/>
        <w:snapToGrid w:val="0"/>
        <w:spacing w:line="680" w:lineRule="exact"/>
        <w:jc w:val="center"/>
        <w:rPr>
          <w:rFonts w:hint="eastAsia" w:ascii="方正小标宋简体" w:hAnsi="Arial" w:eastAsia="方正小标宋简体" w:cs="Arial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Arial" w:eastAsia="方正小标宋简体" w:cs="Arial"/>
          <w:b w:val="0"/>
          <w:bCs w:val="0"/>
          <w:kern w:val="0"/>
          <w:sz w:val="44"/>
          <w:szCs w:val="44"/>
        </w:rPr>
        <w:t>昌乐县教育</w:t>
      </w:r>
      <w:r>
        <w:rPr>
          <w:rFonts w:hint="eastAsia" w:ascii="方正小标宋简体" w:hAnsi="Arial" w:eastAsia="方正小标宋简体" w:cs="Arial"/>
          <w:b w:val="0"/>
          <w:bCs w:val="0"/>
          <w:kern w:val="0"/>
          <w:sz w:val="44"/>
          <w:szCs w:val="44"/>
          <w:lang w:eastAsia="zh-CN"/>
        </w:rPr>
        <w:t>和体育</w:t>
      </w:r>
      <w:r>
        <w:rPr>
          <w:rFonts w:hint="eastAsia" w:ascii="方正小标宋简体" w:hAnsi="Arial" w:eastAsia="方正小标宋简体" w:cs="Arial"/>
          <w:b w:val="0"/>
          <w:bCs w:val="0"/>
          <w:kern w:val="0"/>
          <w:sz w:val="44"/>
          <w:szCs w:val="44"/>
        </w:rPr>
        <w:t>局</w:t>
      </w:r>
    </w:p>
    <w:p w14:paraId="168F3052">
      <w:pPr>
        <w:widowControl/>
        <w:snapToGrid w:val="0"/>
        <w:spacing w:line="680" w:lineRule="exact"/>
        <w:jc w:val="center"/>
        <w:rPr>
          <w:rFonts w:hint="eastAsia" w:ascii="方正小标宋简体" w:hAnsi="Arial" w:eastAsia="方正小标宋简体" w:cs="Arial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Arial" w:eastAsia="方正小标宋简体" w:cs="Arial"/>
          <w:b w:val="0"/>
          <w:bCs w:val="0"/>
          <w:kern w:val="0"/>
          <w:sz w:val="44"/>
          <w:szCs w:val="44"/>
        </w:rPr>
        <w:t>201</w:t>
      </w:r>
      <w:r>
        <w:rPr>
          <w:rFonts w:hint="default" w:ascii="方正小标宋简体" w:hAnsi="Arial" w:eastAsia="方正小标宋简体" w:cs="Arial"/>
          <w:b w:val="0"/>
          <w:bCs w:val="0"/>
          <w:kern w:val="0"/>
          <w:sz w:val="44"/>
          <w:szCs w:val="44"/>
          <w:lang w:val="en-US" w:eastAsia="zh-CN"/>
        </w:rPr>
        <w:t>9</w:t>
      </w:r>
      <w:r>
        <w:rPr>
          <w:rFonts w:hint="eastAsia" w:ascii="方正小标宋简体" w:hAnsi="Arial" w:eastAsia="方正小标宋简体" w:cs="Arial"/>
          <w:b w:val="0"/>
          <w:bCs w:val="0"/>
          <w:kern w:val="0"/>
          <w:sz w:val="44"/>
          <w:szCs w:val="44"/>
        </w:rPr>
        <w:t>年政府信息公开</w:t>
      </w:r>
      <w:r>
        <w:rPr>
          <w:rFonts w:hint="eastAsia" w:ascii="方正小标宋简体" w:hAnsi="Arial" w:eastAsia="方正小标宋简体" w:cs="Arial"/>
          <w:b w:val="0"/>
          <w:bCs w:val="0"/>
          <w:kern w:val="0"/>
          <w:sz w:val="44"/>
          <w:szCs w:val="44"/>
          <w:lang w:eastAsia="zh-CN"/>
        </w:rPr>
        <w:t>工作</w:t>
      </w:r>
      <w:r>
        <w:rPr>
          <w:rFonts w:hint="eastAsia" w:ascii="方正小标宋简体" w:hAnsi="Arial" w:eastAsia="方正小标宋简体" w:cs="Arial"/>
          <w:b w:val="0"/>
          <w:bCs w:val="0"/>
          <w:kern w:val="0"/>
          <w:sz w:val="44"/>
          <w:szCs w:val="44"/>
        </w:rPr>
        <w:t>年度报告</w:t>
      </w:r>
    </w:p>
    <w:p w14:paraId="0BBF2A9A">
      <w:pPr>
        <w:pStyle w:val="2"/>
        <w:widowControl/>
        <w:shd w:val="clear" w:color="auto" w:fill="FFFFFF"/>
        <w:spacing w:beforeAutospacing="0" w:afterAutospacing="0"/>
        <w:ind w:firstLine="420"/>
        <w:jc w:val="both"/>
        <w:rPr>
          <w:rFonts w:ascii="宋体" w:hAnsi="宋体" w:eastAsia="宋体" w:cs="宋体"/>
          <w:color w:val="333333"/>
        </w:rPr>
      </w:pPr>
    </w:p>
    <w:p w14:paraId="4A138AE5">
      <w:pPr>
        <w:pStyle w:val="2"/>
        <w:widowControl/>
        <w:shd w:val="clear" w:color="auto" w:fill="FFFFFF"/>
        <w:spacing w:beforeAutospacing="0" w:afterAutospacing="0"/>
        <w:ind w:firstLine="640"/>
        <w:jc w:val="both"/>
        <w:rPr>
          <w:rFonts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一、总体情况</w:t>
      </w:r>
    </w:p>
    <w:p w14:paraId="5BCEF266">
      <w:pPr>
        <w:pStyle w:val="2"/>
        <w:keepNext w:val="0"/>
        <w:keepLines w:val="0"/>
        <w:widowControl/>
        <w:suppressLineNumbers w:val="0"/>
        <w:shd w:val="clear" w:fill="FFFFFF"/>
        <w:wordWrap w:val="0"/>
        <w:autoSpaceDE w:val="0"/>
        <w:autoSpaceDN/>
        <w:spacing w:before="0" w:beforeAutospacing="0" w:after="0" w:afterAutospacing="0"/>
        <w:ind w:left="0" w:right="0" w:firstLine="641"/>
        <w:jc w:val="both"/>
      </w:pPr>
      <w:r>
        <w:rPr>
          <w:rFonts w:hint="eastAsia" w:ascii="Arial" w:hAnsi="Arial" w:eastAsia="仿宋_GB2312" w:cs="Arial"/>
          <w:b w:val="0"/>
          <w:bCs/>
          <w:color w:val="000000"/>
          <w:kern w:val="0"/>
          <w:sz w:val="32"/>
          <w:szCs w:val="32"/>
          <w:lang w:eastAsia="zh-CN"/>
        </w:rPr>
        <w:t>昌乐县教育和体育局</w:t>
      </w:r>
      <w:r>
        <w:rPr>
          <w:rFonts w:ascii="Arial" w:hAnsi="Arial" w:eastAsia="仿宋_GB2312" w:cs="Arial"/>
          <w:b w:val="0"/>
          <w:bCs/>
          <w:color w:val="000000"/>
          <w:kern w:val="0"/>
          <w:sz w:val="32"/>
          <w:szCs w:val="32"/>
        </w:rPr>
        <w:t>按照</w:t>
      </w:r>
      <w:r>
        <w:rPr>
          <w:rFonts w:hint="eastAsia" w:ascii="Arial" w:hAnsi="Arial" w:eastAsia="仿宋_GB2312" w:cs="Arial"/>
          <w:b w:val="0"/>
          <w:bCs/>
          <w:color w:val="000000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国务院办公厅关于印发201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年政务公开工作要点的通知</w:t>
      </w:r>
      <w:r>
        <w:rPr>
          <w:rFonts w:hint="eastAsia" w:ascii="Arial" w:hAnsi="Arial" w:eastAsia="仿宋_GB2312" w:cs="Arial"/>
          <w:b w:val="0"/>
          <w:bCs/>
          <w:color w:val="000000"/>
          <w:kern w:val="0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（国办发〔201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4号）、省政府办公厅《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关于印发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2019年山东省政务公开工作要点的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通知》(鲁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政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办发〔201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号)、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《潍坊市人民政府办公室关于印发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2019年政务公开重点工作任务分工的通知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》（潍政办字〔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2019〕77号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）、</w:t>
      </w:r>
      <w:r>
        <w:rPr>
          <w:rFonts w:hint="eastAsia" w:ascii="Arial" w:hAnsi="Arial" w:eastAsia="仿宋_GB2312" w:cs="Arial"/>
          <w:b w:val="0"/>
          <w:bCs/>
          <w:color w:val="000000"/>
          <w:kern w:val="0"/>
          <w:sz w:val="32"/>
          <w:szCs w:val="32"/>
        </w:rPr>
        <w:t>教育部办公厅《关于印发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&lt;</w:t>
      </w:r>
      <w:r>
        <w:rPr>
          <w:rFonts w:hint="eastAsia" w:ascii="Arial" w:hAnsi="Arial" w:eastAsia="仿宋_GB2312" w:cs="Arial"/>
          <w:b w:val="0"/>
          <w:bCs/>
          <w:color w:val="000000"/>
          <w:kern w:val="0"/>
          <w:sz w:val="32"/>
          <w:szCs w:val="32"/>
        </w:rPr>
        <w:t>教育部贯彻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落实国务院办公厅201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年政务公开工作要点实施方案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的通知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（教办厅函〔201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/>
        </w:rPr>
        <w:t>8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〕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/>
        </w:rPr>
        <w:t>51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号）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、县府办《关于印发昌乐县2019年政务公开重点工作任务分工的通知》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2019年度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围绕</w:t>
      </w:r>
      <w:r>
        <w:rPr>
          <w:rFonts w:ascii="Arial" w:hAnsi="Arial" w:eastAsia="仿宋_GB2312" w:cs="Arial"/>
          <w:b w:val="0"/>
          <w:bCs/>
          <w:color w:val="000000"/>
          <w:kern w:val="0"/>
          <w:sz w:val="32"/>
          <w:szCs w:val="32"/>
        </w:rPr>
        <w:t>政府信息公开工作要点</w:t>
      </w:r>
      <w:r>
        <w:rPr>
          <w:rFonts w:hint="eastAsia" w:ascii="Arial" w:hAnsi="Arial" w:eastAsia="仿宋_GB2312" w:cs="Arial"/>
          <w:b w:val="0"/>
          <w:bCs/>
          <w:color w:val="000000"/>
          <w:kern w:val="0"/>
          <w:sz w:val="32"/>
          <w:szCs w:val="32"/>
        </w:rPr>
        <w:t>和重点领域信息公开</w:t>
      </w:r>
      <w:r>
        <w:rPr>
          <w:rFonts w:ascii="Arial" w:hAnsi="Arial" w:eastAsia="仿宋_GB2312" w:cs="Arial"/>
          <w:b w:val="0"/>
          <w:bCs/>
          <w:color w:val="000000"/>
          <w:kern w:val="0"/>
          <w:sz w:val="32"/>
          <w:szCs w:val="32"/>
        </w:rPr>
        <w:t>，不断强化公开保障，拓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宽公开渠道，依法规范操作，推动政府信息公开工作进一步规范化、制度化。本报告所列数据统计期限为2019年1月1日至2019年12月31日。本报告电子版可在中国·昌乐门户网站（</w:t>
      </w:r>
      <w:r>
        <w:rPr>
          <w:rFonts w:ascii="仿宋_GB2312" w:hAnsi="宋体" w:eastAsia="仿宋_GB2312" w:cs="仿宋_GB2312"/>
          <w:b w:val="0"/>
          <w:color w:val="333333"/>
          <w:kern w:val="0"/>
          <w:sz w:val="32"/>
          <w:szCs w:val="32"/>
          <w:shd w:val="clear" w:fill="FFFFFF"/>
          <w:lang w:val="en-US" w:eastAsia="zh-CN" w:bidi="ar"/>
        </w:rPr>
        <w:t>http://xxgk.changle.gov.cn</w:t>
      </w:r>
    </w:p>
    <w:p w14:paraId="64575BA8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）查阅。如对本报告有疑问，请与昌乐县教育和体育局办公室联系，地址：昌乐县一中街1号城关商务社区1号楼，邮编：262400，电话：0536-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6221975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，电子邮箱：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instrText xml:space="preserve"> HYPERLINK "mailto:clxxgk@163.com" </w:instrTex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cl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jyjwj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@wf.shandong.cn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 w14:paraId="6FEB2DE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/>
        </w:rPr>
        <w:t>（一）主动公开情况</w:t>
      </w:r>
    </w:p>
    <w:p w14:paraId="3D00981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ascii="Arial" w:hAnsi="Arial" w:eastAsia="仿宋_GB2312" w:cs="Arial"/>
          <w:b w:val="0"/>
          <w:bCs/>
          <w:color w:val="auto"/>
          <w:kern w:val="0"/>
          <w:sz w:val="32"/>
          <w:szCs w:val="32"/>
        </w:rPr>
      </w:pPr>
      <w:r>
        <w:rPr>
          <w:rFonts w:ascii="Arial" w:hAnsi="Arial" w:eastAsia="仿宋_GB2312" w:cs="Arial"/>
          <w:b w:val="0"/>
          <w:bCs/>
          <w:kern w:val="0"/>
          <w:sz w:val="32"/>
          <w:szCs w:val="32"/>
        </w:rPr>
        <w:t>规范程序，丰富内容。严格遵循依法公开、真实公正、注重实效、有利监督四个原则，做到规范程序、主动公开、保证时效，并通过多种形式实现信息公开。除按规定在</w:t>
      </w:r>
      <w:r>
        <w:rPr>
          <w:rFonts w:hint="eastAsia" w:ascii="Arial" w:hAnsi="Arial" w:eastAsia="仿宋_GB2312" w:cs="Arial"/>
          <w:b w:val="0"/>
          <w:bCs/>
          <w:kern w:val="0"/>
          <w:sz w:val="32"/>
          <w:szCs w:val="32"/>
          <w:lang w:eastAsia="zh-CN"/>
        </w:rPr>
        <w:t>“中国昌乐”门户网站公开外</w:t>
      </w:r>
      <w:r>
        <w:rPr>
          <w:rFonts w:ascii="Arial" w:hAnsi="Arial" w:eastAsia="仿宋_GB2312" w:cs="Arial"/>
          <w:b w:val="0"/>
          <w:bCs/>
          <w:kern w:val="0"/>
          <w:sz w:val="32"/>
          <w:szCs w:val="32"/>
        </w:rPr>
        <w:t>，</w:t>
      </w:r>
      <w:r>
        <w:rPr>
          <w:rFonts w:hint="eastAsia" w:ascii="Arial" w:hAnsi="Arial" w:eastAsia="仿宋_GB2312" w:cs="Arial"/>
          <w:b w:val="0"/>
          <w:bCs/>
          <w:kern w:val="0"/>
          <w:sz w:val="32"/>
          <w:szCs w:val="32"/>
          <w:lang w:eastAsia="zh-CN"/>
        </w:rPr>
        <w:t>充分利用</w:t>
      </w:r>
      <w:r>
        <w:rPr>
          <w:rFonts w:hint="eastAsia" w:ascii="Arial" w:hAnsi="Arial" w:eastAsia="仿宋_GB2312" w:cs="Arial"/>
          <w:b w:val="0"/>
          <w:bCs/>
          <w:kern w:val="0"/>
          <w:sz w:val="32"/>
          <w:szCs w:val="32"/>
        </w:rPr>
        <w:t>报纸、电视台等</w:t>
      </w:r>
      <w:r>
        <w:rPr>
          <w:rFonts w:hint="eastAsia" w:ascii="Arial" w:hAnsi="Arial" w:eastAsia="仿宋_GB2312" w:cs="Arial"/>
          <w:b w:val="0"/>
          <w:bCs/>
          <w:kern w:val="0"/>
          <w:sz w:val="32"/>
          <w:szCs w:val="32"/>
          <w:lang w:eastAsia="zh-CN"/>
        </w:rPr>
        <w:t>传统</w:t>
      </w:r>
      <w:r>
        <w:rPr>
          <w:rFonts w:ascii="Arial" w:hAnsi="Arial" w:eastAsia="仿宋_GB2312" w:cs="Arial"/>
          <w:b w:val="0"/>
          <w:bCs/>
          <w:kern w:val="0"/>
          <w:sz w:val="32"/>
          <w:szCs w:val="32"/>
        </w:rPr>
        <w:t>媒体</w:t>
      </w:r>
      <w:r>
        <w:rPr>
          <w:rFonts w:hint="eastAsia" w:ascii="Arial" w:hAnsi="Arial" w:eastAsia="仿宋_GB2312" w:cs="Arial"/>
          <w:b w:val="0"/>
          <w:bCs/>
          <w:kern w:val="0"/>
          <w:sz w:val="32"/>
          <w:szCs w:val="32"/>
          <w:lang w:eastAsia="zh-CN"/>
        </w:rPr>
        <w:t>和微信公众号等新媒体，</w:t>
      </w:r>
      <w:r>
        <w:rPr>
          <w:rFonts w:ascii="Arial" w:hAnsi="Arial" w:eastAsia="仿宋_GB2312" w:cs="Arial"/>
          <w:b w:val="0"/>
          <w:bCs/>
          <w:kern w:val="0"/>
          <w:sz w:val="32"/>
          <w:szCs w:val="32"/>
        </w:rPr>
        <w:t>保证有价值的信息能及时向社会大众公开。</w:t>
      </w:r>
    </w:p>
    <w:p w14:paraId="251836B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atLeast"/>
        <w:ind w:left="0" w:right="0" w:firstLine="643"/>
        <w:jc w:val="left"/>
        <w:rPr>
          <w:rFonts w:ascii="Arial" w:hAnsi="Arial" w:eastAsia="仿宋_GB2312" w:cs="Arial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val="en-US" w:eastAsia="zh-CN" w:bidi="ar"/>
        </w:rPr>
        <w:t>决策公开方面。</w:t>
      </w:r>
      <w:r>
        <w:rPr>
          <w:rFonts w:ascii="Arial" w:hAnsi="Arial" w:eastAsia="仿宋_GB2312" w:cs="Arial"/>
          <w:b w:val="0"/>
          <w:bCs/>
          <w:color w:val="auto"/>
          <w:kern w:val="0"/>
          <w:sz w:val="32"/>
          <w:szCs w:val="32"/>
        </w:rPr>
        <w:t>制定了《昌乐县教育</w:t>
      </w:r>
      <w:r>
        <w:rPr>
          <w:rFonts w:hint="eastAsia" w:ascii="Arial" w:hAnsi="Arial" w:eastAsia="仿宋_GB2312" w:cs="Arial"/>
          <w:b w:val="0"/>
          <w:bCs/>
          <w:color w:val="auto"/>
          <w:kern w:val="0"/>
          <w:sz w:val="32"/>
          <w:szCs w:val="32"/>
          <w:lang w:eastAsia="zh-CN"/>
        </w:rPr>
        <w:t>和体育</w:t>
      </w:r>
      <w:r>
        <w:rPr>
          <w:rFonts w:ascii="Arial" w:hAnsi="Arial" w:eastAsia="仿宋_GB2312" w:cs="Arial"/>
          <w:b w:val="0"/>
          <w:bCs/>
          <w:color w:val="auto"/>
          <w:kern w:val="0"/>
          <w:sz w:val="32"/>
          <w:szCs w:val="32"/>
        </w:rPr>
        <w:t>局政府信息公开制度》</w:t>
      </w:r>
      <w:r>
        <w:rPr>
          <w:rFonts w:hint="eastAsia" w:ascii="Arial" w:hAnsi="Arial" w:eastAsia="仿宋_GB2312" w:cs="Arial"/>
          <w:b w:val="0"/>
          <w:bCs/>
          <w:color w:val="auto"/>
          <w:kern w:val="0"/>
          <w:sz w:val="32"/>
          <w:szCs w:val="32"/>
        </w:rPr>
        <w:t>、</w:t>
      </w:r>
      <w:r>
        <w:rPr>
          <w:rFonts w:ascii="Arial" w:hAnsi="Arial" w:eastAsia="仿宋_GB2312" w:cs="Arial"/>
          <w:b w:val="0"/>
          <w:bCs/>
          <w:color w:val="auto"/>
          <w:kern w:val="0"/>
          <w:sz w:val="32"/>
          <w:szCs w:val="32"/>
        </w:rPr>
        <w:t>《昌乐县教育</w:t>
      </w:r>
      <w:r>
        <w:rPr>
          <w:rFonts w:hint="eastAsia" w:ascii="Arial" w:hAnsi="Arial" w:eastAsia="仿宋_GB2312" w:cs="Arial"/>
          <w:b w:val="0"/>
          <w:bCs/>
          <w:color w:val="auto"/>
          <w:kern w:val="0"/>
          <w:sz w:val="32"/>
          <w:szCs w:val="32"/>
          <w:lang w:eastAsia="zh-CN"/>
        </w:rPr>
        <w:t>和体育</w:t>
      </w:r>
      <w:r>
        <w:rPr>
          <w:rFonts w:ascii="Arial" w:hAnsi="Arial" w:eastAsia="仿宋_GB2312" w:cs="Arial"/>
          <w:b w:val="0"/>
          <w:bCs/>
          <w:color w:val="auto"/>
          <w:kern w:val="0"/>
          <w:sz w:val="32"/>
          <w:szCs w:val="32"/>
        </w:rPr>
        <w:t>局政府信息公开保密审查制度》、《昌乐县教育</w:t>
      </w:r>
      <w:r>
        <w:rPr>
          <w:rFonts w:hint="eastAsia" w:ascii="Arial" w:hAnsi="Arial" w:eastAsia="仿宋_GB2312" w:cs="Arial"/>
          <w:b w:val="0"/>
          <w:bCs/>
          <w:color w:val="auto"/>
          <w:kern w:val="0"/>
          <w:sz w:val="32"/>
          <w:szCs w:val="32"/>
          <w:lang w:eastAsia="zh-CN"/>
        </w:rPr>
        <w:t>和体育</w:t>
      </w:r>
      <w:r>
        <w:rPr>
          <w:rFonts w:ascii="Arial" w:hAnsi="Arial" w:eastAsia="仿宋_GB2312" w:cs="Arial"/>
          <w:b w:val="0"/>
          <w:bCs/>
          <w:color w:val="auto"/>
          <w:kern w:val="0"/>
          <w:sz w:val="32"/>
          <w:szCs w:val="32"/>
        </w:rPr>
        <w:t>局互联网门户网站信息公开保密审查制度》等一系列制度，完善信息发布过程化管理，规范信息公开的审核、发布程序，使公文进入审签程序时就明确该公文信息可否公开，实现政府信息发布、依申请公开受理、政府信息咨询等工作的一体化管理。</w:t>
      </w:r>
    </w:p>
    <w:p w14:paraId="11BFF3E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val="en-US" w:eastAsia="zh-CN" w:bidi="ar"/>
        </w:rPr>
        <w:t>管理和服务公开方面。</w:t>
      </w:r>
      <w:r>
        <w:rPr>
          <w:rFonts w:hint="eastAsia" w:ascii="仿宋_GB2312" w:hAnsi="Arial" w:eastAsia="仿宋_GB2312" w:cs="Arial"/>
          <w:b w:val="0"/>
          <w:bCs/>
          <w:color w:val="auto"/>
          <w:kern w:val="0"/>
          <w:sz w:val="32"/>
          <w:szCs w:val="32"/>
          <w:lang w:val="en-US" w:eastAsia="zh-CN"/>
        </w:rPr>
        <w:t>结合政府机构改革和职能优化，及时更新政府部门权责清单。</w:t>
      </w:r>
      <w:r>
        <w:rPr>
          <w:rFonts w:hint="eastAsia" w:ascii="仿宋_GB2312" w:hAnsi="Arial" w:eastAsia="仿宋_GB2312" w:cs="Arial"/>
          <w:b w:val="0"/>
          <w:bCs/>
          <w:color w:val="auto"/>
          <w:kern w:val="0"/>
          <w:sz w:val="32"/>
          <w:szCs w:val="32"/>
        </w:rPr>
        <w:t>县</w:t>
      </w:r>
      <w:r>
        <w:rPr>
          <w:rFonts w:hint="eastAsia" w:ascii="仿宋_GB2312" w:hAnsi="Arial" w:eastAsia="仿宋_GB2312" w:cs="Arial"/>
          <w:b w:val="0"/>
          <w:bCs/>
          <w:color w:val="auto"/>
          <w:kern w:val="0"/>
          <w:sz w:val="32"/>
          <w:szCs w:val="32"/>
          <w:lang w:eastAsia="zh-CN"/>
        </w:rPr>
        <w:t>教育和体育局</w:t>
      </w:r>
      <w:r>
        <w:rPr>
          <w:rFonts w:hint="eastAsia" w:ascii="仿宋_GB2312" w:hAnsi="Arial" w:eastAsia="仿宋_GB2312" w:cs="Arial"/>
          <w:b w:val="0"/>
          <w:bCs/>
          <w:color w:val="auto"/>
          <w:kern w:val="0"/>
          <w:sz w:val="32"/>
          <w:szCs w:val="32"/>
        </w:rPr>
        <w:t>在“中国·昌乐”政府网站信息公开专栏</w:t>
      </w:r>
      <w:r>
        <w:rPr>
          <w:rFonts w:hint="eastAsia" w:ascii="仿宋_GB2312" w:hAnsi="Arial" w:eastAsia="仿宋_GB2312" w:cs="Arial"/>
          <w:b w:val="0"/>
          <w:bCs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Arial" w:eastAsia="仿宋_GB2312" w:cs="Arial"/>
          <w:b w:val="0"/>
          <w:bCs/>
          <w:color w:val="auto"/>
          <w:kern w:val="0"/>
          <w:sz w:val="32"/>
          <w:szCs w:val="32"/>
        </w:rPr>
        <w:t>“中国·昌乐”网站</w:t>
      </w:r>
      <w:r>
        <w:rPr>
          <w:rFonts w:hint="eastAsia" w:ascii="仿宋_GB2312" w:hAnsi="Arial" w:eastAsia="仿宋_GB2312" w:cs="Arial"/>
          <w:b w:val="0"/>
          <w:bCs/>
          <w:color w:val="auto"/>
          <w:kern w:val="0"/>
          <w:sz w:val="32"/>
          <w:szCs w:val="32"/>
          <w:lang w:eastAsia="zh-CN"/>
        </w:rPr>
        <w:t>“教育和体育局”专栏、</w:t>
      </w:r>
      <w:r>
        <w:rPr>
          <w:rFonts w:hint="eastAsia" w:ascii="仿宋_GB2312" w:hAnsi="Arial" w:eastAsia="仿宋_GB2312" w:cs="Arial"/>
          <w:b w:val="0"/>
          <w:bCs/>
          <w:color w:val="auto"/>
          <w:kern w:val="0"/>
          <w:sz w:val="32"/>
          <w:szCs w:val="32"/>
        </w:rPr>
        <w:t>“昌乐政务服务中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</w:rPr>
        <w:t>心网站”等集中公开了为学校、学生、教师、公民、法人服务的政府信息。如：社会办学、招标采购、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  <w:lang w:eastAsia="zh-CN"/>
        </w:rPr>
        <w:t>学校建设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</w:rPr>
        <w:t>、投诉建议；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  <w:lang w:eastAsia="zh-CN"/>
        </w:rPr>
        <w:t>划片招生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</w:rPr>
        <w:t>、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  <w:lang w:eastAsia="zh-CN"/>
        </w:rPr>
        <w:t>考试政策、学生资助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</w:rPr>
        <w:t>、规范办学；教师资格、师德考评、校车管理等政策依据、操作办法等。</w:t>
      </w:r>
    </w:p>
    <w:p w14:paraId="41D29EE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240" w:lineRule="auto"/>
        <w:ind w:left="0" w:leftChars="0" w:right="-92" w:rightChars="-44" w:firstLine="0" w:firstLineChars="0"/>
        <w:textAlignment w:val="auto"/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  <w:lang w:eastAsia="zh-CN"/>
        </w:rPr>
        <w:drawing>
          <wp:inline distT="0" distB="0" distL="114300" distR="114300">
            <wp:extent cx="5200015" cy="2277110"/>
            <wp:effectExtent l="0" t="0" r="635" b="8890"/>
            <wp:docPr id="2" name="图片 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F5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2405" cy="3490595"/>
            <wp:effectExtent l="0" t="0" r="4445" b="14605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9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A5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eastAsiaTheme="minorEastAsia"/>
          <w:b w:val="0"/>
          <w:bCs w:val="0"/>
          <w:color w:val="0000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val="en-US" w:eastAsia="zh-CN" w:bidi="ar"/>
        </w:rPr>
        <w:t>执行和结果公开方面。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</w:rPr>
        <w:t>局办公室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  <w:lang w:eastAsia="zh-CN"/>
        </w:rPr>
        <w:t>专人负责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</w:rPr>
        <w:t>每日至少打开网站中事件管理页面6～8次，及时接收群众的电子邮件和依申请事项，并在3个工作日内予以回复；每日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  <w:lang w:val="en-US" w:eastAsia="zh-CN"/>
        </w:rPr>
        <w:t>登录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</w:rPr>
        <w:t>昌乐民声网、潍坊市政务服务热线后台，及时签收处理群众的咨询、投诉信息，并在规定时限内及时答复，咨询类信息3个工作日，投诉类、建议类、反馈类信息5个工作日。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  <w:lang w:val="en-US" w:eastAsia="zh-CN"/>
        </w:rPr>
        <w:t>积极推进建议提案办理结果公开，及时发布全县人大代表建议和政协委员提案办理情况。2019年由县教育和体育局牵头承办的人大代表建议共9件；牵头办理的政协提案共2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3件，协办6件。主要涉及：幼儿园配套建设、学前教育普惠性发展、学生安全、民办教育规范发展、青少年健康教育、课业负担、学校特色化发展，校外辅导机构治理、新教师招考及教师队伍管理、学生多元课程设置等10个方面。在代表建议委员提案续复续办过</w:t>
      </w:r>
      <w:r>
        <w:rPr>
          <w:rFonts w:hint="eastAsia" w:ascii="仿宋_GB2312" w:hAnsi="宋体" w:eastAsia="仿宋_GB2312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程中，及时将未办结事项进展情况通报沟通，针对代表委员关注的热点问题加大督办力度，做好沟通解释，并将办理情况主动公开。2019年，共公开代表建议委员提案办理结果及答复意见共47件。</w:t>
      </w:r>
      <w:r>
        <w:rPr>
          <w:b w:val="0"/>
          <w:bCs w:val="0"/>
          <w:color w:val="0000FF"/>
        </w:rPr>
        <w:drawing>
          <wp:inline distT="0" distB="0" distL="114300" distR="114300">
            <wp:extent cx="5266690" cy="935990"/>
            <wp:effectExtent l="0" t="0" r="10160" b="16510"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 w:val="0"/>
          <w:bCs w:val="0"/>
          <w:color w:val="0000FF"/>
          <w:lang w:eastAsia="zh-CN"/>
        </w:rPr>
        <w:drawing>
          <wp:inline distT="0" distB="0" distL="114300" distR="114300">
            <wp:extent cx="5273040" cy="1217930"/>
            <wp:effectExtent l="0" t="0" r="3810" b="1270"/>
            <wp:docPr id="7" name="图片 7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26B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atLeast"/>
        <w:ind w:left="0" w:right="0" w:firstLine="643"/>
        <w:jc w:val="left"/>
        <w:rPr>
          <w:color w:val="0000FF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重点领域公开方面。</w:t>
      </w:r>
      <w:r>
        <w:rPr>
          <w:rFonts w:hint="eastAsia" w:ascii="仿宋_GB2312" w:hAnsi="宋体" w:eastAsia="仿宋_GB2312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2019年，县教育和体育局指导所辖中小学及时公开信息，积极为中小学开展信息公开工作创造条件。通过集中学习、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远程教学、交流研讨等多种形式，分层次开展中小学信息公开业务培训。各中小学建立健全校长直接领导、专人或机构具体承担、师生员工、学生家长和社会公众参与监督的信息公开工作机制，健全学校校务公开制度，全面推行办事公开。</w:t>
      </w:r>
    </w:p>
    <w:p w14:paraId="7CE2A4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atLeast"/>
        <w:ind w:left="0" w:right="0" w:firstLine="643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1.财政信息公开。及时在县政府门户网站的财政预决算专栏公开预决算及“三公”经费预决算信息，提升预算执行和财政收支工作情况的透明度。</w:t>
      </w:r>
    </w:p>
    <w:p w14:paraId="6CA805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atLeast"/>
        <w:ind w:left="0" w:right="0" w:firstLine="643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2.行政执法公示。根据政务公开工作要点要求，在行政执法公示栏目，公开了《昌乐县教育和体育局重大行政执法决定法制审核目录清单 》《昌乐县教育和体育局行政执法全过程记录实施意见 昌乐县教育和体育局行政执法服务指南》《昌乐县教育和体育局行政执法监督和投诉渠道》《县教育和体育局行政执法职责 》《昌乐县教育和体育局行政执法主体信息 》等事前公开信息，公示内容、统计年报等事后公开信息。2019年，公开行政执法公示信息8条。</w:t>
      </w:r>
    </w:p>
    <w:p w14:paraId="415DBC4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atLeast"/>
        <w:ind w:left="0" w:right="0" w:firstLine="643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3.社会公益事业建设领域信息公开。在县政府门户网站做好学前教育和义务教育方面的信息公开，公开县域幼儿园布局建设规划、普惠性民办幼儿园名单、幼儿园办园评估结果和义务教育学校名录、招生方案、招生结果等方面的信息。2019年，共发布各类社会公益事业建设领域信息470余条。</w:t>
      </w:r>
    </w:p>
    <w:p w14:paraId="1AB870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atLeast"/>
        <w:ind w:left="0" w:right="0" w:firstLine="643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4.公共企事业单位（教育领域）信息公开方面。围绕群众关心关切，健全公共企事业单位（教育领域中小学）信息公开工作机制，及时更新调整昌乐县中小学相关信息，主要围绕学校招生管理、财务信息、经费管理、教学科研四个方面，及时向社会公开学校相关信息。2019年，共公开相关信息171条。</w:t>
      </w:r>
    </w:p>
    <w:p w14:paraId="50E1204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atLeast"/>
        <w:ind w:left="0" w:right="0" w:firstLine="643"/>
        <w:jc w:val="left"/>
        <w:rPr>
          <w:b w:val="0"/>
          <w:bCs/>
          <w:color w:val="auto"/>
        </w:rPr>
      </w:pPr>
      <w:r>
        <w:rPr>
          <w:rFonts w:hint="eastAsia" w:ascii="楷体_GB2312" w:hAnsi="宋体" w:eastAsia="楷体_GB2312" w:cs="楷体_GB2312"/>
          <w:b w:val="0"/>
          <w:bCs/>
          <w:color w:val="auto"/>
          <w:kern w:val="0"/>
          <w:sz w:val="32"/>
          <w:szCs w:val="32"/>
          <w:lang w:val="en-US" w:eastAsia="zh-CN" w:bidi="ar"/>
        </w:rPr>
        <w:t>（二）依申请公开情况</w:t>
      </w:r>
    </w:p>
    <w:p w14:paraId="6A2F63D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exact"/>
        <w:ind w:left="0" w:leftChars="0" w:right="0" w:rightChars="0" w:firstLine="640" w:firstLineChars="200"/>
        <w:jc w:val="left"/>
        <w:rPr>
          <w:b w:val="0"/>
          <w:bCs/>
          <w:color w:val="auto"/>
        </w:rPr>
      </w:pPr>
      <w:r>
        <w:rPr>
          <w:rFonts w:hint="eastAsia" w:ascii="仿宋_GB2312" w:hAnsi="宋体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畅通依申请公开受理渠道，完善依申请公开相关信息，进一步明确依申请公开途径、流程等，根据依申请公开工作规范，明确接收、登记、办理、调查、答复等各环节标准和责任分工，在法定时限内严格按照要求进行答复。2019年，共受理政府信息公开申请3件，其中，书面申请0件，网上申请3件，均已按照申请人要求，依照政府信息公开程序，依法予以答复。</w:t>
      </w:r>
    </w:p>
    <w:p w14:paraId="3D1A56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atLeast"/>
        <w:ind w:left="0" w:right="0" w:firstLine="643"/>
        <w:jc w:val="left"/>
        <w:rPr>
          <w:b w:val="0"/>
          <w:bCs/>
          <w:color w:val="auto"/>
        </w:rPr>
      </w:pPr>
      <w:r>
        <w:rPr>
          <w:rFonts w:hint="eastAsia" w:ascii="楷体_GB2312" w:hAnsi="宋体" w:eastAsia="楷体_GB2312" w:cs="楷体_GB2312"/>
          <w:b w:val="0"/>
          <w:bCs/>
          <w:color w:val="auto"/>
          <w:kern w:val="0"/>
          <w:sz w:val="32"/>
          <w:szCs w:val="32"/>
          <w:lang w:val="en-US" w:eastAsia="zh-CN" w:bidi="ar"/>
        </w:rPr>
        <w:t>（三）政府信息管理情况</w:t>
      </w:r>
    </w:p>
    <w:p w14:paraId="6C4BAB70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exact"/>
        <w:ind w:left="0" w:leftChars="0" w:right="0" w:rightChars="0" w:firstLine="640" w:firstLineChars="200"/>
        <w:jc w:val="left"/>
        <w:rPr>
          <w:b w:val="0"/>
          <w:bCs/>
          <w:color w:val="auto"/>
        </w:rPr>
      </w:pPr>
      <w:r>
        <w:rPr>
          <w:rFonts w:hint="eastAsia" w:ascii="仿宋_GB2312" w:hAnsi="宋体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一是加强保密审查。严格落实“涉密信息不公开、公开信息不涉密”要求，全面加强保密审查工作，确保审查工作有领导分管、有部门负责、有专人实施。每年至少组织2次以上专项检查，确保信息发布合法合规。</w:t>
      </w:r>
    </w:p>
    <w:p w14:paraId="56C7242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二是严格单位文件管理制度。</w:t>
      </w:r>
      <w:r>
        <w:rPr>
          <w:rFonts w:hint="eastAsia" w:ascii="仿宋_GB2312" w:hAnsi="Arial" w:eastAsia="仿宋_GB2312" w:cs="Arial"/>
          <w:b w:val="0"/>
          <w:bCs/>
          <w:color w:val="auto"/>
          <w:sz w:val="32"/>
          <w:szCs w:val="32"/>
        </w:rPr>
        <w:t>单位</w:t>
      </w:r>
      <w:r>
        <w:rPr>
          <w:rFonts w:hint="eastAsia" w:ascii="仿宋_GB2312" w:hAnsi="文星仿宋" w:eastAsia="仿宋_GB2312" w:cs="Arial"/>
          <w:b w:val="0"/>
          <w:bCs/>
          <w:color w:val="auto"/>
          <w:sz w:val="32"/>
          <w:szCs w:val="32"/>
        </w:rPr>
        <w:t>文</w:t>
      </w:r>
      <w:r>
        <w:rPr>
          <w:rFonts w:hint="eastAsia" w:ascii="仿宋_GB2312" w:hAnsi="文星仿宋" w:eastAsia="仿宋_GB2312" w:cs="Arial"/>
          <w:b w:val="0"/>
          <w:bCs/>
          <w:sz w:val="32"/>
          <w:szCs w:val="32"/>
        </w:rPr>
        <w:t>件信息在起草拟稿、印发发布、阅读传达、签收保管、清退销毁等环节的管理均严格按照规定程序办理。严格落实拟制公文时明确主动公开、依申请公开、不予公开等属性</w:t>
      </w:r>
      <w:r>
        <w:rPr>
          <w:rFonts w:hint="eastAsia" w:ascii="仿宋_GB2312" w:hAnsi="文星仿宋" w:eastAsia="仿宋_GB2312" w:cs="Arial"/>
          <w:b w:val="0"/>
          <w:bCs/>
          <w:sz w:val="32"/>
          <w:szCs w:val="32"/>
          <w:lang w:eastAsia="zh-CN"/>
        </w:rPr>
        <w:t>，同时</w:t>
      </w:r>
      <w:r>
        <w:rPr>
          <w:rFonts w:hint="eastAsia" w:ascii="仿宋_GB2312" w:hAnsi="文星仿宋" w:eastAsia="仿宋_GB2312" w:cs="Arial"/>
          <w:b w:val="0"/>
          <w:bCs/>
          <w:sz w:val="32"/>
          <w:szCs w:val="32"/>
        </w:rPr>
        <w:t>根据工作需要确定知悉范围并做好登记。要求机关全体人员必须严格执行</w:t>
      </w:r>
      <w:r>
        <w:rPr>
          <w:rFonts w:hint="eastAsia" w:ascii="仿宋_GB2312" w:hAnsi="文星仿宋" w:eastAsia="仿宋_GB2312" w:cs="Arial"/>
          <w:b w:val="0"/>
          <w:bCs/>
          <w:sz w:val="32"/>
          <w:szCs w:val="32"/>
          <w:lang w:eastAsia="zh-CN"/>
        </w:rPr>
        <w:t>文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件管理有关规定，局办公室负责进行督查检查，。</w:t>
      </w:r>
    </w:p>
    <w:p w14:paraId="633B1D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exact"/>
        <w:ind w:left="0"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三是严格宣传报道和信息公开审查审批。互联网门户网站发布信息严格落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实信息发布审查制度，指定专人负责网站的技术维护和信息发布，具有互联网站信息发布权限的科室均填写《昌乐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教育和体育局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互联网信息公开发布审批单》,所有上传材料须经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严格审查后方可发布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，确保公开信息质量。</w:t>
      </w:r>
    </w:p>
    <w:p w14:paraId="43C082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atLeast"/>
        <w:ind w:left="0" w:right="0" w:firstLine="643"/>
        <w:jc w:val="left"/>
        <w:rPr>
          <w:b w:val="0"/>
          <w:bCs/>
          <w:color w:val="auto"/>
        </w:rPr>
      </w:pPr>
      <w:r>
        <w:rPr>
          <w:rFonts w:hint="eastAsia" w:ascii="楷体_GB2312" w:hAnsi="宋体" w:eastAsia="楷体_GB2312" w:cs="楷体_GB2312"/>
          <w:b w:val="0"/>
          <w:bCs/>
          <w:color w:val="auto"/>
          <w:kern w:val="0"/>
          <w:sz w:val="32"/>
          <w:szCs w:val="32"/>
          <w:lang w:val="en-US" w:eastAsia="zh-CN" w:bidi="ar"/>
        </w:rPr>
        <w:t>（四）平台建设情况</w:t>
      </w:r>
    </w:p>
    <w:p w14:paraId="7102B78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exact"/>
        <w:ind w:left="0" w:leftChars="0" w:right="0" w:rightChars="0" w:firstLine="640" w:firstLineChars="200"/>
        <w:jc w:val="left"/>
        <w:rPr>
          <w:rFonts w:hint="eastAsia" w:ascii="仿宋_GB2312" w:hAnsi="宋体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一是强化昌乐教育信息公开网上平台建设。依托政府网站建设管理，及时准确发布昌乐教育发展的相关政策信息，并有专人负责信息审核发布工作。重点内容包括：国家、省、市教育政策法规文件、教育动态、通知公告、政务公开、教学教研、督查督办、学前教育、教师文苑、学生才艺等相关版块内容。</w:t>
      </w:r>
    </w:p>
    <w:p w14:paraId="1901F49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leftChars="0" w:right="0" w:rightChars="0" w:firstLine="0" w:firstLineChars="0"/>
        <w:jc w:val="left"/>
        <w:rPr>
          <w:rFonts w:hint="eastAsia" w:ascii="仿宋_GB2312" w:hAnsi="宋体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2405" cy="1179830"/>
            <wp:effectExtent l="0" t="0" r="4445" b="1270"/>
            <wp:docPr id="8" name="图片 8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0894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rPr>
          <w:rFonts w:hint="eastAsia" w:ascii="仿宋_GB2312" w:hAnsi="宋体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二是积极利用新媒体公开。及时推送使用“昌乐教育”微信公众号，及时发布教育领域动态信息，回应社会关切。截止2019年12月底，昌乐教育微信公众号关注用户数约计5.2万，年度内发布图文消息286期共788篇，累计阅读量达到316万余次。</w:t>
      </w:r>
    </w:p>
    <w:p w14:paraId="065CC7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leftChars="0" w:right="0" w:rightChars="0" w:firstLine="420" w:firstLineChars="200"/>
        <w:jc w:val="left"/>
        <w:rPr>
          <w:rFonts w:hint="eastAsia" w:eastAsiaTheme="minorEastAsia"/>
          <w:b w:val="0"/>
          <w:bCs/>
          <w:color w:val="auto"/>
          <w:lang w:eastAsia="zh-CN"/>
        </w:rPr>
      </w:pPr>
      <w:r>
        <w:rPr>
          <w:b w:val="0"/>
          <w:bCs/>
          <w:color w:val="auto"/>
        </w:rPr>
        <w:drawing>
          <wp:inline distT="0" distB="0" distL="114300" distR="114300">
            <wp:extent cx="2720340" cy="4559300"/>
            <wp:effectExtent l="0" t="0" r="3810" b="12700"/>
            <wp:docPr id="9" name="图片 9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 w:val="0"/>
          <w:bCs/>
          <w:color w:val="auto"/>
          <w:lang w:eastAsia="zh-CN"/>
        </w:rPr>
        <w:drawing>
          <wp:inline distT="0" distB="0" distL="114300" distR="114300">
            <wp:extent cx="2265680" cy="4603115"/>
            <wp:effectExtent l="0" t="0" r="1270" b="6985"/>
            <wp:docPr id="10" name="图片 10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46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8C1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atLeast"/>
        <w:ind w:left="0" w:right="0" w:firstLine="643"/>
        <w:jc w:val="left"/>
        <w:rPr>
          <w:b w:val="0"/>
          <w:bCs/>
          <w:color w:val="auto"/>
        </w:rPr>
      </w:pPr>
      <w:r>
        <w:rPr>
          <w:rFonts w:hint="eastAsia" w:ascii="楷体_GB2312" w:hAnsi="宋体" w:eastAsia="楷体_GB2312" w:cs="楷体_GB2312"/>
          <w:b w:val="0"/>
          <w:bCs/>
          <w:color w:val="auto"/>
          <w:kern w:val="0"/>
          <w:sz w:val="32"/>
          <w:szCs w:val="32"/>
          <w:lang w:val="en-US" w:eastAsia="zh-CN" w:bidi="ar"/>
        </w:rPr>
        <w:t>（五）监督保障情况</w:t>
      </w:r>
    </w:p>
    <w:p w14:paraId="0E5F9C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exact"/>
        <w:ind w:left="0" w:leftChars="0" w:right="0" w:rightChars="0" w:firstLine="640" w:firstLineChars="200"/>
        <w:jc w:val="left"/>
        <w:rPr>
          <w:b w:val="0"/>
          <w:bCs/>
          <w:color w:val="auto"/>
        </w:rPr>
      </w:pPr>
      <w:r>
        <w:rPr>
          <w:rFonts w:hint="eastAsia" w:ascii="仿宋_GB2312" w:hAnsi="宋体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一是加强组织领导。明确教育系统政务公开责任分管领导和具体工作人员，配备了1名办公室人员作为政务公开专职人员，形成了主要领导统筹安排、分管领导具体负责、工作人员专人实施的工作机制，构建起上下协调、沟通畅顺的教育领域政务信息公开工作体系，有力保障了政府信息公开工作的高效运转。</w:t>
      </w:r>
    </w:p>
    <w:p w14:paraId="05878B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8" w:lineRule="atLeast"/>
        <w:ind w:left="0" w:right="0" w:firstLine="643"/>
        <w:jc w:val="left"/>
        <w:rPr>
          <w:b w:val="0"/>
          <w:bCs/>
          <w:color w:val="auto"/>
        </w:rPr>
      </w:pPr>
      <w:r>
        <w:rPr>
          <w:rFonts w:hint="eastAsia" w:ascii="仿宋_GB2312" w:hAnsi="宋体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二是强化培训机制。2019年5月，组织全县各级各类学校办公室负责同志认真学习了新修订的《中华人民共和国政府信息公开条例》，全力做好学校教育信息公开工作。</w:t>
      </w:r>
    </w:p>
    <w:p w14:paraId="0BBB26F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</w:rPr>
        <w:t>三是提高效率。为能及时、认真地接待处理各种查阅、咨询等情况，局办公室每日至少打开网站中事件管理页面6～8次，及时接收群众的电子邮件和依申请事项，并在3个工作日内予以回复；每日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  <w:lang w:val="en-US" w:eastAsia="zh-CN"/>
        </w:rPr>
        <w:t>登录</w:t>
      </w:r>
      <w:bookmarkStart w:id="0" w:name="_GoBack"/>
      <w:bookmarkEnd w:id="0"/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</w:rPr>
        <w:t xml:space="preserve">昌乐民声网、潍坊市政务服务热线后台，及时签收处理群众的咨询、投诉信息，并在规定时限内及时答复，咨询类信息3个工作日，投诉类、建议类、反馈类信息5个工作日。 </w:t>
      </w:r>
    </w:p>
    <w:p w14:paraId="4B57572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ascii="Arial" w:hAnsi="Arial" w:eastAsia="仿宋_GB2312" w:cs="Arial"/>
          <w:b w:val="0"/>
          <w:bCs/>
          <w:kern w:val="0"/>
          <w:sz w:val="32"/>
          <w:szCs w:val="32"/>
        </w:rPr>
      </w:pPr>
      <w:r>
        <w:rPr>
          <w:rFonts w:hint="eastAsia" w:ascii="Arial" w:hAnsi="Arial" w:eastAsia="楷体_GB2312" w:cs="Arial"/>
          <w:b w:val="0"/>
          <w:bCs/>
          <w:kern w:val="0"/>
          <w:sz w:val="32"/>
          <w:szCs w:val="32"/>
          <w:lang w:eastAsia="zh-CN"/>
        </w:rPr>
        <w:t>（六）及时</w:t>
      </w:r>
      <w:r>
        <w:rPr>
          <w:rFonts w:hint="eastAsia" w:ascii="Arial" w:hAnsi="Arial" w:eastAsia="楷体_GB2312" w:cs="Arial"/>
          <w:b w:val="0"/>
          <w:bCs/>
          <w:kern w:val="0"/>
          <w:sz w:val="32"/>
          <w:szCs w:val="32"/>
        </w:rPr>
        <w:t>回应社会关切以及互动交流情况</w:t>
      </w:r>
      <w:r>
        <w:rPr>
          <w:rFonts w:hint="eastAsia" w:ascii="Arial" w:hAnsi="Arial" w:eastAsia="楷体_GB2312" w:cs="Arial"/>
          <w:b w:val="0"/>
          <w:bCs/>
          <w:kern w:val="0"/>
          <w:sz w:val="32"/>
          <w:szCs w:val="32"/>
          <w:lang w:eastAsia="zh-CN"/>
        </w:rPr>
        <w:t>。</w:t>
      </w:r>
      <w:r>
        <w:rPr>
          <w:rFonts w:hint="eastAsia" w:ascii="Arial" w:hAnsi="Arial" w:eastAsia="仿宋_GB2312" w:cs="Arial"/>
          <w:b w:val="0"/>
          <w:bCs/>
          <w:color w:val="000000"/>
          <w:sz w:val="32"/>
          <w:szCs w:val="32"/>
          <w:lang w:eastAsia="zh-CN"/>
        </w:rPr>
        <w:t>县教育和体育</w:t>
      </w:r>
      <w:r>
        <w:rPr>
          <w:rFonts w:ascii="Arial" w:hAnsi="Arial" w:eastAsia="仿宋_GB2312" w:cs="Arial"/>
          <w:b w:val="0"/>
          <w:bCs/>
          <w:color w:val="000000"/>
          <w:sz w:val="32"/>
          <w:szCs w:val="32"/>
        </w:rPr>
        <w:t>局</w:t>
      </w:r>
      <w:r>
        <w:rPr>
          <w:rFonts w:ascii="Arial" w:hAnsi="Arial" w:eastAsia="仿宋_GB2312" w:cs="Arial"/>
          <w:b w:val="0"/>
          <w:bCs/>
          <w:kern w:val="0"/>
          <w:sz w:val="32"/>
          <w:szCs w:val="32"/>
        </w:rPr>
        <w:t>严格遵循依法公开、真实公正、注重实效、有利监督四个原则，通过多种形式</w:t>
      </w:r>
      <w:r>
        <w:rPr>
          <w:rFonts w:hint="eastAsia" w:ascii="Arial" w:hAnsi="Arial" w:eastAsia="仿宋_GB2312" w:cs="Arial"/>
          <w:b w:val="0"/>
          <w:bCs/>
          <w:kern w:val="0"/>
          <w:sz w:val="32"/>
          <w:szCs w:val="32"/>
        </w:rPr>
        <w:t>发布政策解读、互动交流</w:t>
      </w:r>
      <w:r>
        <w:rPr>
          <w:rFonts w:ascii="Arial" w:hAnsi="Arial" w:eastAsia="仿宋_GB2312" w:cs="Arial"/>
          <w:b w:val="0"/>
          <w:bCs/>
          <w:kern w:val="0"/>
          <w:sz w:val="32"/>
          <w:szCs w:val="32"/>
        </w:rPr>
        <w:t>。除按规定在</w:t>
      </w:r>
      <w:r>
        <w:rPr>
          <w:rFonts w:hint="eastAsia" w:ascii="Arial" w:hAnsi="Arial" w:eastAsia="仿宋_GB2312" w:cs="Arial"/>
          <w:b w:val="0"/>
          <w:bCs/>
          <w:kern w:val="0"/>
          <w:sz w:val="32"/>
          <w:szCs w:val="32"/>
          <w:lang w:eastAsia="zh-CN"/>
        </w:rPr>
        <w:t>中国昌乐门户网站</w:t>
      </w:r>
      <w:r>
        <w:rPr>
          <w:rFonts w:ascii="Arial" w:hAnsi="Arial" w:eastAsia="仿宋_GB2312" w:cs="Arial"/>
          <w:b w:val="0"/>
          <w:bCs/>
          <w:kern w:val="0"/>
          <w:sz w:val="32"/>
          <w:szCs w:val="32"/>
        </w:rPr>
        <w:t>公开信息外，还</w:t>
      </w:r>
      <w:r>
        <w:rPr>
          <w:rFonts w:hint="eastAsia" w:ascii="Arial" w:hAnsi="Arial" w:eastAsia="仿宋_GB2312" w:cs="Arial"/>
          <w:b w:val="0"/>
          <w:bCs/>
          <w:kern w:val="0"/>
          <w:sz w:val="32"/>
          <w:szCs w:val="32"/>
          <w:lang w:eastAsia="zh-CN"/>
        </w:rPr>
        <w:t>充分利用</w:t>
      </w:r>
      <w:r>
        <w:rPr>
          <w:rFonts w:hint="eastAsia" w:ascii="Arial" w:hAnsi="Arial" w:eastAsia="仿宋_GB2312" w:cs="Arial"/>
          <w:b w:val="0"/>
          <w:bCs/>
          <w:kern w:val="0"/>
          <w:sz w:val="32"/>
          <w:szCs w:val="32"/>
        </w:rPr>
        <w:t>报纸、电视台等</w:t>
      </w:r>
      <w:r>
        <w:rPr>
          <w:rFonts w:hint="eastAsia" w:ascii="Arial" w:hAnsi="Arial" w:eastAsia="仿宋_GB2312" w:cs="Arial"/>
          <w:b w:val="0"/>
          <w:bCs/>
          <w:kern w:val="0"/>
          <w:sz w:val="32"/>
          <w:szCs w:val="32"/>
          <w:lang w:eastAsia="zh-CN"/>
        </w:rPr>
        <w:t>传统</w:t>
      </w:r>
      <w:r>
        <w:rPr>
          <w:rFonts w:ascii="Arial" w:hAnsi="Arial" w:eastAsia="仿宋_GB2312" w:cs="Arial"/>
          <w:b w:val="0"/>
          <w:bCs/>
          <w:kern w:val="0"/>
          <w:sz w:val="32"/>
          <w:szCs w:val="32"/>
        </w:rPr>
        <w:t>媒体</w:t>
      </w:r>
      <w:r>
        <w:rPr>
          <w:rFonts w:hint="eastAsia" w:ascii="Arial" w:hAnsi="Arial" w:eastAsia="仿宋_GB2312" w:cs="Arial"/>
          <w:b w:val="0"/>
          <w:bCs/>
          <w:kern w:val="0"/>
          <w:sz w:val="32"/>
          <w:szCs w:val="32"/>
          <w:lang w:eastAsia="zh-CN"/>
        </w:rPr>
        <w:t>和微信公众号等新媒体</w:t>
      </w:r>
      <w:r>
        <w:rPr>
          <w:rFonts w:ascii="Arial" w:hAnsi="Arial" w:eastAsia="仿宋_GB2312" w:cs="Arial"/>
          <w:b w:val="0"/>
          <w:bCs/>
          <w:kern w:val="0"/>
          <w:sz w:val="32"/>
          <w:szCs w:val="32"/>
        </w:rPr>
        <w:t>，保证有价值的信息能及时向社会大众公开。</w:t>
      </w:r>
      <w:r>
        <w:rPr>
          <w:rFonts w:ascii="Arial" w:hAnsi="Arial" w:eastAsia="仿宋_GB2312" w:cs="Arial"/>
          <w:b w:val="0"/>
          <w:bCs/>
          <w:sz w:val="32"/>
          <w:szCs w:val="32"/>
        </w:rPr>
        <w:t>对社会高度关注的重要信息，一是在网站</w:t>
      </w:r>
      <w:r>
        <w:rPr>
          <w:rFonts w:hint="eastAsia" w:ascii="Arial" w:hAnsi="Arial" w:eastAsia="仿宋_GB2312" w:cs="Arial"/>
          <w:b w:val="0"/>
          <w:bCs/>
          <w:sz w:val="32"/>
          <w:szCs w:val="32"/>
        </w:rPr>
        <w:t>“</w:t>
      </w:r>
      <w:r>
        <w:rPr>
          <w:rFonts w:ascii="Arial" w:hAnsi="Arial" w:eastAsia="仿宋_GB2312" w:cs="Arial"/>
          <w:b w:val="0"/>
          <w:bCs/>
          <w:sz w:val="32"/>
          <w:szCs w:val="32"/>
        </w:rPr>
        <w:t>政务公开</w:t>
      </w:r>
      <w:r>
        <w:rPr>
          <w:rFonts w:hint="eastAsia" w:ascii="Arial" w:hAnsi="Arial" w:eastAsia="仿宋_GB2312" w:cs="Arial"/>
          <w:b w:val="0"/>
          <w:bCs/>
          <w:sz w:val="32"/>
          <w:szCs w:val="32"/>
        </w:rPr>
        <w:t>”和“通知公告”栏目，</w:t>
      </w:r>
      <w:r>
        <w:rPr>
          <w:rFonts w:ascii="Arial" w:hAnsi="Arial" w:eastAsia="仿宋_GB2312" w:cs="Arial"/>
          <w:b w:val="0"/>
          <w:bCs/>
          <w:sz w:val="32"/>
          <w:szCs w:val="32"/>
        </w:rPr>
        <w:t>第一时间发布，像中考</w:t>
      </w:r>
      <w:r>
        <w:rPr>
          <w:rFonts w:hint="eastAsia" w:ascii="Arial" w:hAnsi="Arial" w:eastAsia="仿宋_GB2312" w:cs="Arial"/>
          <w:b w:val="0"/>
          <w:bCs/>
          <w:sz w:val="32"/>
          <w:szCs w:val="32"/>
        </w:rPr>
        <w:t>、义务教育划片、进城务工人员子女入学、教育督导、全面改薄</w:t>
      </w:r>
      <w:r>
        <w:rPr>
          <w:rFonts w:ascii="Arial" w:hAnsi="Arial" w:eastAsia="仿宋_GB2312" w:cs="Arial"/>
          <w:b w:val="0"/>
          <w:bCs/>
          <w:sz w:val="32"/>
          <w:szCs w:val="32"/>
        </w:rPr>
        <w:t>等重要信息，还专门制作了</w:t>
      </w:r>
      <w:r>
        <w:rPr>
          <w:rFonts w:hint="eastAsia" w:ascii="Arial" w:hAnsi="Arial" w:eastAsia="仿宋_GB2312" w:cs="Arial"/>
          <w:b w:val="0"/>
          <w:bCs/>
          <w:sz w:val="32"/>
          <w:szCs w:val="32"/>
        </w:rPr>
        <w:t>专题专栏</w:t>
      </w:r>
      <w:r>
        <w:rPr>
          <w:rFonts w:ascii="Arial" w:hAnsi="Arial" w:eastAsia="仿宋_GB2312" w:cs="Arial"/>
          <w:b w:val="0"/>
          <w:bCs/>
          <w:sz w:val="32"/>
          <w:szCs w:val="32"/>
        </w:rPr>
        <w:t>，方便大家</w:t>
      </w:r>
      <w:r>
        <w:rPr>
          <w:rFonts w:hint="eastAsia" w:ascii="Arial" w:hAnsi="Arial" w:eastAsia="仿宋_GB2312" w:cs="Arial"/>
          <w:b w:val="0"/>
          <w:bCs/>
          <w:sz w:val="32"/>
          <w:szCs w:val="32"/>
        </w:rPr>
        <w:t>及时</w:t>
      </w:r>
      <w:r>
        <w:rPr>
          <w:rFonts w:ascii="Arial" w:hAnsi="Arial" w:eastAsia="仿宋_GB2312" w:cs="Arial"/>
          <w:b w:val="0"/>
          <w:bCs/>
          <w:sz w:val="32"/>
          <w:szCs w:val="32"/>
        </w:rPr>
        <w:t>获取信息。二是依托县教育惠民服务中心</w:t>
      </w:r>
      <w:r>
        <w:rPr>
          <w:rFonts w:hint="eastAsia" w:ascii="Arial" w:hAnsi="Arial" w:eastAsia="仿宋_GB2312" w:cs="Arial"/>
          <w:b w:val="0"/>
          <w:bCs/>
          <w:sz w:val="32"/>
          <w:szCs w:val="32"/>
        </w:rPr>
        <w:t>、</w:t>
      </w:r>
      <w:r>
        <w:rPr>
          <w:rFonts w:ascii="Arial" w:hAnsi="Arial" w:eastAsia="仿宋_GB2312" w:cs="Arial"/>
          <w:b w:val="0"/>
          <w:bCs/>
          <w:sz w:val="32"/>
          <w:szCs w:val="32"/>
        </w:rPr>
        <w:t>昌乐民声网</w:t>
      </w:r>
      <w:r>
        <w:rPr>
          <w:rFonts w:hint="eastAsia" w:ascii="Arial" w:hAnsi="Arial" w:eastAsia="仿宋_GB2312" w:cs="Arial"/>
          <w:b w:val="0"/>
          <w:bCs/>
          <w:sz w:val="32"/>
          <w:szCs w:val="32"/>
        </w:rPr>
        <w:t>、昌乐教育之声</w:t>
      </w:r>
      <w:r>
        <w:rPr>
          <w:rFonts w:ascii="Arial" w:hAnsi="Arial" w:eastAsia="仿宋_GB2312" w:cs="Arial"/>
          <w:b w:val="0"/>
          <w:bCs/>
          <w:sz w:val="32"/>
          <w:szCs w:val="32"/>
        </w:rPr>
        <w:t>，开设网上咨询、电话咨询、现场咨询等三种便民互动沟通平台，方便群众咨询。</w:t>
      </w:r>
      <w:r>
        <w:rPr>
          <w:rFonts w:hint="eastAsia" w:ascii="仿宋_GB2312" w:hAnsi="Arial" w:eastAsia="仿宋_GB2312" w:cs="Arial"/>
          <w:b w:val="0"/>
          <w:bCs/>
          <w:sz w:val="32"/>
          <w:szCs w:val="32"/>
        </w:rPr>
        <w:t>三是</w:t>
      </w:r>
      <w:r>
        <w:rPr>
          <w:rFonts w:hint="eastAsia" w:ascii="仿宋_GB2312" w:hAnsi="Arial" w:eastAsia="仿宋_GB2312" w:cs="Arial"/>
          <w:b w:val="0"/>
          <w:bCs/>
          <w:kern w:val="0"/>
          <w:sz w:val="32"/>
          <w:szCs w:val="32"/>
        </w:rPr>
        <w:t>在</w:t>
      </w:r>
      <w:r>
        <w:rPr>
          <w:rFonts w:hint="eastAsia" w:ascii="仿宋_GB2312" w:hAnsi="Arial" w:eastAsia="仿宋_GB2312" w:cs="Arial"/>
          <w:b w:val="0"/>
          <w:bCs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</w:rPr>
        <w:t>中国·昌乐”政府网站信息公开专栏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  <w:lang w:eastAsia="zh-CN"/>
        </w:rPr>
        <w:t>和“</w:t>
      </w:r>
      <w:r>
        <w:rPr>
          <w:rFonts w:hint="eastAsia" w:ascii="Arial" w:hAnsi="Arial" w:eastAsia="仿宋_GB2312" w:cs="Arial"/>
          <w:b w:val="0"/>
          <w:bCs/>
          <w:color w:val="000000"/>
          <w:sz w:val="32"/>
          <w:szCs w:val="32"/>
          <w:lang w:eastAsia="zh-CN"/>
        </w:rPr>
        <w:t>教育和体育</w:t>
      </w:r>
      <w:r>
        <w:rPr>
          <w:rFonts w:ascii="Arial" w:hAnsi="Arial" w:eastAsia="仿宋_GB2312" w:cs="Arial"/>
          <w:b w:val="0"/>
          <w:bCs/>
          <w:color w:val="000000"/>
          <w:sz w:val="32"/>
          <w:szCs w:val="32"/>
        </w:rPr>
        <w:t>局</w:t>
      </w:r>
      <w:r>
        <w:rPr>
          <w:rFonts w:hint="eastAsia" w:ascii="仿宋_GB2312" w:hAnsi="Arial" w:eastAsia="仿宋_GB2312" w:cs="Arial"/>
          <w:b w:val="0"/>
          <w:bCs/>
          <w:color w:val="000000"/>
          <w:kern w:val="0"/>
          <w:sz w:val="32"/>
          <w:szCs w:val="32"/>
          <w:lang w:eastAsia="zh-CN"/>
        </w:rPr>
        <w:t>专栏”</w:t>
      </w:r>
      <w:r>
        <w:rPr>
          <w:rFonts w:ascii="Arial" w:hAnsi="Arial" w:eastAsia="仿宋_GB2312" w:cs="Arial"/>
          <w:b w:val="0"/>
          <w:bCs/>
          <w:kern w:val="0"/>
          <w:sz w:val="32"/>
          <w:szCs w:val="32"/>
        </w:rPr>
        <w:t>集中公开了为学校、学生、教师、公民、法人服务的政府信息。</w:t>
      </w:r>
    </w:p>
    <w:p w14:paraId="3B9D0D3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Arial" w:hAnsi="Arial" w:eastAsia="仿宋_GB2312" w:cs="Arial"/>
          <w:b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b w:val="0"/>
          <w:bCs/>
          <w:kern w:val="0"/>
          <w:sz w:val="32"/>
          <w:szCs w:val="32"/>
        </w:rPr>
        <w:t>201</w:t>
      </w:r>
      <w:r>
        <w:rPr>
          <w:rFonts w:hint="eastAsia" w:ascii="仿宋_GB2312" w:hAnsi="Arial" w:eastAsia="仿宋_GB2312" w:cs="Arial"/>
          <w:b w:val="0"/>
          <w:bCs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Arial" w:eastAsia="仿宋_GB2312" w:cs="Arial"/>
          <w:b w:val="0"/>
          <w:bCs/>
          <w:kern w:val="0"/>
          <w:sz w:val="32"/>
          <w:szCs w:val="32"/>
        </w:rPr>
        <w:t>年，共回应公众关注热点</w:t>
      </w:r>
      <w:r>
        <w:rPr>
          <w:rFonts w:hint="eastAsia" w:ascii="仿宋_GB2312" w:hAnsi="Arial" w:eastAsia="仿宋_GB2312" w:cs="Arial"/>
          <w:b w:val="0"/>
          <w:bCs/>
          <w:kern w:val="0"/>
          <w:sz w:val="32"/>
          <w:szCs w:val="32"/>
          <w:lang w:val="en-US" w:eastAsia="zh-CN"/>
        </w:rPr>
        <w:t>325</w:t>
      </w:r>
      <w:r>
        <w:rPr>
          <w:rFonts w:hint="eastAsia" w:ascii="仿宋_GB2312" w:hAnsi="Arial" w:eastAsia="仿宋_GB2312" w:cs="Arial"/>
          <w:b w:val="0"/>
          <w:bCs/>
          <w:kern w:val="0"/>
          <w:sz w:val="32"/>
          <w:szCs w:val="32"/>
        </w:rPr>
        <w:t>次（主要通过政府网站</w:t>
      </w:r>
      <w:r>
        <w:rPr>
          <w:rFonts w:hint="eastAsia" w:ascii="仿宋_GB2312" w:hAnsi="Arial" w:eastAsia="仿宋_GB2312" w:cs="Arial"/>
          <w:b w:val="0"/>
          <w:bCs/>
          <w:kern w:val="0"/>
          <w:sz w:val="32"/>
          <w:szCs w:val="32"/>
          <w:lang w:eastAsia="zh-CN"/>
        </w:rPr>
        <w:t>、微信公众号、电视、报纸等</w:t>
      </w:r>
      <w:r>
        <w:rPr>
          <w:rFonts w:hint="eastAsia" w:ascii="仿宋_GB2312" w:hAnsi="Arial" w:eastAsia="仿宋_GB2312" w:cs="Arial"/>
          <w:b w:val="0"/>
          <w:bCs/>
          <w:kern w:val="0"/>
          <w:sz w:val="32"/>
          <w:szCs w:val="32"/>
        </w:rPr>
        <w:t>），举办政策解读新闻发布会</w:t>
      </w:r>
      <w:r>
        <w:rPr>
          <w:rFonts w:hint="eastAsia" w:ascii="仿宋_GB2312" w:hAnsi="Arial" w:eastAsia="仿宋_GB2312" w:cs="Arial"/>
          <w:b w:val="0"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Arial" w:eastAsia="仿宋_GB2312" w:cs="Arial"/>
          <w:b w:val="0"/>
          <w:bCs/>
          <w:kern w:val="0"/>
          <w:sz w:val="32"/>
          <w:szCs w:val="32"/>
        </w:rPr>
        <w:t>次</w:t>
      </w:r>
      <w:r>
        <w:rPr>
          <w:rFonts w:hint="default" w:ascii="仿宋_GB2312" w:hAnsi="Arial" w:eastAsia="仿宋_GB2312" w:cs="Arial"/>
          <w:b w:val="0"/>
          <w:bCs/>
          <w:kern w:val="0"/>
          <w:sz w:val="32"/>
          <w:szCs w:val="32"/>
          <w:lang w:val="en-US"/>
        </w:rPr>
        <w:t>,</w:t>
      </w:r>
      <w:r>
        <w:rPr>
          <w:rFonts w:hint="eastAsia" w:ascii="仿宋_GB2312" w:hAnsi="Arial" w:eastAsia="仿宋_GB2312" w:cs="Arial"/>
          <w:b w:val="0"/>
          <w:bCs/>
          <w:kern w:val="0"/>
          <w:sz w:val="32"/>
          <w:szCs w:val="32"/>
          <w:lang w:val="en-US" w:eastAsia="zh-CN"/>
        </w:rPr>
        <w:t>全年公开政务信息356条。2019年，我局未收到依申请公开案件。</w:t>
      </w:r>
    </w:p>
    <w:p w14:paraId="69EF2046">
      <w:pPr>
        <w:pStyle w:val="2"/>
        <w:widowControl/>
        <w:shd w:val="clear" w:color="auto" w:fill="FFFFFF"/>
        <w:spacing w:beforeAutospacing="0" w:after="240" w:afterAutospacing="0"/>
        <w:ind w:firstLine="640"/>
        <w:jc w:val="both"/>
        <w:rPr>
          <w:rFonts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3"/>
        <w:tblW w:w="8708" w:type="dxa"/>
        <w:jc w:val="center"/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3"/>
        <w:gridCol w:w="17"/>
        <w:gridCol w:w="2095"/>
        <w:gridCol w:w="1505"/>
        <w:gridCol w:w="2018"/>
      </w:tblGrid>
      <w:tr w14:paraId="78172693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870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E089390">
            <w:pPr>
              <w:widowControl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第二十条第（一）项</w:t>
            </w:r>
          </w:p>
        </w:tc>
      </w:tr>
      <w:tr w14:paraId="0A2BD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80DC505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801CD2E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本年新制作数量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7F39C70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本年新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公开数量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040BC66"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对外公开</w:t>
            </w:r>
          </w:p>
          <w:p w14:paraId="0055B4A3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总数量</w:t>
            </w:r>
          </w:p>
        </w:tc>
      </w:tr>
      <w:tr w14:paraId="47E13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40CFA6F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规章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9809299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　　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C4AFA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 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06E5D46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　</w:t>
            </w:r>
          </w:p>
        </w:tc>
      </w:tr>
      <w:tr w14:paraId="03B2C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5AEDC0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规范性文件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79883EE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　　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6E4A8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 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2A196F7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　</w:t>
            </w:r>
          </w:p>
        </w:tc>
      </w:tr>
      <w:tr w14:paraId="28F395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258A593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第二十条第（五）项</w:t>
            </w:r>
          </w:p>
        </w:tc>
      </w:tr>
      <w:tr w14:paraId="68F21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956B1C7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58B539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5336707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本年增/减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A592980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处理决定数量</w:t>
            </w:r>
          </w:p>
        </w:tc>
      </w:tr>
      <w:tr w14:paraId="6828D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1328ED1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行政许可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E994606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　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12D6A76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　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074A935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　</w:t>
            </w:r>
          </w:p>
        </w:tc>
      </w:tr>
      <w:tr w14:paraId="53AB1C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3B27DE3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其他对外管理服务事项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2114E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　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4522253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+68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3FB0F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　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 w14:paraId="455915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FA66E66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第二十条第（六）项</w:t>
            </w:r>
          </w:p>
        </w:tc>
      </w:tr>
      <w:tr w14:paraId="4B58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7BAB08B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CEA9BE5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C05C989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本年增/减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BB57CD3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处理决定数量</w:t>
            </w:r>
          </w:p>
        </w:tc>
      </w:tr>
      <w:tr w14:paraId="383CDA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DC36358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行政处罚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55420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EFF9B6E">
            <w:pPr>
              <w:widowControl/>
              <w:jc w:val="center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+37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7FBD1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 w14:paraId="376BA7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8E21D09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行政强制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861C91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EAFCF47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+2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ADA00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 w14:paraId="2F19AF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4918D85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第二十条第（八）项</w:t>
            </w:r>
          </w:p>
        </w:tc>
      </w:tr>
      <w:tr w14:paraId="08CF31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ECB6596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F5F3A0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352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4B1BABC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本年增/减</w:t>
            </w:r>
          </w:p>
        </w:tc>
      </w:tr>
      <w:tr w14:paraId="00512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91DDD5C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行政事业性收费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63DDB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　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D775F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 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 w14:paraId="5A7770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30D9670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第二十条第（九）项</w:t>
            </w:r>
          </w:p>
        </w:tc>
      </w:tr>
      <w:tr w14:paraId="671F9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09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B2C0C68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B4E529A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采购项目数量</w:t>
            </w:r>
          </w:p>
        </w:tc>
        <w:tc>
          <w:tcPr>
            <w:tcW w:w="352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25576AE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采购总金额</w:t>
            </w:r>
          </w:p>
        </w:tc>
      </w:tr>
      <w:tr w14:paraId="3C7007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309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05D7A9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政府集中采购</w:t>
            </w:r>
          </w:p>
        </w:tc>
        <w:tc>
          <w:tcPr>
            <w:tcW w:w="2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911F1BA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1D1104E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 xml:space="preserve"> 733270元</w:t>
            </w:r>
          </w:p>
        </w:tc>
      </w:tr>
    </w:tbl>
    <w:p w14:paraId="68CF1EDD">
      <w:pPr>
        <w:pStyle w:val="2"/>
        <w:widowControl/>
        <w:shd w:val="clear" w:color="auto" w:fill="FFFFFF"/>
        <w:spacing w:beforeAutospacing="0" w:afterAutospacing="0"/>
        <w:ind w:firstLine="420"/>
        <w:jc w:val="both"/>
        <w:rPr>
          <w:rFonts w:ascii="宋体" w:hAnsi="宋体" w:eastAsia="宋体" w:cs="宋体"/>
          <w:color w:val="333333"/>
        </w:rPr>
      </w:pPr>
    </w:p>
    <w:p w14:paraId="5D1F3567">
      <w:pPr>
        <w:pStyle w:val="2"/>
        <w:widowControl/>
        <w:shd w:val="clear" w:color="auto" w:fill="FFFFFF"/>
        <w:spacing w:beforeAutospacing="0" w:after="240" w:afterAutospacing="0"/>
        <w:ind w:left="-199" w:leftChars="-95" w:firstLine="620"/>
        <w:jc w:val="both"/>
        <w:rPr>
          <w:rFonts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418"/>
        <w:gridCol w:w="2835"/>
        <w:gridCol w:w="850"/>
        <w:gridCol w:w="567"/>
        <w:gridCol w:w="567"/>
        <w:gridCol w:w="567"/>
        <w:gridCol w:w="567"/>
        <w:gridCol w:w="540"/>
        <w:gridCol w:w="635"/>
      </w:tblGrid>
      <w:tr w14:paraId="7600BC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477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741D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（本列数据的勾稽关系为：第一项加第二项之和，</w:t>
            </w:r>
          </w:p>
          <w:p w14:paraId="062BD204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等于第三项加第四项之和）</w:t>
            </w:r>
          </w:p>
        </w:tc>
        <w:tc>
          <w:tcPr>
            <w:tcW w:w="429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588B86">
            <w:pPr>
              <w:widowControl/>
              <w:spacing w:line="32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 w14:paraId="594845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477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18FCF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62B17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280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0B123">
            <w:pPr>
              <w:widowControl/>
              <w:spacing w:line="32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8E3B82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 w14:paraId="11C042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477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88267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1CBEB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B8821F">
            <w:pPr>
              <w:widowControl/>
              <w:spacing w:line="320" w:lineRule="exact"/>
              <w:ind w:left="-106" w:leftChars="-51" w:right="-107" w:rightChars="-51" w:hanging="1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A3B2C8">
            <w:pPr>
              <w:widowControl/>
              <w:spacing w:line="320" w:lineRule="exact"/>
              <w:ind w:left="-107" w:leftChars="-51" w:right="-107" w:rightChars="-51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FD932">
            <w:pPr>
              <w:widowControl/>
              <w:spacing w:line="320" w:lineRule="exact"/>
              <w:ind w:left="-107" w:leftChars="-51" w:right="-107" w:rightChars="-51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AD902D">
            <w:pPr>
              <w:widowControl/>
              <w:spacing w:line="320" w:lineRule="exact"/>
              <w:ind w:left="-106" w:leftChars="-51" w:right="-107" w:rightChars="-51" w:hanging="1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5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78873">
            <w:pPr>
              <w:widowControl/>
              <w:spacing w:line="360" w:lineRule="exact"/>
              <w:ind w:left="-63" w:leftChars="-30" w:right="-134" w:rightChars="-64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3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82892A">
            <w:pPr>
              <w:jc w:val="center"/>
              <w:rPr>
                <w:rFonts w:ascii="宋体"/>
                <w:sz w:val="24"/>
              </w:rPr>
            </w:pPr>
          </w:p>
        </w:tc>
      </w:tr>
      <w:tr w14:paraId="56D081E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BEB5DA">
            <w:pPr>
              <w:widowControl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0F481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C657C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89E870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7C992E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368332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C2579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88559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 w14:paraId="33C951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C33BD3">
            <w:pPr>
              <w:widowControl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2C1C0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62DBC8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AEDE4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F49F9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41556D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0505F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A2E1E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4DD712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EF3A60">
            <w:pPr>
              <w:widowControl/>
              <w:spacing w:after="180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3D232">
            <w:pPr>
              <w:widowControl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990CC0">
            <w:pPr>
              <w:widowControl/>
              <w:spacing w:after="18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5E6C0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A61C3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DB958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85E27F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32A6A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5A6B79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 w14:paraId="5665C3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DE3BC0">
            <w:pPr>
              <w:rPr>
                <w:rFonts w:ascii="宋体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5F062F">
            <w:pPr>
              <w:widowControl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6F8C1A">
            <w:pPr>
              <w:widowControl/>
              <w:spacing w:after="180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C1E6E0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FE3E1E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D0FD9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DA432A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ABA57A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EDB2D">
            <w:pPr>
              <w:widowControl/>
              <w:spacing w:after="180"/>
              <w:jc w:val="center"/>
            </w:pPr>
          </w:p>
        </w:tc>
      </w:tr>
      <w:tr w14:paraId="3C52D0D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26190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F8E2E">
            <w:pPr>
              <w:widowControl/>
              <w:spacing w:line="200" w:lineRule="exact"/>
              <w:ind w:left="-107" w:leftChars="-51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02E64E"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925CC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8DAEA1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C0CDF9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34526C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EB9C4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067FD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47C005">
            <w:pPr>
              <w:widowControl/>
              <w:spacing w:after="180"/>
              <w:jc w:val="center"/>
            </w:pPr>
          </w:p>
        </w:tc>
      </w:tr>
      <w:tr w14:paraId="12C765A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1E76E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EB6C3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5C0FE6"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B67A81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60FCA1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FF7B4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8D7AE7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9F7AB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31C76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D07B90">
            <w:pPr>
              <w:widowControl/>
              <w:spacing w:after="180"/>
              <w:jc w:val="center"/>
            </w:pPr>
          </w:p>
        </w:tc>
      </w:tr>
      <w:tr w14:paraId="6113E3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D6BE6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221D7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D18470"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1A637B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C6DF9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050CD3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55DD8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EC0404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99A36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342BF8">
            <w:pPr>
              <w:widowControl/>
              <w:spacing w:after="180"/>
              <w:jc w:val="center"/>
            </w:pPr>
          </w:p>
        </w:tc>
      </w:tr>
      <w:tr w14:paraId="0ACC58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C7D141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69FB0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275D22"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F947CF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10A4FB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EC9075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C29E4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D5D85D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46B492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CEB63">
            <w:pPr>
              <w:widowControl/>
              <w:spacing w:after="180"/>
              <w:jc w:val="center"/>
            </w:pPr>
          </w:p>
        </w:tc>
      </w:tr>
      <w:tr w14:paraId="26A208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D46A09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52C78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1EF9FE"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742156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785BC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E714D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93A8F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4A4F1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02A22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B29AA0">
            <w:pPr>
              <w:widowControl/>
              <w:spacing w:after="180"/>
              <w:jc w:val="center"/>
            </w:pPr>
          </w:p>
        </w:tc>
      </w:tr>
      <w:tr w14:paraId="3A97BB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49B89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96999C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D55ED"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0216D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D72AF8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F26440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0DBB1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E526A3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A103A4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1FAAF0">
            <w:pPr>
              <w:widowControl/>
              <w:spacing w:after="180"/>
              <w:jc w:val="center"/>
            </w:pPr>
          </w:p>
        </w:tc>
      </w:tr>
      <w:tr w14:paraId="08E093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5136FE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315B13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CE519"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3CE7DD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7BA12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4DDC2E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6F4BE1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78C4E0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B940D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2F17D">
            <w:pPr>
              <w:widowControl/>
              <w:spacing w:after="180"/>
              <w:jc w:val="center"/>
            </w:pPr>
          </w:p>
        </w:tc>
      </w:tr>
      <w:tr w14:paraId="4AD7A0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94655A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332F7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979D17"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7A69E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3AE196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56277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9CDA10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045D5D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639D32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6ED6F9">
            <w:pPr>
              <w:widowControl/>
              <w:spacing w:after="180"/>
              <w:jc w:val="center"/>
            </w:pPr>
          </w:p>
        </w:tc>
      </w:tr>
      <w:tr w14:paraId="65A8E5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15170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C8B905">
            <w:pPr>
              <w:widowControl/>
              <w:spacing w:line="200" w:lineRule="exact"/>
              <w:ind w:left="-107" w:leftChars="-51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5BB7F5"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FB3E19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B627E8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1C88C2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C69338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EB98D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DFA576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88E710">
            <w:pPr>
              <w:widowControl/>
              <w:spacing w:after="180"/>
              <w:jc w:val="center"/>
            </w:pPr>
          </w:p>
        </w:tc>
      </w:tr>
      <w:tr w14:paraId="28262F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7BF774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3F0CCE">
            <w:pPr>
              <w:spacing w:line="200" w:lineRule="exact"/>
              <w:ind w:left="-107" w:leftChars="-51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8B4EA4"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2D871A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896FD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24677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12FA89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27B344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EF11B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ECFF28">
            <w:pPr>
              <w:widowControl/>
              <w:spacing w:after="180"/>
              <w:jc w:val="center"/>
            </w:pPr>
          </w:p>
        </w:tc>
      </w:tr>
      <w:tr w14:paraId="1A985E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03F47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D8422">
            <w:pPr>
              <w:spacing w:line="200" w:lineRule="exact"/>
              <w:ind w:left="-107" w:leftChars="-51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AA05C4"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5C4017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632A07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D655A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3E4AE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073A23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F8772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FC8B6E">
            <w:pPr>
              <w:widowControl/>
              <w:spacing w:after="180"/>
              <w:jc w:val="center"/>
            </w:pPr>
          </w:p>
        </w:tc>
      </w:tr>
      <w:tr w14:paraId="38E370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4D94E1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D2B0F">
            <w:pPr>
              <w:widowControl/>
              <w:spacing w:line="200" w:lineRule="exact"/>
              <w:ind w:left="-107" w:leftChars="-51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10A4C6"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41714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05846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75F429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ED9E4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92D519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5BCAA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50904">
            <w:pPr>
              <w:widowControl/>
              <w:spacing w:after="180"/>
              <w:jc w:val="center"/>
            </w:pPr>
          </w:p>
        </w:tc>
      </w:tr>
      <w:tr w14:paraId="2CE8BE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9E991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22D81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A571C9">
            <w:pPr>
              <w:widowControl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7B801B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C77AB3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4FFF52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654185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3FEBE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5E638B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21B1F2">
            <w:pPr>
              <w:widowControl/>
              <w:spacing w:after="180"/>
              <w:jc w:val="center"/>
            </w:pPr>
          </w:p>
        </w:tc>
      </w:tr>
      <w:tr w14:paraId="72DFCB3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66E4F1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FDD27C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3E22D0">
            <w:pPr>
              <w:widowControl/>
              <w:spacing w:line="200" w:lineRule="exac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8B99B8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C0F5A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FED209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108579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A49BF9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37238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45B7C">
            <w:pPr>
              <w:widowControl/>
              <w:spacing w:after="180"/>
              <w:jc w:val="center"/>
            </w:pPr>
          </w:p>
        </w:tc>
      </w:tr>
      <w:tr w14:paraId="5BA549B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9E18A5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8BC738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48A2C2">
            <w:pPr>
              <w:widowControl/>
              <w:spacing w:line="200" w:lineRule="exac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39B0B1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D551C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55536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78B0EC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EA974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A6DC7E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9E4683">
            <w:pPr>
              <w:widowControl/>
              <w:spacing w:after="180"/>
              <w:jc w:val="center"/>
            </w:pPr>
          </w:p>
        </w:tc>
      </w:tr>
      <w:tr w14:paraId="64E215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4317D">
            <w:pPr>
              <w:rPr>
                <w:rFonts w:ascii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683D1D">
            <w:pPr>
              <w:spacing w:line="200" w:lineRule="exact"/>
              <w:rPr>
                <w:rFonts w:ascii="宋体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38C202">
            <w:pPr>
              <w:widowControl/>
              <w:spacing w:line="300" w:lineRule="exact"/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5.要求行政机关确认或重新</w:t>
            </w:r>
          </w:p>
          <w:p w14:paraId="1D786A53">
            <w:pPr>
              <w:widowControl/>
              <w:spacing w:line="300" w:lineRule="exact"/>
              <w:ind w:firstLine="200" w:firstLineChars="100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出具已获取信息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FEC5A1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658D99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E66C3B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BE8DB3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30DE90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B3FF4E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8A53B2">
            <w:pPr>
              <w:widowControl/>
              <w:spacing w:after="180"/>
              <w:jc w:val="center"/>
            </w:pPr>
          </w:p>
        </w:tc>
      </w:tr>
      <w:tr w14:paraId="42348B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A3A6B">
            <w:pPr>
              <w:rPr>
                <w:rFonts w:ascii="宋体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8F2721">
            <w:pPr>
              <w:widowControl/>
              <w:spacing w:line="200" w:lineRule="exac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0E8516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911D9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7BF129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9D3F27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51A72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5DCA0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A50775">
            <w:pPr>
              <w:widowControl/>
              <w:spacing w:after="180"/>
              <w:jc w:val="center"/>
            </w:pPr>
          </w:p>
        </w:tc>
      </w:tr>
      <w:tr w14:paraId="43B1731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EAF67">
            <w:pPr>
              <w:rPr>
                <w:rFonts w:ascii="宋体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428984">
            <w:pPr>
              <w:widowControl/>
              <w:spacing w:line="200" w:lineRule="exac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9737F">
            <w:pPr>
              <w:widowControl/>
              <w:spacing w:after="180" w:line="200" w:lineRule="exact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A20511">
            <w:pPr>
              <w:widowControl/>
              <w:spacing w:after="180" w:line="200" w:lineRule="exac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C92E7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DE05E">
            <w:pPr>
              <w:widowControl/>
              <w:spacing w:after="18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599BB1">
            <w:pPr>
              <w:widowControl/>
              <w:spacing w:after="180"/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9CFACC">
            <w:pPr>
              <w:widowControl/>
              <w:spacing w:after="180"/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5F4BD2">
            <w:pPr>
              <w:widowControl/>
              <w:spacing w:after="180"/>
              <w:jc w:val="center"/>
            </w:pPr>
          </w:p>
        </w:tc>
      </w:tr>
      <w:tr w14:paraId="5539E1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B6CCF">
            <w:pPr>
              <w:widowControl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EC6BFE">
            <w:pPr>
              <w:widowControl/>
              <w:spacing w:after="18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F2F1D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739086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9E6E3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5D1CF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6A45C9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82584E">
            <w:pPr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 w14:paraId="2AF0FDEE">
      <w:pPr>
        <w:pStyle w:val="2"/>
        <w:widowControl/>
        <w:shd w:val="clear" w:color="auto" w:fill="FFFFFF"/>
        <w:spacing w:beforeAutospacing="0" w:afterAutospacing="0"/>
        <w:ind w:firstLine="420"/>
        <w:jc w:val="both"/>
        <w:rPr>
          <w:rFonts w:ascii="宋体" w:hAnsi="宋体" w:eastAsia="宋体" w:cs="宋体"/>
          <w:color w:val="333333"/>
        </w:rPr>
      </w:pPr>
    </w:p>
    <w:p w14:paraId="3B42A67B">
      <w:pPr>
        <w:pStyle w:val="2"/>
        <w:widowControl/>
        <w:shd w:val="clear" w:color="auto" w:fill="FFFFFF"/>
        <w:spacing w:beforeAutospacing="0" w:afterAutospacing="0"/>
        <w:ind w:firstLine="420"/>
        <w:jc w:val="both"/>
        <w:rPr>
          <w:rFonts w:ascii="黑体" w:hAnsi="黑体" w:eastAsia="黑体" w:cs="宋体"/>
          <w:color w:val="333333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p w14:paraId="32FE8F91">
      <w:pPr>
        <w:pStyle w:val="2"/>
        <w:widowControl/>
        <w:shd w:val="clear" w:color="auto" w:fill="FFFFFF"/>
        <w:spacing w:beforeAutospacing="0" w:afterAutospacing="0"/>
        <w:ind w:firstLine="420"/>
        <w:jc w:val="both"/>
        <w:rPr>
          <w:rFonts w:ascii="宋体" w:hAnsi="宋体" w:eastAsia="宋体" w:cs="宋体"/>
          <w:color w:val="333333"/>
        </w:rPr>
      </w:pP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0645BFB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C9FA91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C8690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 w14:paraId="6F5F8A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0EE60B">
            <w:pPr>
              <w:widowControl/>
              <w:ind w:left="-149" w:leftChars="-71" w:right="-170" w:rightChars="-81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 w14:paraId="06A6BE71">
            <w:pPr>
              <w:widowControl/>
              <w:ind w:left="-149" w:leftChars="-71" w:right="-170" w:rightChars="-81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9A9C37">
            <w:pPr>
              <w:widowControl/>
              <w:ind w:left="-43" w:leftChars="-21" w:right="-132" w:rightChars="-63" w:hanging="1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AF5E08">
            <w:pPr>
              <w:widowControl/>
              <w:ind w:left="-82" w:leftChars="-39" w:right="-97" w:rightChars="-46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B1A3EF">
            <w:pPr>
              <w:widowControl/>
              <w:ind w:left="-118" w:leftChars="-56" w:right="-118" w:rightChars="-56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</w:p>
          <w:p w14:paraId="3BDA694B">
            <w:pPr>
              <w:widowControl/>
              <w:ind w:left="-118" w:leftChars="-56" w:right="-118" w:rightChars="-56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FC7A9B"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</w:t>
            </w:r>
          </w:p>
          <w:p w14:paraId="1DA4FEC9">
            <w:pPr>
              <w:widowControl/>
              <w:spacing w:line="32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BC7030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65263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 w14:paraId="713828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BA1829"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F34A4E"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1725D9"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12A27">
            <w:pPr>
              <w:rPr>
                <w:rFonts w:ascii="宋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9973AF">
            <w:pPr>
              <w:rPr>
                <w:rFonts w:ascii="宋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F739D5">
            <w:pPr>
              <w:widowControl/>
              <w:ind w:left="-105" w:leftChars="-50" w:right="-126" w:rightChars="-6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E7E3CA">
            <w:pPr>
              <w:widowControl/>
              <w:ind w:left="-86" w:leftChars="-41" w:right="-88" w:rightChars="-42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2A90E9">
            <w:pPr>
              <w:widowControl/>
              <w:ind w:left="-126" w:leftChars="-60" w:right="-136" w:rightChars="-65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  <w:p w14:paraId="4D5C8FBC">
            <w:pPr>
              <w:widowControl/>
              <w:ind w:left="-126" w:leftChars="-60" w:right="-136" w:rightChars="-65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13B29">
            <w:pPr>
              <w:widowControl/>
              <w:ind w:left="-164" w:leftChars="-78" w:right="-153" w:rightChars="-73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</w:p>
          <w:p w14:paraId="542CFFA8">
            <w:pPr>
              <w:widowControl/>
              <w:ind w:left="-164" w:leftChars="-78" w:right="-153" w:rightChars="-73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B377F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47C7DB">
            <w:pPr>
              <w:widowControl/>
              <w:ind w:left="-99" w:leftChars="-47" w:right="-78" w:rightChars="-37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135E94">
            <w:pPr>
              <w:widowControl/>
              <w:ind w:left="-136" w:leftChars="-65" w:right="-124" w:rightChars="-59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 w14:paraId="7F21E5A6">
            <w:pPr>
              <w:widowControl/>
              <w:ind w:left="-136" w:leftChars="-65" w:right="-124" w:rightChars="-59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891870">
            <w:pPr>
              <w:widowControl/>
              <w:ind w:left="-173" w:leftChars="-83" w:right="-134" w:rightChars="-64" w:hang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</w:p>
          <w:p w14:paraId="3847D7BA">
            <w:pPr>
              <w:widowControl/>
              <w:ind w:left="-173" w:leftChars="-83" w:right="-134" w:rightChars="-64" w:hanging="1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B8BDA7">
            <w:pPr>
              <w:widowControl/>
              <w:ind w:left="-67" w:leftChars="-33" w:right="-105" w:rightChars="-50" w:hanging="2" w:hangingChars="1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B9026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57C90D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8C0F05">
            <w:pPr>
              <w:widowControl/>
              <w:spacing w:after="18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278C8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F60AE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CA770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E27386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34916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65D68D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056DD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6962BF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94339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B4BB42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2FEF74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895C70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EECD3C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2DDAC8">
            <w:pPr>
              <w:widowControl/>
              <w:spacing w:after="18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5F63C2DE">
      <w:pPr>
        <w:widowControl/>
        <w:shd w:val="clear" w:color="auto" w:fill="FFFFFF"/>
        <w:jc w:val="center"/>
        <w:rPr>
          <w:rFonts w:ascii="宋体" w:hAnsi="宋体" w:eastAsia="宋体" w:cs="宋体"/>
          <w:color w:val="333333"/>
          <w:sz w:val="24"/>
        </w:rPr>
      </w:pPr>
    </w:p>
    <w:p w14:paraId="6B63FFFC">
      <w:pPr>
        <w:pStyle w:val="2"/>
        <w:widowControl/>
        <w:shd w:val="clear" w:color="auto" w:fill="FFFFFF"/>
        <w:spacing w:beforeAutospacing="0" w:afterAutospacing="0"/>
        <w:ind w:firstLine="420"/>
        <w:jc w:val="both"/>
        <w:rPr>
          <w:rFonts w:ascii="黑体" w:hAnsi="黑体" w:eastAsia="黑体" w:cs="宋体"/>
          <w:color w:val="333333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sz w:val="32"/>
          <w:szCs w:val="32"/>
          <w:shd w:val="clear" w:color="auto" w:fill="FFFFFF"/>
        </w:rPr>
        <w:t>五、存在的主要问题及改进情况</w:t>
      </w:r>
    </w:p>
    <w:p w14:paraId="3FE26D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我局政府信息公开工作虽然取得了一定的成绩，但与县委县政府的要求，与群众的期望相比还有一定的差距，主要表现在：一是信息公开工作宣传力度和形式有待进一步加强；二是信息公开的时效性有待进一步加强；三是信息公开的范围和渠道需进一步拓宽；四是信息公开人员队伍建设需进一步加强。</w:t>
      </w:r>
    </w:p>
    <w:p w14:paraId="0E0686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我局将认真贯彻落实上级有关文件规定和要求，总结经验，整改问题，重点做好以下几个方面的工作：</w:t>
      </w:r>
    </w:p>
    <w:p w14:paraId="1FDABF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1. 丰富形式、拓展内容，积极推进政府信息公开多元化发展。推进教育行政部门与公众的互动，加强文件政策解读，重点借助微信公众号等新媒体，进一步加强本局政府信息公开的“窗口”建设，整合资源数据共享。</w:t>
      </w:r>
    </w:p>
    <w:p w14:paraId="4566DD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2. 围绕热点、结合重点，积极丰富便民服务事项和形式。通过开展重点热点事项民众调研、文件政策事前征求意见等方式，进一步推进重点领域教育民生事项和教育类办事项目的公开，重新梳理公开机构改革后的部门责任清单、权力清单和服务清单，为公众提供规范、快捷的服务。</w:t>
      </w:r>
    </w:p>
    <w:p w14:paraId="6C61A4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3. 加强整合、积极开发，进一步拓展教育信息源。积极整合本县教育类优质信息资源，逐步实现教育行政部门、局直属单位网站所涉教育公共信息资源的有效利用，加强本局教育信息资源向各基层学校的延伸。</w:t>
      </w:r>
    </w:p>
    <w:p w14:paraId="2BBC72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4. 加强网络信息公开平台建设，拓展互联网媒体的信息服务功能。借助政府网站、微信公众号、民声网等平台，探索信息公开的多元化模式，进一步提高信息公开综合效益，提升群众满意度。</w:t>
      </w:r>
    </w:p>
    <w:p w14:paraId="377D82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5. 结合市县和本部门政务公开重点工作任务，制定具体实施方案或工作措施，及时在本单位网站公布，并建立任务落实台帐，加强监督检查，确保公开工作落实到位。</w:t>
      </w:r>
    </w:p>
    <w:p w14:paraId="3346A3AA">
      <w:pPr>
        <w:pStyle w:val="2"/>
        <w:widowControl/>
        <w:shd w:val="clear" w:color="auto" w:fill="FFFFFF"/>
        <w:spacing w:beforeAutospacing="0" w:afterAutospacing="0"/>
        <w:ind w:firstLine="640" w:firstLineChars="200"/>
        <w:jc w:val="both"/>
        <w:rPr>
          <w:rFonts w:ascii="黑体" w:hAnsi="黑体" w:eastAsia="黑体" w:cs="宋体"/>
          <w:color w:val="333333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sz w:val="32"/>
          <w:szCs w:val="32"/>
          <w:shd w:val="clear" w:color="auto" w:fill="FFFFFF"/>
        </w:rPr>
        <w:t>六、其他需要报告的事项</w:t>
      </w:r>
    </w:p>
    <w:p w14:paraId="2AD7CD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000000"/>
          <w:kern w:val="0"/>
          <w:sz w:val="32"/>
          <w:szCs w:val="32"/>
        </w:rPr>
        <w:t>所属事业单位信息公开工作推进情况</w:t>
      </w:r>
    </w:p>
    <w:p w14:paraId="39AF1C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根据《教育部关于推进中小学信息公开工作的意见》（教办〔2011〕15号）、教育部办公厅&lt;关于印发《教育部贯彻落实国务院办公厅2017年政务公开工作要点实施方案&gt;的通知》（教办厅函〔2017〕20号）及省市教育部门有关要求，2019年，县教育和体育局指导所辖中小学及时公开信息，积极为中小学开展信息公开工作创造条件。通过集中学习、远程教学、交流研讨等多种形式，分层次开展中小学信息公开业务培训。各中小学建立健全校长直接领导、专人或机构具体承担、师生员工、学生家长和社会公众参与监督的信息公开工作机制，健全学校校务公开制度，全面推行办事公开。</w:t>
      </w:r>
    </w:p>
    <w:p w14:paraId="7E507A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各中小学将主动公开的信息以下列一种或几种方式公开：</w:t>
      </w:r>
    </w:p>
    <w:p w14:paraId="4D3A81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（一）学校网站（或本地教育门户网站）、微信公众号；</w:t>
      </w:r>
    </w:p>
    <w:p w14:paraId="17CC99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（二）校务公开栏、公告牌、电子显示屏、触摸屏等；</w:t>
      </w:r>
    </w:p>
    <w:p w14:paraId="36D8EE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（三）服务指南、招生简章、收费公示卡、致家长信等；</w:t>
      </w:r>
    </w:p>
    <w:p w14:paraId="622BB5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（四）校园广播、电视、校报校刊等；</w:t>
      </w:r>
    </w:p>
    <w:p w14:paraId="148EE7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（五）校长信箱、咨询投诉电话、手机短信等；</w:t>
      </w:r>
    </w:p>
    <w:p w14:paraId="4F8452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（六）座谈会、咨询会、新闻发布会等；</w:t>
      </w:r>
    </w:p>
    <w:p w14:paraId="263A9B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（七）其他便于公众知晓的方式。</w:t>
      </w:r>
    </w:p>
    <w:p w14:paraId="2E14C4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中小学积极加强学校网站建设，开设信息公开专栏，实现学校信息网上公开，以便于社会公众查询。尚不具备单独设立学校网站条件的，通过上级主管部门的网站公开信息。</w:t>
      </w:r>
    </w:p>
    <w:p w14:paraId="0FD94B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中小学将与学生有关的基本制度规定进行汇总，在新生入学报到时发放，或通过召开家长会、发送书面通知、信函等方式将重要信息告知学生家长。对涉及师生员工切身利益的重大事项，应当通过校务委员会、教职工代表大会、全体教职工大会、学生家长会、家长委员会等形式听取意见。</w:t>
      </w:r>
    </w:p>
    <w:p w14:paraId="3467BCC2">
      <w:pPr>
        <w:widowControl/>
        <w:adjustRightInd w:val="0"/>
        <w:snapToGrid w:val="0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585DBAD8">
      <w:pPr>
        <w:widowControl/>
        <w:adjustRightInd w:val="0"/>
        <w:snapToGrid w:val="0"/>
        <w:rPr>
          <w:rFonts w:hint="eastAsia" w:ascii="Arial" w:hAnsi="Arial" w:eastAsia="黑体" w:cs="Arial"/>
          <w:b/>
          <w:color w:val="000000"/>
          <w:kern w:val="0"/>
          <w:sz w:val="32"/>
          <w:szCs w:val="32"/>
        </w:rPr>
      </w:pPr>
    </w:p>
    <w:p w14:paraId="0242F597">
      <w:pPr>
        <w:spacing w:line="600" w:lineRule="exact"/>
        <w:ind w:firstLine="643" w:firstLineChars="200"/>
        <w:rPr>
          <w:rFonts w:hint="eastAsia" w:ascii="仿宋_GB2312" w:hAnsi="Arial" w:eastAsia="仿宋_GB2312" w:cs="Arial"/>
          <w:b/>
          <w:kern w:val="0"/>
          <w:sz w:val="32"/>
          <w:szCs w:val="32"/>
        </w:rPr>
      </w:pPr>
    </w:p>
    <w:p w14:paraId="31CF9132">
      <w:pPr>
        <w:widowControl/>
        <w:adjustRightInd w:val="0"/>
        <w:snapToGrid w:val="0"/>
      </w:pPr>
    </w:p>
    <w:p w14:paraId="151B1AE1">
      <w:pPr>
        <w:widowControl/>
        <w:adjustRightInd w:val="0"/>
        <w:snapToGrid w:val="0"/>
      </w:pPr>
    </w:p>
    <w:p w14:paraId="4EEDE2A4">
      <w:pPr>
        <w:widowControl/>
        <w:adjustRightInd w:val="0"/>
        <w:snapToGrid w:val="0"/>
        <w:rPr>
          <w:rFonts w:hint="eastAsia"/>
        </w:rPr>
      </w:pPr>
    </w:p>
    <w:p w14:paraId="58A8A6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B38CE"/>
    <w:rsid w:val="031807B7"/>
    <w:rsid w:val="066202A7"/>
    <w:rsid w:val="14692862"/>
    <w:rsid w:val="17C14A72"/>
    <w:rsid w:val="19436A53"/>
    <w:rsid w:val="2D852F56"/>
    <w:rsid w:val="2EB408E6"/>
    <w:rsid w:val="2EEB38CE"/>
    <w:rsid w:val="492938B9"/>
    <w:rsid w:val="63562DC7"/>
    <w:rsid w:val="73702E9A"/>
    <w:rsid w:val="797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rFonts w:ascii="微软雅黑" w:hAnsi="微软雅黑" w:eastAsia="微软雅黑" w:cs="微软雅黑"/>
      <w:color w:val="000000"/>
      <w:sz w:val="21"/>
      <w:szCs w:val="21"/>
      <w:u w:val="none"/>
    </w:rPr>
  </w:style>
  <w:style w:type="character" w:styleId="7">
    <w:name w:val="Hyperlink"/>
    <w:basedOn w:val="4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5103</Words>
  <Characters>5302</Characters>
  <Lines>0</Lines>
  <Paragraphs>0</Paragraphs>
  <TotalTime>7</TotalTime>
  <ScaleCrop>false</ScaleCrop>
  <LinksUpToDate>false</LinksUpToDate>
  <CharactersWithSpaces>5344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2020-01-17T09:04:00Z</dcterms:created>
  <dc:creator>Administrator</dc:creator>
  <cp:lastModifiedBy>AA</cp:lastModifiedBy>
  <dcterms:modified xsi:type="dcterms:W3CDTF">2026-07-14T08:23:24Z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eyJoZGlkIjoiZWMyNzdmNzczOTliOGFmYmM2YjUwNmEzNjI4ZjQ2NzQiLCJ1c2VySWQiOiIzMDkxNzU4MTIifQ==</vt:lpwstr>
  </property>
  <property fmtid="{D5CDD505-2E9C-101B-9397-08002B2CF9AE}" pid="4" name="ICV">
    <vt:lpwstr>4334B4360C4B4309946847613C30258D_12</vt:lpwstr>
  </property>
</Properties>
</file>