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48C71">
      <w:pPr>
        <w:widowControl/>
        <w:snapToGrid w:val="0"/>
        <w:spacing w:line="680" w:lineRule="exact"/>
        <w:jc w:val="center"/>
        <w:rPr>
          <w:rFonts w:hint="eastAsia" w:ascii="方正小标宋简体" w:hAnsi="Arial" w:eastAsia="方正小标宋简体" w:cs="Arial"/>
          <w:b w:val="0"/>
          <w:bCs w:val="0"/>
          <w:kern w:val="0"/>
          <w:sz w:val="44"/>
          <w:szCs w:val="44"/>
        </w:rPr>
      </w:pPr>
      <w:bookmarkStart w:id="0" w:name="_GoBack"/>
      <w:bookmarkEnd w:id="0"/>
      <w:r>
        <w:rPr>
          <w:rFonts w:hint="eastAsia" w:ascii="方正小标宋简体" w:hAnsi="Arial" w:eastAsia="方正小标宋简体" w:cs="Arial"/>
          <w:b w:val="0"/>
          <w:bCs w:val="0"/>
          <w:kern w:val="0"/>
          <w:sz w:val="44"/>
          <w:szCs w:val="44"/>
        </w:rPr>
        <w:t>昌乐县教育</w:t>
      </w:r>
      <w:r>
        <w:rPr>
          <w:rFonts w:hint="eastAsia" w:ascii="方正小标宋简体" w:hAnsi="Arial" w:eastAsia="方正小标宋简体" w:cs="Arial"/>
          <w:b w:val="0"/>
          <w:bCs w:val="0"/>
          <w:kern w:val="0"/>
          <w:sz w:val="44"/>
          <w:szCs w:val="44"/>
          <w:lang w:eastAsia="zh-CN"/>
        </w:rPr>
        <w:t>和体育</w:t>
      </w:r>
      <w:r>
        <w:rPr>
          <w:rFonts w:hint="eastAsia" w:ascii="方正小标宋简体" w:hAnsi="Arial" w:eastAsia="方正小标宋简体" w:cs="Arial"/>
          <w:b w:val="0"/>
          <w:bCs w:val="0"/>
          <w:kern w:val="0"/>
          <w:sz w:val="44"/>
          <w:szCs w:val="44"/>
        </w:rPr>
        <w:t>局</w:t>
      </w:r>
    </w:p>
    <w:p w14:paraId="07629456">
      <w:pPr>
        <w:widowControl/>
        <w:snapToGrid w:val="0"/>
        <w:spacing w:line="680" w:lineRule="exact"/>
        <w:jc w:val="center"/>
        <w:rPr>
          <w:rFonts w:hint="eastAsia" w:ascii="方正小标宋简体" w:hAnsi="Arial" w:eastAsia="方正小标宋简体" w:cs="Arial"/>
          <w:b w:val="0"/>
          <w:bCs w:val="0"/>
          <w:kern w:val="0"/>
          <w:sz w:val="44"/>
          <w:szCs w:val="44"/>
        </w:rPr>
      </w:pPr>
      <w:r>
        <w:rPr>
          <w:rFonts w:hint="eastAsia" w:ascii="方正小标宋简体" w:hAnsi="Arial" w:eastAsia="方正小标宋简体" w:cs="Arial"/>
          <w:b w:val="0"/>
          <w:bCs w:val="0"/>
          <w:kern w:val="0"/>
          <w:sz w:val="44"/>
          <w:szCs w:val="44"/>
        </w:rPr>
        <w:t>20</w:t>
      </w:r>
      <w:r>
        <w:rPr>
          <w:rFonts w:hint="eastAsia" w:ascii="方正小标宋简体" w:hAnsi="Arial" w:eastAsia="方正小标宋简体" w:cs="Arial"/>
          <w:b w:val="0"/>
          <w:bCs w:val="0"/>
          <w:kern w:val="0"/>
          <w:sz w:val="44"/>
          <w:szCs w:val="44"/>
          <w:lang w:val="en-US" w:eastAsia="zh-CN"/>
        </w:rPr>
        <w:t>20</w:t>
      </w:r>
      <w:r>
        <w:rPr>
          <w:rFonts w:hint="eastAsia" w:ascii="方正小标宋简体" w:hAnsi="Arial" w:eastAsia="方正小标宋简体" w:cs="Arial"/>
          <w:b w:val="0"/>
          <w:bCs w:val="0"/>
          <w:kern w:val="0"/>
          <w:sz w:val="44"/>
          <w:szCs w:val="44"/>
        </w:rPr>
        <w:t>年政府信息公开</w:t>
      </w:r>
      <w:r>
        <w:rPr>
          <w:rFonts w:hint="eastAsia" w:ascii="方正小标宋简体" w:hAnsi="Arial" w:eastAsia="方正小标宋简体" w:cs="Arial"/>
          <w:b w:val="0"/>
          <w:bCs w:val="0"/>
          <w:kern w:val="0"/>
          <w:sz w:val="44"/>
          <w:szCs w:val="44"/>
          <w:lang w:eastAsia="zh-CN"/>
        </w:rPr>
        <w:t>工作</w:t>
      </w:r>
      <w:r>
        <w:rPr>
          <w:rFonts w:hint="eastAsia" w:ascii="方正小标宋简体" w:hAnsi="Arial" w:eastAsia="方正小标宋简体" w:cs="Arial"/>
          <w:b w:val="0"/>
          <w:bCs w:val="0"/>
          <w:kern w:val="0"/>
          <w:sz w:val="44"/>
          <w:szCs w:val="44"/>
        </w:rPr>
        <w:t>年度报告</w:t>
      </w:r>
    </w:p>
    <w:p w14:paraId="24764B2F">
      <w:pPr>
        <w:pStyle w:val="3"/>
        <w:widowControl/>
        <w:shd w:val="clear" w:color="auto" w:fill="FFFFFF"/>
        <w:spacing w:beforeAutospacing="0" w:afterAutospacing="0"/>
        <w:ind w:firstLine="420"/>
        <w:jc w:val="both"/>
        <w:rPr>
          <w:rFonts w:ascii="宋体" w:hAnsi="宋体" w:eastAsia="宋体" w:cs="宋体"/>
          <w:color w:val="333333"/>
        </w:rPr>
      </w:pPr>
    </w:p>
    <w:p w14:paraId="76CAD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Arial" w:hAnsi="Arial" w:eastAsia="仿宋_GB2312" w:cs="Arial"/>
          <w:b w:val="0"/>
          <w:bCs/>
          <w:kern w:val="0"/>
          <w:sz w:val="32"/>
          <w:szCs w:val="32"/>
          <w:lang w:val="en-US" w:eastAsia="zh-CN"/>
        </w:rPr>
      </w:pPr>
      <w:r>
        <w:rPr>
          <w:rFonts w:hint="eastAsia" w:ascii="Arial" w:hAnsi="Arial" w:eastAsia="仿宋_GB2312" w:cs="Arial"/>
          <w:b w:val="0"/>
          <w:bCs/>
          <w:kern w:val="0"/>
          <w:sz w:val="32"/>
          <w:szCs w:val="32"/>
          <w:lang w:val="en-US" w:eastAsia="zh-CN"/>
        </w:rPr>
        <w:t>根据《中华人民共和国政府信息公开条例》、《国务院办公厅政府信息与政务公开办公室关于政府信息公开年度报告有关事项的通知》、《山东省人民政府办公厅关于报送2020年政府信息公开工作年度报告的通知》、《潍坊市人民政府办公室关于做好2020年政府信息公开工作年度报告编制发布和报送工作的通知》、县府办《关于做好2020年政府信息公开工作年度报告编制发布和报送工作的通知》要求，结合我局实际，编制并向社会公布昌乐县教育和体育局2020年政府信息公开工作年度报告。本报告所列数据统计期限为2020年1月1日至2020年12月31日。本报告电子版可在中国·昌乐门户网站（http://www.changle.gov.cn/）查阅。如对本报告有疑问，请与昌乐县教育和体育局办公室联系，地址：昌乐县一中街1号城关商务社区1号楼，邮编：262400，电话：0536-6221975，电子邮箱：</w:t>
      </w:r>
      <w:r>
        <w:rPr>
          <w:rFonts w:hint="eastAsia" w:ascii="Arial" w:hAnsi="Arial" w:eastAsia="仿宋_GB2312" w:cs="Arial"/>
          <w:b w:val="0"/>
          <w:bCs/>
          <w:kern w:val="0"/>
          <w:sz w:val="32"/>
          <w:szCs w:val="32"/>
          <w:lang w:val="en-US" w:eastAsia="zh-CN"/>
        </w:rPr>
        <w:fldChar w:fldCharType="begin"/>
      </w:r>
      <w:r>
        <w:rPr>
          <w:rFonts w:hint="eastAsia" w:ascii="Arial" w:hAnsi="Arial" w:eastAsia="仿宋_GB2312" w:cs="Arial"/>
          <w:b w:val="0"/>
          <w:bCs/>
          <w:kern w:val="0"/>
          <w:sz w:val="32"/>
          <w:szCs w:val="32"/>
          <w:lang w:val="en-US" w:eastAsia="zh-CN"/>
        </w:rPr>
        <w:instrText xml:space="preserve"> HYPERLINK "mailto:clxxgk@163.com" </w:instrText>
      </w:r>
      <w:r>
        <w:rPr>
          <w:rFonts w:hint="eastAsia" w:ascii="Arial" w:hAnsi="Arial" w:eastAsia="仿宋_GB2312" w:cs="Arial"/>
          <w:b w:val="0"/>
          <w:bCs/>
          <w:kern w:val="0"/>
          <w:sz w:val="32"/>
          <w:szCs w:val="32"/>
          <w:lang w:val="en-US" w:eastAsia="zh-CN"/>
        </w:rPr>
        <w:fldChar w:fldCharType="separate"/>
      </w:r>
      <w:r>
        <w:rPr>
          <w:rFonts w:hint="eastAsia" w:ascii="Arial" w:hAnsi="Arial" w:eastAsia="仿宋_GB2312" w:cs="Arial"/>
          <w:b w:val="0"/>
          <w:bCs/>
          <w:kern w:val="0"/>
          <w:sz w:val="32"/>
          <w:szCs w:val="32"/>
          <w:lang w:val="en-US" w:eastAsia="zh-CN"/>
        </w:rPr>
        <w:t>cljyjwj@wf.shandong.cn</w:t>
      </w:r>
      <w:r>
        <w:rPr>
          <w:rFonts w:hint="eastAsia" w:ascii="Arial" w:hAnsi="Arial" w:eastAsia="仿宋_GB2312" w:cs="Arial"/>
          <w:b w:val="0"/>
          <w:bCs/>
          <w:kern w:val="0"/>
          <w:sz w:val="32"/>
          <w:szCs w:val="32"/>
          <w:lang w:val="en-US" w:eastAsia="zh-CN"/>
        </w:rPr>
        <w:fldChar w:fldCharType="end"/>
      </w:r>
      <w:r>
        <w:rPr>
          <w:rFonts w:hint="eastAsia" w:ascii="Arial" w:hAnsi="Arial" w:eastAsia="仿宋_GB2312" w:cs="Arial"/>
          <w:b w:val="0"/>
          <w:bCs/>
          <w:kern w:val="0"/>
          <w:sz w:val="32"/>
          <w:szCs w:val="32"/>
          <w:lang w:val="en-US" w:eastAsia="zh-CN"/>
        </w:rPr>
        <w:t>。</w:t>
      </w:r>
    </w:p>
    <w:p w14:paraId="46706C5B">
      <w:pPr>
        <w:pStyle w:val="3"/>
        <w:widowControl/>
        <w:shd w:val="clear" w:color="auto" w:fill="FFFFFF"/>
        <w:spacing w:beforeAutospacing="0" w:afterAutospacing="0"/>
        <w:ind w:firstLine="640"/>
        <w:jc w:val="both"/>
        <w:rPr>
          <w:rFonts w:ascii="黑体" w:hAnsi="黑体" w:eastAsia="黑体" w:cs="黑体"/>
          <w:color w:val="333333"/>
          <w:sz w:val="32"/>
          <w:szCs w:val="32"/>
        </w:rPr>
      </w:pPr>
      <w:r>
        <w:rPr>
          <w:rFonts w:hint="eastAsia" w:ascii="黑体" w:hAnsi="黑体" w:eastAsia="黑体" w:cs="黑体"/>
          <w:color w:val="333333"/>
          <w:sz w:val="32"/>
          <w:szCs w:val="32"/>
          <w:shd w:val="clear" w:color="auto" w:fill="FFFFFF"/>
        </w:rPr>
        <w:t>一、总体情况</w:t>
      </w:r>
    </w:p>
    <w:p w14:paraId="613D5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Arial" w:hAnsi="Arial" w:eastAsia="仿宋_GB2312" w:cs="Arial"/>
          <w:b w:val="0"/>
          <w:bCs/>
          <w:kern w:val="0"/>
          <w:sz w:val="32"/>
          <w:szCs w:val="32"/>
          <w:lang w:val="en-US" w:eastAsia="zh-CN"/>
        </w:rPr>
      </w:pPr>
      <w:r>
        <w:rPr>
          <w:rFonts w:hint="eastAsia" w:ascii="Arial" w:hAnsi="Arial" w:eastAsia="仿宋_GB2312" w:cs="Arial"/>
          <w:b w:val="0"/>
          <w:bCs/>
          <w:kern w:val="0"/>
          <w:sz w:val="32"/>
          <w:szCs w:val="32"/>
          <w:lang w:val="en-US" w:eastAsia="zh-CN"/>
        </w:rPr>
        <w:t>2020年，昌乐县教育和体育局认真贯彻落实上级关于政务公开工作的部署要求，围绕政府信息公开工作要点和重点领域信息公开，进一步调整优化公开目录、持续拓宽公开渠道，依法规范操作，强化公开保障，推进政府信息公开水平实现新的突破。</w:t>
      </w:r>
    </w:p>
    <w:p w14:paraId="02057F24">
      <w:pPr>
        <w:keepNext w:val="0"/>
        <w:keepLines w:val="0"/>
        <w:pageBreakBefore w:val="0"/>
        <w:widowControl/>
        <w:kinsoku/>
        <w:wordWrap/>
        <w:overflowPunct/>
        <w:topLinePunct w:val="0"/>
        <w:bidi w:val="0"/>
        <w:spacing w:line="560" w:lineRule="exact"/>
        <w:ind w:firstLine="640" w:firstLineChars="200"/>
        <w:textAlignment w:val="auto"/>
        <w:rPr>
          <w:rFonts w:hint="eastAsia" w:ascii="楷体_GB2312" w:hAnsi="楷体_GB2312" w:eastAsia="楷体_GB2312" w:cs="楷体_GB2312"/>
          <w:b w:val="0"/>
          <w:bCs/>
          <w:kern w:val="0"/>
          <w:sz w:val="32"/>
          <w:szCs w:val="32"/>
        </w:rPr>
      </w:pPr>
      <w:r>
        <w:rPr>
          <w:rFonts w:hint="eastAsia" w:ascii="楷体_GB2312" w:hAnsi="楷体_GB2312" w:eastAsia="楷体_GB2312" w:cs="楷体_GB2312"/>
          <w:b w:val="0"/>
          <w:bCs/>
          <w:kern w:val="0"/>
          <w:sz w:val="32"/>
          <w:szCs w:val="32"/>
          <w:lang w:val="en-US" w:eastAsia="zh-CN"/>
        </w:rPr>
        <w:t>（一）主动公开情况</w:t>
      </w:r>
    </w:p>
    <w:p w14:paraId="60C054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default" w:ascii="Arial" w:hAnsi="Arial" w:eastAsia="仿宋_GB2312" w:cs="Arial"/>
          <w:b w:val="0"/>
          <w:bCs/>
          <w:kern w:val="0"/>
          <w:sz w:val="32"/>
          <w:szCs w:val="32"/>
          <w:lang w:val="en-US" w:eastAsia="zh-CN"/>
        </w:rPr>
      </w:pPr>
      <w:r>
        <w:rPr>
          <w:rFonts w:hint="eastAsia" w:ascii="Arial" w:hAnsi="Arial" w:eastAsia="仿宋_GB2312" w:cs="Arial"/>
          <w:b w:val="0"/>
          <w:bCs/>
          <w:kern w:val="0"/>
          <w:sz w:val="32"/>
          <w:szCs w:val="32"/>
          <w:lang w:val="en-US" w:eastAsia="zh-CN"/>
        </w:rPr>
        <w:t>规范程序，丰富内容。严格遵循依法公开、真实公正、注重实效、有利监督四个原则，保证有价值的信息能及时向社会大众公开。截至2020年12月31日，主动公开政府信息2660余条，其中主要通过门户网站公开1300余条，通过微信公众号主动公开762篇，回应公众关注热点352次，办理人大代表建议政协委员提案29件，举办政策解读新闻发布会6次</w:t>
      </w:r>
      <w:r>
        <w:rPr>
          <w:rFonts w:hint="default" w:ascii="Arial" w:hAnsi="Arial" w:eastAsia="仿宋_GB2312" w:cs="Arial"/>
          <w:b w:val="0"/>
          <w:bCs/>
          <w:kern w:val="0"/>
          <w:sz w:val="32"/>
          <w:szCs w:val="32"/>
          <w:lang w:val="en-US" w:eastAsia="zh-CN"/>
        </w:rPr>
        <w:t>,</w:t>
      </w:r>
      <w:r>
        <w:rPr>
          <w:rFonts w:hint="eastAsia" w:ascii="Arial" w:hAnsi="Arial" w:eastAsia="仿宋_GB2312" w:cs="Arial"/>
          <w:b w:val="0"/>
          <w:bCs/>
          <w:kern w:val="0"/>
          <w:sz w:val="32"/>
          <w:szCs w:val="32"/>
          <w:lang w:val="zh-CN" w:eastAsia="zh-CN"/>
        </w:rPr>
        <w:t>受理政府信息公开申请1件，公开行政执法公示信息8条，</w:t>
      </w:r>
      <w:r>
        <w:rPr>
          <w:rFonts w:hint="eastAsia" w:ascii="Arial" w:hAnsi="Arial" w:eastAsia="仿宋_GB2312" w:cs="Arial"/>
          <w:b w:val="0"/>
          <w:bCs/>
          <w:kern w:val="0"/>
          <w:sz w:val="32"/>
          <w:szCs w:val="32"/>
          <w:lang w:val="en-US" w:eastAsia="zh-CN"/>
        </w:rPr>
        <w:t>”双随机、一公开 ”抽查计划和结果11条，</w:t>
      </w:r>
      <w:r>
        <w:rPr>
          <w:rFonts w:hint="eastAsia" w:ascii="Arial" w:hAnsi="Arial" w:eastAsia="仿宋_GB2312" w:cs="Arial"/>
          <w:b w:val="0"/>
          <w:bCs/>
          <w:kern w:val="0"/>
          <w:sz w:val="32"/>
          <w:szCs w:val="32"/>
          <w:lang w:val="zh-CN" w:eastAsia="zh-CN"/>
        </w:rPr>
        <w:t>各类社会公益事业建设领域信息430余条，公共企事业单位信息138条，</w:t>
      </w:r>
      <w:r>
        <w:rPr>
          <w:rFonts w:hint="eastAsia" w:ascii="Arial" w:hAnsi="Arial" w:eastAsia="仿宋_GB2312" w:cs="Arial"/>
          <w:b w:val="0"/>
          <w:bCs/>
          <w:kern w:val="0"/>
          <w:sz w:val="32"/>
          <w:szCs w:val="32"/>
          <w:lang w:val="en-US" w:eastAsia="zh-CN"/>
        </w:rPr>
        <w:t>2020年，我局未收到依申请公开案件。</w:t>
      </w:r>
    </w:p>
    <w:p w14:paraId="28F67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Arial" w:hAnsi="Arial" w:eastAsia="仿宋_GB2312" w:cs="Arial"/>
          <w:b w:val="0"/>
          <w:bCs/>
          <w:kern w:val="0"/>
          <w:sz w:val="32"/>
          <w:szCs w:val="32"/>
          <w:lang w:val="en-US" w:eastAsia="zh-CN"/>
        </w:rPr>
      </w:pPr>
      <w:r>
        <w:rPr>
          <w:rFonts w:hint="eastAsia" w:ascii="楷体_GB2312" w:hAnsi="楷体_GB2312" w:eastAsia="楷体_GB2312" w:cs="楷体_GB2312"/>
          <w:b w:val="0"/>
          <w:bCs/>
          <w:color w:val="auto"/>
          <w:kern w:val="0"/>
          <w:sz w:val="32"/>
          <w:szCs w:val="32"/>
          <w:lang w:val="en-US" w:eastAsia="zh-CN" w:bidi="ar"/>
        </w:rPr>
        <w:t>机构公开概况。</w:t>
      </w:r>
      <w:r>
        <w:rPr>
          <w:rFonts w:hint="eastAsia" w:ascii="Arial" w:hAnsi="Arial" w:eastAsia="仿宋_GB2312" w:cs="Arial"/>
          <w:b w:val="0"/>
          <w:bCs/>
          <w:kern w:val="0"/>
          <w:sz w:val="32"/>
          <w:szCs w:val="32"/>
          <w:lang w:val="en-US" w:eastAsia="zh-CN"/>
        </w:rPr>
        <w:t>在机构改革和科室调整后，第一时间更新教育和体育局基本信息、法定职责、机构设置、办公地址、办公时间、联系方式、领导班子职责分工、下属单位信息等内容，并在县政府信息公开专栏和局机关网站公布。</w:t>
      </w:r>
      <w:r>
        <w:rPr>
          <w:rFonts w:hint="eastAsia" w:ascii="Arial" w:hAnsi="Arial" w:eastAsia="仿宋_GB2312" w:cs="Arial"/>
          <w:b w:val="0"/>
          <w:bCs/>
          <w:kern w:val="0"/>
          <w:sz w:val="32"/>
          <w:szCs w:val="32"/>
          <w:lang w:val="en-US" w:eastAsia="zh-CN"/>
        </w:rPr>
        <w:drawing>
          <wp:inline distT="0" distB="0" distL="114300" distR="114300">
            <wp:extent cx="5566410" cy="1976755"/>
            <wp:effectExtent l="0" t="0" r="15240" b="4445"/>
            <wp:docPr id="15" name="图片 15" descr="人员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人员机构"/>
                    <pic:cNvPicPr>
                      <a:picLocks noChangeAspect="1"/>
                    </pic:cNvPicPr>
                  </pic:nvPicPr>
                  <pic:blipFill>
                    <a:blip r:embed="rId4"/>
                    <a:stretch>
                      <a:fillRect/>
                    </a:stretch>
                  </pic:blipFill>
                  <pic:spPr>
                    <a:xfrm>
                      <a:off x="0" y="0"/>
                      <a:ext cx="5566410" cy="1976755"/>
                    </a:xfrm>
                    <a:prstGeom prst="rect">
                      <a:avLst/>
                    </a:prstGeom>
                  </pic:spPr>
                </pic:pic>
              </a:graphicData>
            </a:graphic>
          </wp:inline>
        </w:drawing>
      </w:r>
    </w:p>
    <w:p w14:paraId="5AAC1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ascii="Arial" w:hAnsi="Arial" w:eastAsia="仿宋_GB2312" w:cs="Arial"/>
          <w:b w:val="0"/>
          <w:bCs/>
          <w:color w:val="auto"/>
          <w:kern w:val="0"/>
          <w:sz w:val="32"/>
          <w:szCs w:val="32"/>
        </w:rPr>
      </w:pPr>
      <w:r>
        <w:rPr>
          <w:rFonts w:hint="eastAsia" w:ascii="楷体_GB2312" w:hAnsi="楷体_GB2312" w:eastAsia="楷体_GB2312" w:cs="楷体_GB2312"/>
          <w:b w:val="0"/>
          <w:bCs/>
          <w:color w:val="auto"/>
          <w:kern w:val="0"/>
          <w:sz w:val="32"/>
          <w:szCs w:val="32"/>
          <w:lang w:val="en-US" w:eastAsia="zh-CN" w:bidi="ar"/>
        </w:rPr>
        <w:t>决策公开方面。</w:t>
      </w:r>
      <w:r>
        <w:rPr>
          <w:rFonts w:ascii="Arial" w:hAnsi="Arial" w:eastAsia="仿宋_GB2312" w:cs="Arial"/>
          <w:b w:val="0"/>
          <w:bCs/>
          <w:color w:val="auto"/>
          <w:kern w:val="0"/>
          <w:sz w:val="32"/>
          <w:szCs w:val="32"/>
        </w:rPr>
        <w:t>制定了《昌乐县教育</w:t>
      </w:r>
      <w:r>
        <w:rPr>
          <w:rFonts w:hint="eastAsia" w:ascii="Arial" w:hAnsi="Arial" w:eastAsia="仿宋_GB2312" w:cs="Arial"/>
          <w:b w:val="0"/>
          <w:bCs/>
          <w:color w:val="auto"/>
          <w:kern w:val="0"/>
          <w:sz w:val="32"/>
          <w:szCs w:val="32"/>
          <w:lang w:eastAsia="zh-CN"/>
        </w:rPr>
        <w:t>和体育</w:t>
      </w:r>
      <w:r>
        <w:rPr>
          <w:rFonts w:ascii="Arial" w:hAnsi="Arial" w:eastAsia="仿宋_GB2312" w:cs="Arial"/>
          <w:b w:val="0"/>
          <w:bCs/>
          <w:color w:val="auto"/>
          <w:kern w:val="0"/>
          <w:sz w:val="32"/>
          <w:szCs w:val="32"/>
        </w:rPr>
        <w:t>局政府信息公开制度》</w:t>
      </w:r>
      <w:r>
        <w:rPr>
          <w:rFonts w:hint="eastAsia" w:ascii="Arial" w:hAnsi="Arial" w:eastAsia="仿宋_GB2312" w:cs="Arial"/>
          <w:b w:val="0"/>
          <w:bCs/>
          <w:color w:val="auto"/>
          <w:kern w:val="0"/>
          <w:sz w:val="32"/>
          <w:szCs w:val="32"/>
        </w:rPr>
        <w:t>、</w:t>
      </w:r>
      <w:r>
        <w:rPr>
          <w:rFonts w:ascii="Arial" w:hAnsi="Arial" w:eastAsia="仿宋_GB2312" w:cs="Arial"/>
          <w:b w:val="0"/>
          <w:bCs/>
          <w:color w:val="auto"/>
          <w:kern w:val="0"/>
          <w:sz w:val="32"/>
          <w:szCs w:val="32"/>
        </w:rPr>
        <w:t>《昌乐县教育</w:t>
      </w:r>
      <w:r>
        <w:rPr>
          <w:rFonts w:hint="eastAsia" w:ascii="Arial" w:hAnsi="Arial" w:eastAsia="仿宋_GB2312" w:cs="Arial"/>
          <w:b w:val="0"/>
          <w:bCs/>
          <w:color w:val="auto"/>
          <w:kern w:val="0"/>
          <w:sz w:val="32"/>
          <w:szCs w:val="32"/>
          <w:lang w:eastAsia="zh-CN"/>
        </w:rPr>
        <w:t>和体育</w:t>
      </w:r>
      <w:r>
        <w:rPr>
          <w:rFonts w:ascii="Arial" w:hAnsi="Arial" w:eastAsia="仿宋_GB2312" w:cs="Arial"/>
          <w:b w:val="0"/>
          <w:bCs/>
          <w:color w:val="auto"/>
          <w:kern w:val="0"/>
          <w:sz w:val="32"/>
          <w:szCs w:val="32"/>
        </w:rPr>
        <w:t>局政府信息公开保密审查制度》、《昌乐县教育</w:t>
      </w:r>
      <w:r>
        <w:rPr>
          <w:rFonts w:hint="eastAsia" w:ascii="Arial" w:hAnsi="Arial" w:eastAsia="仿宋_GB2312" w:cs="Arial"/>
          <w:b w:val="0"/>
          <w:bCs/>
          <w:color w:val="auto"/>
          <w:kern w:val="0"/>
          <w:sz w:val="32"/>
          <w:szCs w:val="32"/>
          <w:lang w:eastAsia="zh-CN"/>
        </w:rPr>
        <w:t>和体育</w:t>
      </w:r>
      <w:r>
        <w:rPr>
          <w:rFonts w:ascii="Arial" w:hAnsi="Arial" w:eastAsia="仿宋_GB2312" w:cs="Arial"/>
          <w:b w:val="0"/>
          <w:bCs/>
          <w:color w:val="auto"/>
          <w:kern w:val="0"/>
          <w:sz w:val="32"/>
          <w:szCs w:val="32"/>
        </w:rPr>
        <w:t>局互联网门户网站信息公开保密审查制度》等，完善信息发布过程化管理，规范信息公开的审核、发布程序，使公文进入审签程序时就明确该公文信息可否公开，实现政府信息发布、依申请公开受理、政府信息咨询等工作的一体化管理。</w:t>
      </w:r>
    </w:p>
    <w:p w14:paraId="2D95E4DA">
      <w:pPr>
        <w:keepNext w:val="0"/>
        <w:keepLines w:val="0"/>
        <w:pageBreakBefore w:val="0"/>
        <w:widowControl/>
        <w:kinsoku/>
        <w:wordWrap/>
        <w:overflowPunct/>
        <w:topLinePunct w:val="0"/>
        <w:bidi w:val="0"/>
        <w:spacing w:line="560" w:lineRule="exact"/>
        <w:ind w:firstLine="640" w:firstLineChars="200"/>
        <w:textAlignment w:val="auto"/>
        <w:rPr>
          <w:rFonts w:hint="eastAsia" w:ascii="仿宋_GB2312" w:hAnsi="Arial" w:eastAsia="仿宋_GB2312" w:cs="Arial"/>
          <w:b w:val="0"/>
          <w:bCs/>
          <w:color w:val="000000"/>
          <w:kern w:val="0"/>
          <w:sz w:val="32"/>
          <w:szCs w:val="32"/>
        </w:rPr>
      </w:pPr>
      <w:r>
        <w:rPr>
          <w:rFonts w:hint="eastAsia" w:ascii="楷体_GB2312" w:hAnsi="楷体_GB2312" w:eastAsia="楷体_GB2312" w:cs="楷体_GB2312"/>
          <w:b w:val="0"/>
          <w:bCs/>
          <w:color w:val="auto"/>
          <w:kern w:val="0"/>
          <w:sz w:val="32"/>
          <w:szCs w:val="32"/>
          <w:lang w:val="en-US" w:eastAsia="zh-CN" w:bidi="ar"/>
        </w:rPr>
        <w:t>管理和服务公开方面。</w:t>
      </w:r>
      <w:r>
        <w:rPr>
          <w:rFonts w:hint="eastAsia" w:ascii="仿宋_GB2312" w:hAnsi="Arial" w:eastAsia="仿宋_GB2312" w:cs="Arial"/>
          <w:b w:val="0"/>
          <w:bCs/>
          <w:color w:val="auto"/>
          <w:kern w:val="0"/>
          <w:sz w:val="32"/>
          <w:szCs w:val="32"/>
          <w:lang w:val="en-US" w:eastAsia="zh-CN"/>
        </w:rPr>
        <w:t>结合政府机构改革和职能优化，及时更新政府部门权责清单。</w:t>
      </w:r>
      <w:r>
        <w:rPr>
          <w:rFonts w:hint="eastAsia" w:ascii="仿宋_GB2312" w:hAnsi="Arial" w:eastAsia="仿宋_GB2312" w:cs="Arial"/>
          <w:b w:val="0"/>
          <w:bCs/>
          <w:color w:val="auto"/>
          <w:kern w:val="0"/>
          <w:sz w:val="32"/>
          <w:szCs w:val="32"/>
        </w:rPr>
        <w:t>县</w:t>
      </w:r>
      <w:r>
        <w:rPr>
          <w:rFonts w:hint="eastAsia" w:ascii="仿宋_GB2312" w:hAnsi="Arial" w:eastAsia="仿宋_GB2312" w:cs="Arial"/>
          <w:b w:val="0"/>
          <w:bCs/>
          <w:color w:val="auto"/>
          <w:kern w:val="0"/>
          <w:sz w:val="32"/>
          <w:szCs w:val="32"/>
          <w:lang w:eastAsia="zh-CN"/>
        </w:rPr>
        <w:t>教育和体育局</w:t>
      </w:r>
      <w:r>
        <w:rPr>
          <w:rFonts w:hint="eastAsia" w:ascii="仿宋_GB2312" w:hAnsi="Arial" w:eastAsia="仿宋_GB2312" w:cs="Arial"/>
          <w:b w:val="0"/>
          <w:bCs/>
          <w:color w:val="auto"/>
          <w:kern w:val="0"/>
          <w:sz w:val="32"/>
          <w:szCs w:val="32"/>
        </w:rPr>
        <w:t>在“中国·昌乐”政府网站信息公开专栏</w:t>
      </w:r>
      <w:r>
        <w:rPr>
          <w:rFonts w:hint="eastAsia" w:ascii="仿宋_GB2312" w:hAnsi="Arial" w:eastAsia="仿宋_GB2312" w:cs="Arial"/>
          <w:b w:val="0"/>
          <w:bCs/>
          <w:color w:val="auto"/>
          <w:kern w:val="0"/>
          <w:sz w:val="32"/>
          <w:szCs w:val="32"/>
          <w:lang w:eastAsia="zh-CN"/>
        </w:rPr>
        <w:t>、</w:t>
      </w:r>
      <w:r>
        <w:rPr>
          <w:rFonts w:hint="eastAsia" w:ascii="仿宋_GB2312" w:hAnsi="Arial" w:eastAsia="仿宋_GB2312" w:cs="Arial"/>
          <w:b w:val="0"/>
          <w:bCs/>
          <w:color w:val="auto"/>
          <w:kern w:val="0"/>
          <w:sz w:val="32"/>
          <w:szCs w:val="32"/>
        </w:rPr>
        <w:t>“中国·昌乐”网站</w:t>
      </w:r>
      <w:r>
        <w:rPr>
          <w:rFonts w:hint="eastAsia" w:ascii="仿宋_GB2312" w:hAnsi="Arial" w:eastAsia="仿宋_GB2312" w:cs="Arial"/>
          <w:b w:val="0"/>
          <w:bCs/>
          <w:color w:val="auto"/>
          <w:kern w:val="0"/>
          <w:sz w:val="32"/>
          <w:szCs w:val="32"/>
          <w:lang w:eastAsia="zh-CN"/>
        </w:rPr>
        <w:t>“教育和体育局”专栏、</w:t>
      </w:r>
      <w:r>
        <w:rPr>
          <w:rFonts w:hint="eastAsia" w:ascii="仿宋_GB2312" w:hAnsi="Arial" w:eastAsia="仿宋_GB2312" w:cs="Arial"/>
          <w:b w:val="0"/>
          <w:bCs/>
          <w:color w:val="auto"/>
          <w:kern w:val="0"/>
          <w:sz w:val="32"/>
          <w:szCs w:val="32"/>
        </w:rPr>
        <w:t>“昌乐政务服务中</w:t>
      </w:r>
      <w:r>
        <w:rPr>
          <w:rFonts w:hint="eastAsia" w:ascii="仿宋_GB2312" w:hAnsi="Arial" w:eastAsia="仿宋_GB2312" w:cs="Arial"/>
          <w:b w:val="0"/>
          <w:bCs/>
          <w:color w:val="000000"/>
          <w:kern w:val="0"/>
          <w:sz w:val="32"/>
          <w:szCs w:val="32"/>
        </w:rPr>
        <w:t>心网站”等集中公开了为学校、学生、教师、公民、法人服务的政府信息。如：社会办学、招标采购、</w:t>
      </w:r>
      <w:r>
        <w:rPr>
          <w:rFonts w:hint="eastAsia" w:ascii="仿宋_GB2312" w:hAnsi="Arial" w:eastAsia="仿宋_GB2312" w:cs="Arial"/>
          <w:b w:val="0"/>
          <w:bCs/>
          <w:color w:val="000000"/>
          <w:kern w:val="0"/>
          <w:sz w:val="32"/>
          <w:szCs w:val="32"/>
          <w:lang w:eastAsia="zh-CN"/>
        </w:rPr>
        <w:t>学校建设</w:t>
      </w:r>
      <w:r>
        <w:rPr>
          <w:rFonts w:hint="eastAsia" w:ascii="仿宋_GB2312" w:hAnsi="Arial" w:eastAsia="仿宋_GB2312" w:cs="Arial"/>
          <w:b w:val="0"/>
          <w:bCs/>
          <w:color w:val="000000"/>
          <w:kern w:val="0"/>
          <w:sz w:val="32"/>
          <w:szCs w:val="32"/>
        </w:rPr>
        <w:t>、投诉建议；</w:t>
      </w:r>
      <w:r>
        <w:rPr>
          <w:rFonts w:hint="eastAsia" w:ascii="仿宋_GB2312" w:hAnsi="Arial" w:eastAsia="仿宋_GB2312" w:cs="Arial"/>
          <w:b w:val="0"/>
          <w:bCs/>
          <w:color w:val="000000"/>
          <w:kern w:val="0"/>
          <w:sz w:val="32"/>
          <w:szCs w:val="32"/>
          <w:lang w:eastAsia="zh-CN"/>
        </w:rPr>
        <w:t>划片招生</w:t>
      </w:r>
      <w:r>
        <w:rPr>
          <w:rFonts w:hint="eastAsia" w:ascii="仿宋_GB2312" w:hAnsi="Arial" w:eastAsia="仿宋_GB2312" w:cs="Arial"/>
          <w:b w:val="0"/>
          <w:bCs/>
          <w:color w:val="000000"/>
          <w:kern w:val="0"/>
          <w:sz w:val="32"/>
          <w:szCs w:val="32"/>
        </w:rPr>
        <w:t>、</w:t>
      </w:r>
      <w:r>
        <w:rPr>
          <w:rFonts w:hint="eastAsia" w:ascii="仿宋_GB2312" w:hAnsi="Arial" w:eastAsia="仿宋_GB2312" w:cs="Arial"/>
          <w:b w:val="0"/>
          <w:bCs/>
          <w:color w:val="000000"/>
          <w:kern w:val="0"/>
          <w:sz w:val="32"/>
          <w:szCs w:val="32"/>
          <w:lang w:eastAsia="zh-CN"/>
        </w:rPr>
        <w:t>考试政策、学生资助</w:t>
      </w:r>
      <w:r>
        <w:rPr>
          <w:rFonts w:hint="eastAsia" w:ascii="仿宋_GB2312" w:hAnsi="Arial" w:eastAsia="仿宋_GB2312" w:cs="Arial"/>
          <w:b w:val="0"/>
          <w:bCs/>
          <w:color w:val="000000"/>
          <w:kern w:val="0"/>
          <w:sz w:val="32"/>
          <w:szCs w:val="32"/>
        </w:rPr>
        <w:t>、规范办学；教师资格、师德考评、校车管理等政策依据、操作办法等。</w:t>
      </w:r>
    </w:p>
    <w:p w14:paraId="155E6945">
      <w:pPr>
        <w:keepNext w:val="0"/>
        <w:keepLines w:val="0"/>
        <w:pageBreakBefore w:val="0"/>
        <w:widowControl/>
        <w:kinsoku/>
        <w:wordWrap/>
        <w:overflowPunct/>
        <w:topLinePunct w:val="0"/>
        <w:bidi w:val="0"/>
        <w:spacing w:line="240" w:lineRule="auto"/>
        <w:ind w:left="0" w:leftChars="0" w:right="-92" w:rightChars="-44" w:firstLine="0" w:firstLineChars="0"/>
        <w:textAlignment w:val="auto"/>
        <w:rPr>
          <w:rFonts w:hint="eastAsia" w:ascii="仿宋_GB2312" w:hAnsi="Arial" w:eastAsia="仿宋_GB2312" w:cs="Arial"/>
          <w:b w:val="0"/>
          <w:bCs/>
          <w:color w:val="000000"/>
          <w:kern w:val="0"/>
          <w:sz w:val="32"/>
          <w:szCs w:val="32"/>
          <w:lang w:eastAsia="zh-CN"/>
        </w:rPr>
      </w:pPr>
      <w:r>
        <w:rPr>
          <w:rFonts w:hint="eastAsia" w:ascii="仿宋_GB2312" w:hAnsi="Arial" w:eastAsia="仿宋_GB2312" w:cs="Arial"/>
          <w:b w:val="0"/>
          <w:bCs/>
          <w:color w:val="000000"/>
          <w:kern w:val="0"/>
          <w:sz w:val="32"/>
          <w:szCs w:val="32"/>
          <w:lang w:eastAsia="zh-CN"/>
        </w:rPr>
        <w:drawing>
          <wp:inline distT="0" distB="0" distL="114300" distR="114300">
            <wp:extent cx="5478145" cy="2877820"/>
            <wp:effectExtent l="0" t="0" r="8255" b="17780"/>
            <wp:docPr id="5" name="图片 5" descr="门户网站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门户网站截图"/>
                    <pic:cNvPicPr>
                      <a:picLocks noChangeAspect="1"/>
                    </pic:cNvPicPr>
                  </pic:nvPicPr>
                  <pic:blipFill>
                    <a:blip r:embed="rId5"/>
                    <a:stretch>
                      <a:fillRect/>
                    </a:stretch>
                  </pic:blipFill>
                  <pic:spPr>
                    <a:xfrm>
                      <a:off x="0" y="0"/>
                      <a:ext cx="5478145" cy="2877820"/>
                    </a:xfrm>
                    <a:prstGeom prst="rect">
                      <a:avLst/>
                    </a:prstGeom>
                  </pic:spPr>
                </pic:pic>
              </a:graphicData>
            </a:graphic>
          </wp:inline>
        </w:drawing>
      </w:r>
    </w:p>
    <w:p w14:paraId="0CF98DFE">
      <w:pPr>
        <w:keepNext w:val="0"/>
        <w:keepLines w:val="0"/>
        <w:pageBreakBefore w:val="0"/>
        <w:widowControl/>
        <w:kinsoku/>
        <w:wordWrap/>
        <w:overflowPunct/>
        <w:topLinePunct w:val="0"/>
        <w:autoSpaceDE/>
        <w:autoSpaceDN/>
        <w:bidi w:val="0"/>
        <w:adjustRightInd/>
        <w:snapToGrid/>
        <w:spacing w:line="200" w:lineRule="exact"/>
        <w:ind w:left="0" w:leftChars="0" w:right="-92" w:rightChars="-44" w:firstLine="0" w:firstLineChars="0"/>
        <w:textAlignment w:val="auto"/>
        <w:rPr>
          <w:rFonts w:hint="eastAsia" w:ascii="仿宋_GB2312" w:hAnsi="Arial" w:eastAsia="仿宋_GB2312" w:cs="Arial"/>
          <w:b w:val="0"/>
          <w:bCs/>
          <w:color w:val="000000"/>
          <w:kern w:val="0"/>
          <w:sz w:val="32"/>
          <w:szCs w:val="32"/>
          <w:lang w:eastAsia="zh-CN"/>
        </w:rPr>
      </w:pPr>
    </w:p>
    <w:p w14:paraId="5341DA44">
      <w:pPr>
        <w:keepNext w:val="0"/>
        <w:keepLines w:val="0"/>
        <w:pageBreakBefore w:val="0"/>
        <w:widowControl/>
        <w:kinsoku/>
        <w:wordWrap/>
        <w:overflowPunct/>
        <w:topLinePunct w:val="0"/>
        <w:bidi w:val="0"/>
        <w:spacing w:line="240" w:lineRule="auto"/>
        <w:ind w:left="0" w:leftChars="0" w:right="-92" w:rightChars="-44" w:firstLine="0" w:firstLineChars="0"/>
        <w:textAlignment w:val="auto"/>
        <w:rPr>
          <w:rFonts w:hint="eastAsia" w:ascii="仿宋_GB2312" w:hAnsi="Arial" w:eastAsia="仿宋_GB2312" w:cs="Arial"/>
          <w:b w:val="0"/>
          <w:bCs/>
          <w:color w:val="000000"/>
          <w:kern w:val="0"/>
          <w:sz w:val="32"/>
          <w:szCs w:val="32"/>
          <w:lang w:eastAsia="zh-CN"/>
        </w:rPr>
      </w:pPr>
      <w:r>
        <w:rPr>
          <w:rFonts w:hint="eastAsia" w:eastAsiaTheme="minorEastAsia"/>
          <w:b w:val="0"/>
          <w:bCs w:val="0"/>
          <w:color w:val="0000FF"/>
          <w:lang w:eastAsia="zh-CN"/>
        </w:rPr>
        <w:drawing>
          <wp:inline distT="0" distB="0" distL="114300" distR="114300">
            <wp:extent cx="5375910" cy="1494155"/>
            <wp:effectExtent l="0" t="0" r="15240" b="10795"/>
            <wp:docPr id="7" name="图片 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
                    <pic:cNvPicPr>
                      <a:picLocks noChangeAspect="1"/>
                    </pic:cNvPicPr>
                  </pic:nvPicPr>
                  <pic:blipFill>
                    <a:blip r:embed="rId6"/>
                    <a:stretch>
                      <a:fillRect/>
                    </a:stretch>
                  </pic:blipFill>
                  <pic:spPr>
                    <a:xfrm>
                      <a:off x="0" y="0"/>
                      <a:ext cx="5375910" cy="1494155"/>
                    </a:xfrm>
                    <a:prstGeom prst="rect">
                      <a:avLst/>
                    </a:prstGeom>
                  </pic:spPr>
                </pic:pic>
              </a:graphicData>
            </a:graphic>
          </wp:inline>
        </w:drawing>
      </w:r>
    </w:p>
    <w:p w14:paraId="7832C1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楷体_GB2312" w:hAnsi="楷体_GB2312" w:eastAsia="楷体_GB2312" w:cs="楷体_GB2312"/>
          <w:b w:val="0"/>
          <w:bCs/>
          <w:color w:val="auto"/>
          <w:kern w:val="0"/>
          <w:sz w:val="32"/>
          <w:szCs w:val="32"/>
          <w:lang w:val="en-US" w:eastAsia="zh-CN" w:bidi="ar"/>
        </w:rPr>
      </w:pPr>
      <w:r>
        <w:rPr>
          <w:rFonts w:hint="eastAsia" w:ascii="楷体_GB2312" w:hAnsi="楷体_GB2312" w:eastAsia="楷体_GB2312" w:cs="楷体_GB2312"/>
          <w:b w:val="0"/>
          <w:bCs/>
          <w:color w:val="auto"/>
          <w:kern w:val="0"/>
          <w:sz w:val="32"/>
          <w:szCs w:val="32"/>
          <w:lang w:val="en-US" w:eastAsia="zh-CN" w:bidi="ar"/>
        </w:rPr>
        <w:drawing>
          <wp:inline distT="0" distB="0" distL="114300" distR="114300">
            <wp:extent cx="5323205" cy="2068830"/>
            <wp:effectExtent l="0" t="0" r="10795" b="7620"/>
            <wp:docPr id="12" name="图片 12" descr="政务服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政务服务"/>
                    <pic:cNvPicPr>
                      <a:picLocks noChangeAspect="1"/>
                    </pic:cNvPicPr>
                  </pic:nvPicPr>
                  <pic:blipFill>
                    <a:blip r:embed="rId7"/>
                    <a:stretch>
                      <a:fillRect/>
                    </a:stretch>
                  </pic:blipFill>
                  <pic:spPr>
                    <a:xfrm>
                      <a:off x="0" y="0"/>
                      <a:ext cx="5323205" cy="2068830"/>
                    </a:xfrm>
                    <a:prstGeom prst="rect">
                      <a:avLst/>
                    </a:prstGeom>
                  </pic:spPr>
                </pic:pic>
              </a:graphicData>
            </a:graphic>
          </wp:inline>
        </w:drawing>
      </w:r>
    </w:p>
    <w:p w14:paraId="277775CA">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left"/>
        <w:textAlignment w:val="auto"/>
        <w:rPr>
          <w:b w:val="0"/>
          <w:bCs w:val="0"/>
          <w:color w:val="0000FF"/>
        </w:rPr>
      </w:pPr>
      <w:r>
        <w:rPr>
          <w:rFonts w:hint="eastAsia" w:ascii="楷体_GB2312" w:hAnsi="楷体_GB2312" w:eastAsia="楷体_GB2312" w:cs="楷体_GB2312"/>
          <w:b w:val="0"/>
          <w:bCs/>
          <w:color w:val="auto"/>
          <w:kern w:val="0"/>
          <w:sz w:val="32"/>
          <w:szCs w:val="32"/>
          <w:lang w:val="en-US" w:eastAsia="zh-CN" w:bidi="ar"/>
        </w:rPr>
        <w:t>执行和结果公开方面。</w:t>
      </w:r>
      <w:r>
        <w:rPr>
          <w:rFonts w:hint="eastAsia" w:ascii="仿宋_GB2312" w:hAnsi="Arial" w:eastAsia="仿宋_GB2312" w:cs="Arial"/>
          <w:b w:val="0"/>
          <w:bCs/>
          <w:color w:val="000000"/>
          <w:kern w:val="0"/>
          <w:sz w:val="32"/>
          <w:szCs w:val="32"/>
        </w:rPr>
        <w:t>局办公室</w:t>
      </w:r>
      <w:r>
        <w:rPr>
          <w:rFonts w:hint="eastAsia" w:ascii="仿宋_GB2312" w:hAnsi="Arial" w:eastAsia="仿宋_GB2312" w:cs="Arial"/>
          <w:b w:val="0"/>
          <w:bCs/>
          <w:color w:val="000000"/>
          <w:kern w:val="0"/>
          <w:sz w:val="32"/>
          <w:szCs w:val="32"/>
          <w:lang w:eastAsia="zh-CN"/>
        </w:rPr>
        <w:t>专人负责</w:t>
      </w:r>
      <w:r>
        <w:rPr>
          <w:rFonts w:hint="eastAsia" w:ascii="仿宋_GB2312" w:hAnsi="Arial" w:eastAsia="仿宋_GB2312" w:cs="Arial"/>
          <w:b w:val="0"/>
          <w:bCs/>
          <w:color w:val="000000"/>
          <w:kern w:val="0"/>
          <w:sz w:val="32"/>
          <w:szCs w:val="32"/>
        </w:rPr>
        <w:t>每日至少打开网站中事件管理页面6～8次，及时接收群众的电子邮件和依申请事项，并在3个工作日内予以回复；每日</w:t>
      </w:r>
      <w:r>
        <w:rPr>
          <w:rFonts w:hint="eastAsia" w:ascii="仿宋_GB2312" w:hAnsi="Arial" w:eastAsia="仿宋_GB2312" w:cs="Arial"/>
          <w:b w:val="0"/>
          <w:bCs/>
          <w:color w:val="000000"/>
          <w:kern w:val="0"/>
          <w:sz w:val="32"/>
          <w:szCs w:val="32"/>
          <w:lang w:eastAsia="zh-CN"/>
        </w:rPr>
        <w:t>登录</w:t>
      </w:r>
      <w:r>
        <w:rPr>
          <w:rFonts w:hint="eastAsia" w:ascii="仿宋_GB2312" w:hAnsi="Arial" w:eastAsia="仿宋_GB2312" w:cs="Arial"/>
          <w:b w:val="0"/>
          <w:bCs/>
          <w:color w:val="000000"/>
          <w:kern w:val="0"/>
          <w:sz w:val="32"/>
          <w:szCs w:val="32"/>
        </w:rPr>
        <w:t>昌乐民声网、</w:t>
      </w:r>
      <w:r>
        <w:rPr>
          <w:rFonts w:hint="eastAsia" w:ascii="仿宋_GB2312" w:hAnsi="Arial" w:eastAsia="仿宋_GB2312" w:cs="Arial"/>
          <w:b w:val="0"/>
          <w:bCs/>
          <w:color w:val="000000"/>
          <w:kern w:val="0"/>
          <w:sz w:val="32"/>
          <w:szCs w:val="32"/>
          <w:lang w:eastAsia="zh-CN"/>
        </w:rPr>
        <w:t>爱昌乐</w:t>
      </w:r>
      <w:r>
        <w:rPr>
          <w:rFonts w:hint="eastAsia" w:ascii="仿宋_GB2312" w:hAnsi="Arial" w:eastAsia="仿宋_GB2312" w:cs="Arial"/>
          <w:b w:val="0"/>
          <w:bCs/>
          <w:color w:val="000000"/>
          <w:kern w:val="0"/>
          <w:sz w:val="32"/>
          <w:szCs w:val="32"/>
          <w:lang w:val="en-US" w:eastAsia="zh-CN"/>
        </w:rPr>
        <w:t>APP、</w:t>
      </w:r>
      <w:r>
        <w:rPr>
          <w:rFonts w:hint="eastAsia" w:ascii="仿宋_GB2312" w:hAnsi="Arial" w:eastAsia="仿宋_GB2312" w:cs="Arial"/>
          <w:b w:val="0"/>
          <w:bCs/>
          <w:color w:val="000000"/>
          <w:kern w:val="0"/>
          <w:sz w:val="32"/>
          <w:szCs w:val="32"/>
        </w:rPr>
        <w:t>潍坊市政务服务热线</w:t>
      </w:r>
      <w:r>
        <w:rPr>
          <w:rFonts w:hint="eastAsia" w:ascii="仿宋_GB2312" w:hAnsi="Arial" w:eastAsia="仿宋_GB2312" w:cs="Arial"/>
          <w:b w:val="0"/>
          <w:bCs/>
          <w:color w:val="000000"/>
          <w:kern w:val="0"/>
          <w:sz w:val="32"/>
          <w:szCs w:val="32"/>
          <w:lang w:eastAsia="zh-CN"/>
        </w:rPr>
        <w:t>和互动交流平台</w:t>
      </w:r>
      <w:r>
        <w:rPr>
          <w:rFonts w:hint="eastAsia" w:ascii="仿宋_GB2312" w:hAnsi="Arial" w:eastAsia="仿宋_GB2312" w:cs="Arial"/>
          <w:b w:val="0"/>
          <w:bCs/>
          <w:color w:val="000000"/>
          <w:kern w:val="0"/>
          <w:sz w:val="32"/>
          <w:szCs w:val="32"/>
        </w:rPr>
        <w:t>后台，及时签收处理群众的咨询、投诉信息，并在规定时限内及时答复，咨询类信息3个工作日，投诉类、建议类、反馈类信息5个工作日。</w:t>
      </w:r>
      <w:r>
        <w:rPr>
          <w:b w:val="0"/>
          <w:bCs w:val="0"/>
          <w:color w:val="0000FF"/>
        </w:rPr>
        <w:drawing>
          <wp:inline distT="0" distB="0" distL="114300" distR="114300">
            <wp:extent cx="5416550" cy="1802765"/>
            <wp:effectExtent l="0" t="0" r="12700" b="6985"/>
            <wp:docPr id="14" name="图片 14" descr="互动交流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互动交流平台"/>
                    <pic:cNvPicPr>
                      <a:picLocks noChangeAspect="1"/>
                    </pic:cNvPicPr>
                  </pic:nvPicPr>
                  <pic:blipFill>
                    <a:blip r:embed="rId8"/>
                    <a:stretch>
                      <a:fillRect/>
                    </a:stretch>
                  </pic:blipFill>
                  <pic:spPr>
                    <a:xfrm>
                      <a:off x="0" y="0"/>
                      <a:ext cx="5416550" cy="1802765"/>
                    </a:xfrm>
                    <a:prstGeom prst="rect">
                      <a:avLst/>
                    </a:prstGeom>
                  </pic:spPr>
                </pic:pic>
              </a:graphicData>
            </a:graphic>
          </wp:inline>
        </w:drawing>
      </w:r>
    </w:p>
    <w:p w14:paraId="4823B5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b w:val="0"/>
          <w:bCs w:val="0"/>
          <w:color w:val="0000FF"/>
          <w:lang w:eastAsia="zh-CN"/>
        </w:rPr>
      </w:pPr>
      <w:r>
        <w:rPr>
          <w:rFonts w:hint="eastAsia"/>
          <w:b w:val="0"/>
          <w:bCs w:val="0"/>
          <w:color w:val="0000FF"/>
          <w:lang w:eastAsia="zh-CN"/>
        </w:rPr>
        <w:drawing>
          <wp:inline distT="0" distB="0" distL="114300" distR="114300">
            <wp:extent cx="5451475" cy="1379855"/>
            <wp:effectExtent l="0" t="0" r="15875" b="10795"/>
            <wp:docPr id="16" name="图片 16" descr="市政热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市政热线"/>
                    <pic:cNvPicPr>
                      <a:picLocks noChangeAspect="1"/>
                    </pic:cNvPicPr>
                  </pic:nvPicPr>
                  <pic:blipFill>
                    <a:blip r:embed="rId9"/>
                    <a:stretch>
                      <a:fillRect/>
                    </a:stretch>
                  </pic:blipFill>
                  <pic:spPr>
                    <a:xfrm>
                      <a:off x="0" y="0"/>
                      <a:ext cx="5451475" cy="1379855"/>
                    </a:xfrm>
                    <a:prstGeom prst="rect">
                      <a:avLst/>
                    </a:prstGeom>
                  </pic:spPr>
                </pic:pic>
              </a:graphicData>
            </a:graphic>
          </wp:inline>
        </w:drawing>
      </w:r>
    </w:p>
    <w:p w14:paraId="2CD64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仿宋_GB2312" w:hAnsi="宋体" w:eastAsia="仿宋_GB2312" w:cs="宋体"/>
          <w:color w:val="333333"/>
          <w:kern w:val="0"/>
          <w:sz w:val="32"/>
          <w:szCs w:val="32"/>
          <w:shd w:val="clear" w:color="auto" w:fill="FFFFFF"/>
          <w:lang w:val="en-US" w:eastAsia="zh-CN" w:bidi="ar-SA"/>
        </w:rPr>
      </w:pPr>
      <w:r>
        <w:rPr>
          <w:rFonts w:hint="eastAsia" w:ascii="楷体_GB2312" w:hAnsi="楷体_GB2312" w:eastAsia="楷体_GB2312" w:cs="楷体_GB2312"/>
          <w:b w:val="0"/>
          <w:bCs w:val="0"/>
          <w:color w:val="auto"/>
          <w:kern w:val="0"/>
          <w:sz w:val="32"/>
          <w:szCs w:val="32"/>
          <w:lang w:val="en-US" w:eastAsia="zh-CN" w:bidi="ar"/>
        </w:rPr>
        <w:t>重点领域公开方面。</w:t>
      </w:r>
      <w:r>
        <w:rPr>
          <w:rFonts w:hint="eastAsia" w:ascii="仿宋_GB2312" w:hAnsi="宋体" w:eastAsia="仿宋_GB2312" w:cs="宋体"/>
          <w:b w:val="0"/>
          <w:bCs w:val="0"/>
          <w:color w:val="333333"/>
          <w:kern w:val="0"/>
          <w:sz w:val="32"/>
          <w:szCs w:val="32"/>
          <w:shd w:val="clear" w:color="auto" w:fill="FFFFFF"/>
          <w:lang w:val="en-US" w:eastAsia="zh-CN" w:bidi="ar-SA"/>
        </w:rPr>
        <w:t>2020年，县教育和体育局指导所辖中小学及时公开信息，积极为中小学开展信息公开工作创造条件。通过集中学习、</w:t>
      </w:r>
      <w:r>
        <w:rPr>
          <w:rFonts w:hint="eastAsia" w:ascii="仿宋_GB2312" w:hAnsi="宋体" w:eastAsia="仿宋_GB2312" w:cs="宋体"/>
          <w:color w:val="333333"/>
          <w:kern w:val="0"/>
          <w:sz w:val="32"/>
          <w:szCs w:val="32"/>
          <w:shd w:val="clear" w:color="auto" w:fill="FFFFFF"/>
          <w:lang w:val="en-US" w:eastAsia="zh-CN" w:bidi="ar-SA"/>
        </w:rPr>
        <w:t>远程教学、交流研讨等多种形式，分层次开展中小学信息公开业务培训。各中小学建立健全校长直接领导、专人或机构具体承担、师生员工、学生家长和社会公众参与监督的信息公开工作机制，健全学校校务公开制度，全面推行办事公开。</w:t>
      </w:r>
    </w:p>
    <w:p w14:paraId="44E57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仿宋_GB2312" w:hAnsi="宋体" w:eastAsia="仿宋_GB2312" w:cs="宋体"/>
          <w:color w:val="333333"/>
          <w:kern w:val="0"/>
          <w:sz w:val="32"/>
          <w:szCs w:val="32"/>
          <w:shd w:val="clear" w:color="auto" w:fill="FFFFFF"/>
          <w:lang w:val="en-US" w:eastAsia="zh-CN" w:bidi="ar-SA"/>
        </w:rPr>
      </w:pPr>
      <w:r>
        <w:rPr>
          <w:rFonts w:hint="default" w:ascii="仿宋_GB2312" w:hAnsi="宋体" w:eastAsia="仿宋_GB2312" w:cs="宋体"/>
          <w:color w:val="333333"/>
          <w:kern w:val="0"/>
          <w:sz w:val="32"/>
          <w:szCs w:val="32"/>
          <w:shd w:val="clear" w:color="auto" w:fill="FFFFFF"/>
          <w:lang w:val="en-US" w:eastAsia="zh-CN" w:bidi="ar-SA"/>
        </w:rPr>
        <w:t>1.</w:t>
      </w:r>
      <w:r>
        <w:rPr>
          <w:rFonts w:hint="eastAsia" w:ascii="仿宋_GB2312" w:hAnsi="宋体" w:eastAsia="仿宋_GB2312" w:cs="宋体"/>
          <w:color w:val="333333"/>
          <w:kern w:val="0"/>
          <w:sz w:val="32"/>
          <w:szCs w:val="32"/>
          <w:shd w:val="clear" w:color="auto" w:fill="FFFFFF"/>
          <w:lang w:val="en-US" w:eastAsia="zh-CN" w:bidi="ar-SA"/>
        </w:rPr>
        <w:t>动态公开年度重点任务信息。及时在县政府门户网站的财政预决算专栏公开预决算及“三公”经费预决算信息，提升预算执行和财政收支工作情况的透明度；对政府工作报告确定任务、年度重点工作和重点民生举措，均建立工作台账，在政府信息公开行政权力运行信息专栏主动公开，方便社会公众知晓。</w:t>
      </w:r>
    </w:p>
    <w:p w14:paraId="6CFE91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auto"/>
          <w:kern w:val="0"/>
          <w:sz w:val="32"/>
          <w:szCs w:val="32"/>
          <w:shd w:val="clear" w:color="auto" w:fill="FFFFFF"/>
          <w:lang w:val="en-US" w:eastAsia="zh-CN" w:bidi="ar-SA"/>
        </w:rPr>
        <w:t>2.</w:t>
      </w:r>
      <w:r>
        <w:rPr>
          <w:rFonts w:hint="eastAsia" w:ascii="仿宋_GB2312" w:hAnsi="宋体" w:eastAsia="仿宋_GB2312" w:cs="宋体"/>
          <w:color w:val="333333"/>
          <w:kern w:val="0"/>
          <w:sz w:val="32"/>
          <w:szCs w:val="32"/>
          <w:shd w:val="clear" w:color="auto" w:fill="FFFFFF"/>
          <w:lang w:val="en-US" w:eastAsia="zh-CN" w:bidi="ar-SA"/>
        </w:rPr>
        <w:t>行政执法公示。根据政务公开工作要点要求，在行政执法公示栏目，公开了《关于印发&lt;昌乐县教育和体育局行政执法公示实施办法&gt;的通知》《昌乐县教育和体育局重大行政执法决定法制审核目录清单 》《昌乐县教育和体育局行政执法全过程记录实施意见 昌乐县教育和体育局行政执法服务指南》《昌乐县教育和体育局行政执法监督和投诉渠道》《县教育和体育局行政执法职责 》《昌乐县教育和体育局行政执法主体信息 》等事前公开信息，公示执法情况、内容、统计年报等事后公开信息。2020年，公开行政执法公示信息8条。</w:t>
      </w:r>
    </w:p>
    <w:p w14:paraId="4FAB8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3.社会公益事业建设领域信息公开。在县政府门户网站做好学前教育和义务教育方面的信息公开，公开县域幼儿园布局建设规划、普惠性民办幼儿园名单、省级示范、省一、二、三类幼儿园名单和义务教育学校名录、招生方案、招生结果、培训机构黑白名单等方面的信息。2020年，共发布各类社会公益事业建设领域信息430余条。</w:t>
      </w:r>
    </w:p>
    <w:p w14:paraId="36A9A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4.公共企事业单位（教育领域）信息公开方面。围绕群众关心关切，健全公共企事业单位（教育领域中小学）信息公开工作机制，及时更新调整昌乐县中小学相关信息，主要围绕学校基本概况、内部奖评制度、招生管理、教学科研四个方面，及时向社会公开学校相关信息。2020年，共公开相关信息138条。</w:t>
      </w:r>
    </w:p>
    <w:p w14:paraId="3FD6CA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b w:val="0"/>
          <w:bCs/>
          <w:color w:val="auto"/>
        </w:rPr>
      </w:pPr>
      <w:r>
        <w:rPr>
          <w:rFonts w:hint="eastAsia" w:ascii="楷体_GB2312" w:hAnsi="宋体" w:eastAsia="楷体_GB2312" w:cs="楷体_GB2312"/>
          <w:b w:val="0"/>
          <w:bCs/>
          <w:color w:val="auto"/>
          <w:kern w:val="0"/>
          <w:sz w:val="32"/>
          <w:szCs w:val="32"/>
          <w:lang w:val="en-US" w:eastAsia="zh-CN" w:bidi="ar"/>
        </w:rPr>
        <w:t>（二）依申请公开情况</w:t>
      </w:r>
    </w:p>
    <w:p w14:paraId="7DE1F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b w:val="0"/>
          <w:bCs/>
          <w:color w:val="auto"/>
        </w:rPr>
      </w:pPr>
      <w:r>
        <w:rPr>
          <w:rFonts w:hint="eastAsia" w:ascii="仿宋_GB2312" w:hAnsi="宋体" w:eastAsia="仿宋_GB2312" w:cs="仿宋_GB2312"/>
          <w:b w:val="0"/>
          <w:bCs/>
          <w:color w:val="auto"/>
          <w:kern w:val="0"/>
          <w:sz w:val="32"/>
          <w:szCs w:val="32"/>
          <w:lang w:val="en-US" w:eastAsia="zh-CN" w:bidi="ar"/>
        </w:rPr>
        <w:t>畅通依申请公开受理渠道，完善依申请公开相关信息，进一步明确依申请公开途径、流程等，根据依申请公开工作规范，明确接收、登记、办理、调查、答复等各环节标准和责任分工，在法定时限内严格按照要求进行答复。2020年，共受理政府信息公开申请1件，其中，书面申请0件，网上申请1件，均已按照申请人要求，依照政府信息公开程序，依法予以答复。</w:t>
      </w:r>
    </w:p>
    <w:p w14:paraId="4FCFF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楷体_GB2312" w:hAnsi="宋体" w:eastAsia="楷体_GB2312" w:cs="楷体_GB2312"/>
          <w:b w:val="0"/>
          <w:bCs/>
          <w:color w:val="auto"/>
          <w:kern w:val="0"/>
          <w:sz w:val="32"/>
          <w:szCs w:val="32"/>
          <w:lang w:val="en-US" w:eastAsia="zh-CN" w:bidi="ar"/>
        </w:rPr>
      </w:pPr>
      <w:r>
        <w:rPr>
          <w:rFonts w:hint="eastAsia" w:ascii="楷体_GB2312" w:hAnsi="宋体" w:eastAsia="楷体_GB2312" w:cs="楷体_GB2312"/>
          <w:b w:val="0"/>
          <w:bCs/>
          <w:color w:val="auto"/>
          <w:kern w:val="0"/>
          <w:sz w:val="32"/>
          <w:szCs w:val="32"/>
          <w:lang w:val="en-US" w:eastAsia="zh-CN" w:bidi="ar"/>
        </w:rPr>
        <w:t>（三）政府信息管理情况</w:t>
      </w:r>
    </w:p>
    <w:p w14:paraId="44E4DE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一是严格公开信息保密审查。认真落实“涉密信息不公开、公开信息不涉密”要求，按照“先审查、后公开”的原则，全面加强保密审查工作，确保审查工作有领导分管、有部门负责、有专人实施。每年至少组织2次以上专项检查，确保信息发布合法合规。</w:t>
      </w:r>
    </w:p>
    <w:p w14:paraId="6D6C5A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二是严格单位文件管理制度。单位文件信息在起草拟稿、印发发布、阅读传达、签收保管、清退销毁等环节的管理均严格按照规定程序办理。严格落实拟制公文时明确主动公开、依申请公开、不予公开等属性，同时根据工作需要确定知悉范围并做好登记。要求机关全体人员必须严格执行文件管理有关规定，局办公室负责进行督查检查。</w:t>
      </w:r>
    </w:p>
    <w:p w14:paraId="464D40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三是严格宣传报道和信息公开审查审批。互联网门户网站发布信息严格落实信息发布审查制度，指定专人负责网站的技术维护和信息发布，具有互联网站信息发布权限的科室均填写《昌乐县教育和体育局互联网信息公开发布审批单》,所有上传材料须经严格审查后方可发布，确保公开信息质量。</w:t>
      </w:r>
    </w:p>
    <w:p w14:paraId="539164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b w:val="0"/>
          <w:bCs/>
          <w:color w:val="auto"/>
        </w:rPr>
      </w:pPr>
      <w:r>
        <w:rPr>
          <w:rFonts w:hint="eastAsia" w:ascii="楷体_GB2312" w:hAnsi="宋体" w:eastAsia="楷体_GB2312" w:cs="楷体_GB2312"/>
          <w:b w:val="0"/>
          <w:bCs/>
          <w:color w:val="auto"/>
          <w:kern w:val="0"/>
          <w:sz w:val="32"/>
          <w:szCs w:val="32"/>
          <w:lang w:val="en-US" w:eastAsia="zh-CN" w:bidi="ar"/>
        </w:rPr>
        <w:t>（四）平台建设情况</w:t>
      </w:r>
    </w:p>
    <w:p w14:paraId="03D7D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一是强化昌乐教育信息公开网上平台建设。依托政府网站建设管理，及时准确发布昌乐教育发展的相关政策信息，并有专人负责信息审核发布工作。重点内容包括：国家、省、市教育政策法规文件、教育动态、通知公告、政务公开、教学教研、督查督办、学前教育、教师文苑、学生才艺等相关版块内容。</w:t>
      </w:r>
    </w:p>
    <w:p w14:paraId="210F9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drawing>
          <wp:inline distT="0" distB="0" distL="114300" distR="114300">
            <wp:extent cx="5687695" cy="2677795"/>
            <wp:effectExtent l="0" t="0" r="8255" b="8255"/>
            <wp:docPr id="18" name="图片 18" descr="平台建设 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平台建设 总"/>
                    <pic:cNvPicPr>
                      <a:picLocks noChangeAspect="1"/>
                    </pic:cNvPicPr>
                  </pic:nvPicPr>
                  <pic:blipFill>
                    <a:blip r:embed="rId10"/>
                    <a:stretch>
                      <a:fillRect/>
                    </a:stretch>
                  </pic:blipFill>
                  <pic:spPr>
                    <a:xfrm>
                      <a:off x="0" y="0"/>
                      <a:ext cx="5687695" cy="2677795"/>
                    </a:xfrm>
                    <a:prstGeom prst="rect">
                      <a:avLst/>
                    </a:prstGeom>
                  </pic:spPr>
                </pic:pic>
              </a:graphicData>
            </a:graphic>
          </wp:inline>
        </w:drawing>
      </w:r>
    </w:p>
    <w:p w14:paraId="0CDDE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二是及时回应社会关切。县教育和体育局严格遵循依法公开、真实公正、注重实效、有利监督四个原则，通过多种形式发布政策解读、互动交流。对社会高度关注的重要信息，在网站“政务公开”和“通知公告”栏目，第一时间发布，像中考、义务教育划片、进城务工人员子女入学、教育督导、全面改薄等重要信息，还专门制作了专题专栏，方便大家及时获取信息；依托县教育惠民服务中心、昌乐民声网、昌乐教育之声，开设网上咨询、电话咨询、现场咨询等三种便民互动沟通平台，方便群众咨询；在“中国·昌乐”政府网站信息公开专栏和“教育和体育局专栏”集中公开了为学校、学生、教师、公民、法人服务的政府信息。</w:t>
      </w:r>
    </w:p>
    <w:p w14:paraId="19559A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三是积极拓展新媒体公开。加力推广使用“昌乐教育”微信公众号，及时发布教育领域动态信息，回应社会关切。截止2020年12月底，昌乐教育微信公众号累计关注用户数约计7.8万，年度内发布图文消息294期共762篇，累积阅读量达到196万余次。</w:t>
      </w:r>
    </w:p>
    <w:p w14:paraId="47BF1C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eastAsia" w:eastAsiaTheme="minorEastAsia"/>
          <w:b w:val="0"/>
          <w:bCs/>
          <w:color w:val="auto"/>
          <w:lang w:eastAsia="zh-CN"/>
        </w:rPr>
      </w:pPr>
      <w:r>
        <w:rPr>
          <w:rFonts w:hint="default"/>
          <w:b w:val="0"/>
          <w:bCs/>
          <w:color w:val="auto"/>
          <w:lang w:val="en-US"/>
        </w:rPr>
        <w:t xml:space="preserve">   </w:t>
      </w:r>
      <w:r>
        <w:rPr>
          <w:b w:val="0"/>
          <w:bCs/>
          <w:color w:val="auto"/>
        </w:rPr>
        <w:drawing>
          <wp:inline distT="0" distB="0" distL="114300" distR="114300">
            <wp:extent cx="2442210" cy="4154170"/>
            <wp:effectExtent l="0" t="0" r="15240" b="17780"/>
            <wp:docPr id="9" name="图片 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7"/>
                    <pic:cNvPicPr>
                      <a:picLocks noChangeAspect="1"/>
                    </pic:cNvPicPr>
                  </pic:nvPicPr>
                  <pic:blipFill>
                    <a:blip r:embed="rId11"/>
                    <a:stretch>
                      <a:fillRect/>
                    </a:stretch>
                  </pic:blipFill>
                  <pic:spPr>
                    <a:xfrm>
                      <a:off x="0" y="0"/>
                      <a:ext cx="2442210" cy="4154170"/>
                    </a:xfrm>
                    <a:prstGeom prst="rect">
                      <a:avLst/>
                    </a:prstGeom>
                  </pic:spPr>
                </pic:pic>
              </a:graphicData>
            </a:graphic>
          </wp:inline>
        </w:drawing>
      </w:r>
      <w:r>
        <w:rPr>
          <w:rFonts w:hint="default"/>
          <w:b w:val="0"/>
          <w:bCs/>
          <w:color w:val="auto"/>
          <w:lang w:val="en-US"/>
        </w:rPr>
        <w:t xml:space="preserve">   </w:t>
      </w:r>
      <w:r>
        <w:rPr>
          <w:rFonts w:hint="eastAsia" w:eastAsiaTheme="minorEastAsia"/>
          <w:b w:val="0"/>
          <w:bCs/>
          <w:color w:val="auto"/>
          <w:lang w:eastAsia="zh-CN"/>
        </w:rPr>
        <w:drawing>
          <wp:inline distT="0" distB="0" distL="114300" distR="114300">
            <wp:extent cx="2499360" cy="4205605"/>
            <wp:effectExtent l="0" t="0" r="15240" b="4445"/>
            <wp:docPr id="19" name="图片 19" descr="昌乐教育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昌乐教育公众号"/>
                    <pic:cNvPicPr>
                      <a:picLocks noChangeAspect="1"/>
                    </pic:cNvPicPr>
                  </pic:nvPicPr>
                  <pic:blipFill>
                    <a:blip r:embed="rId12"/>
                    <a:stretch>
                      <a:fillRect/>
                    </a:stretch>
                  </pic:blipFill>
                  <pic:spPr>
                    <a:xfrm>
                      <a:off x="0" y="0"/>
                      <a:ext cx="2499360" cy="4205605"/>
                    </a:xfrm>
                    <a:prstGeom prst="rect">
                      <a:avLst/>
                    </a:prstGeom>
                  </pic:spPr>
                </pic:pic>
              </a:graphicData>
            </a:graphic>
          </wp:inline>
        </w:drawing>
      </w:r>
    </w:p>
    <w:p w14:paraId="10C9A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四是加强与新闻媒体合作。</w:t>
      </w:r>
      <w:r>
        <w:rPr>
          <w:rFonts w:ascii="Arial" w:hAnsi="Arial" w:eastAsia="仿宋_GB2312" w:cs="Arial"/>
          <w:b w:val="0"/>
          <w:bCs/>
          <w:kern w:val="0"/>
          <w:sz w:val="32"/>
          <w:szCs w:val="32"/>
        </w:rPr>
        <w:t>除按规定在</w:t>
      </w:r>
      <w:r>
        <w:rPr>
          <w:rFonts w:hint="eastAsia" w:ascii="Arial" w:hAnsi="Arial" w:eastAsia="仿宋_GB2312" w:cs="Arial"/>
          <w:b w:val="0"/>
          <w:bCs/>
          <w:kern w:val="0"/>
          <w:sz w:val="32"/>
          <w:szCs w:val="32"/>
          <w:lang w:eastAsia="zh-CN"/>
        </w:rPr>
        <w:t>中国昌乐门户网站</w:t>
      </w:r>
      <w:r>
        <w:rPr>
          <w:rFonts w:ascii="Arial" w:hAnsi="Arial" w:eastAsia="仿宋_GB2312" w:cs="Arial"/>
          <w:b w:val="0"/>
          <w:bCs/>
          <w:kern w:val="0"/>
          <w:sz w:val="32"/>
          <w:szCs w:val="32"/>
        </w:rPr>
        <w:t>公开信息外，还</w:t>
      </w:r>
      <w:r>
        <w:rPr>
          <w:rFonts w:hint="eastAsia" w:ascii="Arial" w:hAnsi="Arial" w:eastAsia="仿宋_GB2312" w:cs="Arial"/>
          <w:b w:val="0"/>
          <w:bCs/>
          <w:kern w:val="0"/>
          <w:sz w:val="32"/>
          <w:szCs w:val="32"/>
          <w:lang w:eastAsia="zh-CN"/>
        </w:rPr>
        <w:t>充分利用</w:t>
      </w:r>
      <w:r>
        <w:rPr>
          <w:rFonts w:hint="eastAsia" w:ascii="Arial" w:hAnsi="Arial" w:eastAsia="仿宋_GB2312" w:cs="Arial"/>
          <w:b w:val="0"/>
          <w:bCs/>
          <w:kern w:val="0"/>
          <w:sz w:val="32"/>
          <w:szCs w:val="32"/>
        </w:rPr>
        <w:t>报纸、电视台等</w:t>
      </w:r>
      <w:r>
        <w:rPr>
          <w:rFonts w:hint="eastAsia" w:ascii="Arial" w:hAnsi="Arial" w:eastAsia="仿宋_GB2312" w:cs="Arial"/>
          <w:b w:val="0"/>
          <w:bCs/>
          <w:kern w:val="0"/>
          <w:sz w:val="32"/>
          <w:szCs w:val="32"/>
          <w:lang w:eastAsia="zh-CN"/>
        </w:rPr>
        <w:t>传统</w:t>
      </w:r>
      <w:r>
        <w:rPr>
          <w:rFonts w:ascii="Arial" w:hAnsi="Arial" w:eastAsia="仿宋_GB2312" w:cs="Arial"/>
          <w:b w:val="0"/>
          <w:bCs/>
          <w:kern w:val="0"/>
          <w:sz w:val="32"/>
          <w:szCs w:val="32"/>
        </w:rPr>
        <w:t>媒体，保证有价值的信息能及时向社会大众公开。</w:t>
      </w:r>
      <w:r>
        <w:rPr>
          <w:rFonts w:hint="eastAsia" w:ascii="仿宋_GB2312" w:hAnsi="宋体" w:eastAsia="仿宋_GB2312" w:cs="仿宋_GB2312"/>
          <w:b w:val="0"/>
          <w:bCs/>
          <w:color w:val="auto"/>
          <w:kern w:val="0"/>
          <w:sz w:val="32"/>
          <w:szCs w:val="32"/>
          <w:lang w:val="en-US" w:eastAsia="zh-CN" w:bidi="ar"/>
        </w:rPr>
        <w:t>2020年度我单位在《山东教育报》、潍坊日报头版、昌乐日报头版头条、人民视点等县级以上官方媒体刊发稿件15篇，有效宣传昌乐教育工作，树立昌乐教育良好形象。</w:t>
      </w:r>
    </w:p>
    <w:p w14:paraId="5C48E9D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rFonts w:hint="eastAsia" w:ascii="楷体_GB2312" w:hAnsi="宋体" w:eastAsia="楷体_GB2312" w:cs="楷体_GB2312"/>
          <w:b w:val="0"/>
          <w:bCs/>
          <w:color w:val="auto"/>
          <w:kern w:val="0"/>
          <w:sz w:val="32"/>
          <w:szCs w:val="32"/>
          <w:lang w:val="en-US" w:eastAsia="zh-CN" w:bidi="ar"/>
        </w:rPr>
      </w:pPr>
      <w:r>
        <w:rPr>
          <w:rFonts w:hint="eastAsia" w:ascii="楷体_GB2312" w:hAnsi="宋体" w:eastAsia="楷体_GB2312" w:cs="楷体_GB2312"/>
          <w:b w:val="0"/>
          <w:bCs/>
          <w:color w:val="auto"/>
          <w:kern w:val="0"/>
          <w:sz w:val="32"/>
          <w:szCs w:val="32"/>
          <w:lang w:val="en-US" w:eastAsia="zh-CN" w:bidi="ar"/>
        </w:rPr>
        <w:t>机构建设及人员配置情况</w:t>
      </w:r>
    </w:p>
    <w:p w14:paraId="231F3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640" w:firstLineChars="200"/>
        <w:jc w:val="left"/>
        <w:rPr>
          <w:rFonts w:hint="default"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按照机构改革要求，结合内部科室调整情况，及时调整局系统政务公开领导小组，确定一名分管负责人全面负责做好局机关政府信息公开管理工作，办公室为信息公开工作机构，并安排专人具体负责，同时，局内各科室、单位也将信息公开工作作为日常工作的规定动作，适合公开发布的信息及时主动报送办公室，确保信息准确性和时效性。</w:t>
      </w:r>
    </w:p>
    <w:p w14:paraId="0D558D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atLeast"/>
        <w:ind w:left="0" w:right="0" w:firstLine="643"/>
        <w:jc w:val="left"/>
        <w:rPr>
          <w:b w:val="0"/>
          <w:bCs/>
          <w:color w:val="auto"/>
        </w:rPr>
      </w:pPr>
      <w:r>
        <w:rPr>
          <w:rFonts w:hint="eastAsia" w:ascii="楷体_GB2312" w:hAnsi="宋体" w:eastAsia="楷体_GB2312" w:cs="楷体_GB2312"/>
          <w:b w:val="0"/>
          <w:bCs/>
          <w:color w:val="auto"/>
          <w:kern w:val="0"/>
          <w:sz w:val="32"/>
          <w:szCs w:val="32"/>
          <w:lang w:val="en-US" w:eastAsia="zh-CN" w:bidi="ar"/>
        </w:rPr>
        <w:t>（六）监督保障情况</w:t>
      </w:r>
    </w:p>
    <w:p w14:paraId="64AB1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rFonts w:hint="eastAsia" w:ascii="仿宋_GB2312" w:hAnsi="宋体" w:eastAsia="仿宋_GB2312" w:cs="仿宋_GB2312"/>
          <w:b w:val="0"/>
          <w:bCs/>
          <w:color w:val="auto"/>
          <w:kern w:val="0"/>
          <w:sz w:val="32"/>
          <w:szCs w:val="32"/>
          <w:lang w:val="en-US" w:eastAsia="zh-CN" w:bidi="ar"/>
        </w:rPr>
      </w:pPr>
      <w:r>
        <w:rPr>
          <w:rFonts w:hint="eastAsia" w:ascii="仿宋_GB2312" w:hAnsi="宋体" w:eastAsia="仿宋_GB2312" w:cs="仿宋_GB2312"/>
          <w:b w:val="0"/>
          <w:bCs/>
          <w:color w:val="auto"/>
          <w:kern w:val="0"/>
          <w:sz w:val="32"/>
          <w:szCs w:val="32"/>
          <w:lang w:val="en-US" w:eastAsia="zh-CN" w:bidi="ar"/>
        </w:rPr>
        <w:t>一是加强组织领导。明确教育系统政务公开责任分管领导和具体工作人员，配备了1名办公室人员作为政务公开专职人员，形成了主要领导统筹安排、分管领导具体负责、工作人员专人实施的工作机制，构建起上下协调、沟通畅顺的教育领域政务信息公开工作体系，有力保障了政府信息公开工作的高效运转。</w:t>
      </w:r>
    </w:p>
    <w:p w14:paraId="780FB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8" w:lineRule="exact"/>
        <w:ind w:left="0" w:leftChars="0" w:right="0" w:rightChars="0" w:firstLine="640" w:firstLineChars="200"/>
        <w:jc w:val="left"/>
        <w:rPr>
          <w:b w:val="0"/>
          <w:bCs/>
          <w:color w:val="auto"/>
        </w:rPr>
      </w:pPr>
      <w:r>
        <w:rPr>
          <w:rFonts w:hint="eastAsia" w:ascii="仿宋_GB2312" w:hAnsi="宋体" w:eastAsia="仿宋_GB2312" w:cs="仿宋_GB2312"/>
          <w:b w:val="0"/>
          <w:bCs/>
          <w:color w:val="auto"/>
          <w:kern w:val="0"/>
          <w:sz w:val="32"/>
          <w:szCs w:val="32"/>
          <w:lang w:val="en-US" w:eastAsia="zh-CN" w:bidi="ar"/>
        </w:rPr>
        <w:t>二是抓好队伍培训。2020年6月，组织全县各级各类学校办公室负责同志和各科室有关同志认真学习了《中华人民共和国政府信息公开条例》，切实提高对政府信息公开工作的认识水平和工作能力，全力做好教育系统信息公开工作。</w:t>
      </w:r>
    </w:p>
    <w:p w14:paraId="047BC3A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_GB2312" w:hAnsi="Arial" w:eastAsia="仿宋_GB2312" w:cs="Arial"/>
          <w:b w:val="0"/>
          <w:bCs/>
          <w:kern w:val="0"/>
          <w:sz w:val="32"/>
          <w:szCs w:val="32"/>
          <w:lang w:val="en-US" w:eastAsia="zh-CN"/>
        </w:rPr>
      </w:pPr>
      <w:r>
        <w:rPr>
          <w:rFonts w:hint="eastAsia" w:ascii="仿宋_GB2312" w:hAnsi="宋体" w:eastAsia="仿宋_GB2312" w:cs="仿宋_GB2312"/>
          <w:b w:val="0"/>
          <w:bCs/>
          <w:color w:val="auto"/>
          <w:kern w:val="0"/>
          <w:sz w:val="32"/>
          <w:szCs w:val="32"/>
          <w:lang w:val="en-US" w:eastAsia="zh-CN" w:bidi="ar"/>
        </w:rPr>
        <w:t xml:space="preserve">三是完善工作机制。制定《昌乐县教育和体育局2020年政务公开工作实施方案》，明确局机关政府信息公开工作原则、年度任务和工作要求。梳理完成《昌乐县教育和体育局信息主动公开基本目录》，进一步明确局系统政府信息公开的内容、时限、形式、主体等要素。 </w:t>
      </w:r>
    </w:p>
    <w:p w14:paraId="41D5D47D">
      <w:pPr>
        <w:keepNext w:val="0"/>
        <w:keepLines w:val="0"/>
        <w:pageBreakBefore w:val="0"/>
        <w:widowControl/>
        <w:kinsoku/>
        <w:wordWrap/>
        <w:overflowPunct/>
        <w:topLinePunct w:val="0"/>
        <w:bidi w:val="0"/>
        <w:spacing w:line="560" w:lineRule="exact"/>
        <w:ind w:firstLine="640" w:firstLineChars="200"/>
        <w:textAlignment w:val="auto"/>
        <w:rPr>
          <w:rFonts w:hint="eastAsia" w:ascii="Arial" w:hAnsi="Arial" w:eastAsia="仿宋_GB2312" w:cs="Arial"/>
          <w:b w:val="0"/>
          <w:bCs/>
          <w:sz w:val="32"/>
          <w:szCs w:val="32"/>
        </w:rPr>
      </w:pPr>
      <w:r>
        <w:rPr>
          <w:rFonts w:hint="eastAsia" w:ascii="仿宋_GB2312" w:hAnsi="Arial" w:eastAsia="仿宋_GB2312" w:cs="Arial"/>
          <w:b w:val="0"/>
          <w:bCs/>
          <w:kern w:val="0"/>
          <w:sz w:val="32"/>
          <w:szCs w:val="32"/>
          <w:lang w:val="en-US" w:eastAsia="zh-CN"/>
        </w:rPr>
        <w:t>（七）</w:t>
      </w:r>
      <w:r>
        <w:rPr>
          <w:rFonts w:hint="eastAsia" w:ascii="楷体_GB2312" w:hAnsi="宋体" w:eastAsia="楷体_GB2312" w:cs="楷体_GB2312"/>
          <w:b w:val="0"/>
          <w:bCs/>
          <w:color w:val="auto"/>
          <w:kern w:val="0"/>
          <w:sz w:val="32"/>
          <w:szCs w:val="32"/>
          <w:lang w:val="en-US" w:eastAsia="zh-CN" w:bidi="ar"/>
        </w:rPr>
        <w:t>人大建议、政协提案办理情况。</w:t>
      </w:r>
      <w:r>
        <w:rPr>
          <w:rFonts w:hint="eastAsia" w:ascii="仿宋_GB2312" w:hAnsi="Arial" w:eastAsia="仿宋_GB2312" w:cs="Arial"/>
          <w:b w:val="0"/>
          <w:bCs/>
          <w:kern w:val="0"/>
          <w:sz w:val="32"/>
          <w:szCs w:val="32"/>
          <w:lang w:val="en-US" w:eastAsia="zh-CN"/>
        </w:rPr>
        <w:t>积极推进建议提案办理结果公开，及时发布全县人大代表建议和政协委员提案办理情况。2020年由县教育和体育局牵头承办的人大代表建议政协委员提案共29件，其中牵头办理人大代表建议共8件；牵头办理的政协提案共18件，协办1件；疫情期间办理政提案3件。已在政府网站进行了公开。</w:t>
      </w:r>
    </w:p>
    <w:p w14:paraId="042AA82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微软雅黑" w:eastAsia="仿宋_GB2312" w:cs="仿宋_GB2312"/>
          <w:kern w:val="0"/>
          <w:sz w:val="32"/>
          <w:szCs w:val="32"/>
          <w:shd w:val="clear" w:fill="FFFFFF"/>
          <w:lang w:val="en-US" w:eastAsia="zh-CN" w:bidi="ar"/>
        </w:rPr>
      </w:pPr>
      <w:r>
        <w:rPr>
          <w:rFonts w:hint="eastAsia" w:ascii="仿宋_GB2312" w:hAnsi="微软雅黑" w:eastAsia="仿宋_GB2312" w:cs="仿宋_GB2312"/>
          <w:kern w:val="0"/>
          <w:sz w:val="32"/>
          <w:szCs w:val="32"/>
          <w:shd w:val="clear" w:fill="FFFFFF"/>
          <w:lang w:val="en-US" w:eastAsia="zh-CN" w:bidi="ar"/>
        </w:rPr>
        <w:t>建议提案内容主要涉及：学前教育普及普惠、学校布局规划建设、校车安全、托管机构监管、民办培训机构监管、中考政策、劳动教育健康教育传统文化课程，教师队伍建设、复课复学、校园疫情防控等10个方面。</w:t>
      </w:r>
    </w:p>
    <w:p w14:paraId="4E8667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微软雅黑" w:eastAsia="仿宋_GB2312" w:cs="仿宋_GB2312"/>
          <w:kern w:val="0"/>
          <w:sz w:val="32"/>
          <w:szCs w:val="32"/>
          <w:shd w:val="clear" w:fill="FFFFFF"/>
          <w:lang w:val="en-US" w:eastAsia="zh-CN" w:bidi="ar"/>
        </w:rPr>
      </w:pPr>
      <w:r>
        <w:rPr>
          <w:rFonts w:hint="eastAsia" w:ascii="仿宋_GB2312" w:hAnsi="微软雅黑" w:eastAsia="仿宋_GB2312" w:cs="仿宋_GB2312"/>
          <w:kern w:val="0"/>
          <w:sz w:val="32"/>
          <w:szCs w:val="32"/>
          <w:shd w:val="clear" w:fill="FFFFFF"/>
          <w:lang w:val="en-US" w:eastAsia="zh-CN" w:bidi="ar"/>
        </w:rPr>
        <w:t>对此，县教育和体育局高度重视，局党组2月份召开会议研究确定分工，由分管领导牵头，多次召开科室负责人调度会，由责任科室详细分析，拟定答复意见后报县府办副主任审核把关。将5月份确定为“代表建议和政协提案集中办理月”，紧紧围绕“让代表委员满意、让人民群众满意” 开展工作，到5月20日，全部办理完成、答复到位，除1位政协委员在外地，因疫情原因采用网络传送书面答复意见方式答复外，其他全部见面答复，满意率达到100％。在代表建议委员提案办理过程中，及时将因特殊原因暂不具备解决条件事项进行积极沟通。</w:t>
      </w:r>
    </w:p>
    <w:p w14:paraId="3E3FB85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eastAsia" w:ascii="黑体" w:hAnsi="黑体" w:eastAsia="黑体" w:cs="黑体"/>
          <w:color w:val="333333"/>
          <w:sz w:val="32"/>
          <w:szCs w:val="32"/>
          <w:shd w:val="clear" w:color="auto" w:fill="FFFFFF"/>
        </w:rPr>
      </w:pPr>
      <w:r>
        <w:rPr>
          <w:rFonts w:hint="eastAsia" w:ascii="仿宋_GB2312" w:hAnsi="微软雅黑" w:eastAsia="仿宋_GB2312" w:cs="仿宋_GB2312"/>
          <w:kern w:val="0"/>
          <w:sz w:val="32"/>
          <w:szCs w:val="32"/>
          <w:shd w:val="clear" w:fill="FFFFFF"/>
          <w:lang w:val="en-US" w:eastAsia="zh-CN" w:bidi="ar"/>
        </w:rPr>
        <w:drawing>
          <wp:inline distT="0" distB="0" distL="114300" distR="114300">
            <wp:extent cx="5480685" cy="2157730"/>
            <wp:effectExtent l="0" t="0" r="5715" b="13970"/>
            <wp:docPr id="2" name="图片 2" descr="a6de82a023e5b4603ebc7e061325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6de82a023e5b4603ebc7e0613259a8"/>
                    <pic:cNvPicPr>
                      <a:picLocks noChangeAspect="1"/>
                    </pic:cNvPicPr>
                  </pic:nvPicPr>
                  <pic:blipFill>
                    <a:blip r:embed="rId13"/>
                    <a:stretch>
                      <a:fillRect/>
                    </a:stretch>
                  </pic:blipFill>
                  <pic:spPr>
                    <a:xfrm>
                      <a:off x="0" y="0"/>
                      <a:ext cx="5480685" cy="2157730"/>
                    </a:xfrm>
                    <a:prstGeom prst="rect">
                      <a:avLst/>
                    </a:prstGeom>
                  </pic:spPr>
                </pic:pic>
              </a:graphicData>
            </a:graphic>
          </wp:inline>
        </w:drawing>
      </w:r>
    </w:p>
    <w:p w14:paraId="3C57F583">
      <w:pPr>
        <w:pStyle w:val="3"/>
        <w:widowControl/>
        <w:shd w:val="clear" w:color="auto" w:fill="FFFFFF"/>
        <w:spacing w:beforeAutospacing="0" w:after="240" w:afterAutospacing="0"/>
        <w:ind w:firstLine="640"/>
        <w:jc w:val="both"/>
        <w:rPr>
          <w:rFonts w:ascii="黑体" w:hAnsi="黑体" w:eastAsia="黑体" w:cs="黑体"/>
          <w:color w:val="333333"/>
          <w:sz w:val="32"/>
          <w:szCs w:val="32"/>
        </w:rPr>
      </w:pPr>
      <w:r>
        <w:rPr>
          <w:rFonts w:hint="eastAsia" w:ascii="黑体" w:hAnsi="黑体" w:eastAsia="黑体" w:cs="黑体"/>
          <w:color w:val="333333"/>
          <w:sz w:val="32"/>
          <w:szCs w:val="32"/>
          <w:shd w:val="clear" w:color="auto" w:fill="FFFFFF"/>
        </w:rPr>
        <w:t>二、主动公开政府信息情况</w:t>
      </w:r>
    </w:p>
    <w:tbl>
      <w:tblPr>
        <w:tblStyle w:val="4"/>
        <w:tblW w:w="8708" w:type="dxa"/>
        <w:jc w:val="center"/>
        <w:shd w:val="clear" w:color="auto" w:fill="FFFFFF" w:themeFill="background1"/>
        <w:tblLayout w:type="fixed"/>
        <w:tblCellMar>
          <w:top w:w="0" w:type="dxa"/>
          <w:left w:w="0" w:type="dxa"/>
          <w:bottom w:w="0" w:type="dxa"/>
          <w:right w:w="0" w:type="dxa"/>
        </w:tblCellMar>
      </w:tblPr>
      <w:tblGrid>
        <w:gridCol w:w="3073"/>
        <w:gridCol w:w="17"/>
        <w:gridCol w:w="2095"/>
        <w:gridCol w:w="1505"/>
        <w:gridCol w:w="2018"/>
      </w:tblGrid>
      <w:tr w14:paraId="390A62A6">
        <w:tblPrEx>
          <w:shd w:val="clear" w:color="auto" w:fill="FFFFFF" w:themeFill="background1"/>
          <w:tblCellMar>
            <w:top w:w="0" w:type="dxa"/>
            <w:left w:w="0" w:type="dxa"/>
            <w:bottom w:w="0" w:type="dxa"/>
            <w:right w:w="0" w:type="dxa"/>
          </w:tblCellMar>
        </w:tblPrEx>
        <w:trPr>
          <w:trHeight w:val="594" w:hRule="atLeast"/>
          <w:jc w:val="center"/>
        </w:trPr>
        <w:tc>
          <w:tcPr>
            <w:tcW w:w="8708"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C24A504">
            <w:pPr>
              <w:widowControl/>
              <w:jc w:val="center"/>
              <w:rPr>
                <w:rFonts w:asciiTheme="minorEastAsia" w:hAnsiTheme="minorEastAsia" w:cstheme="minorEastAsia"/>
                <w:sz w:val="24"/>
              </w:rPr>
            </w:pPr>
            <w:r>
              <w:rPr>
                <w:rFonts w:hint="eastAsia" w:asciiTheme="minorEastAsia" w:hAnsiTheme="minorEastAsia" w:cstheme="minorEastAsia"/>
                <w:color w:val="000000"/>
                <w:kern w:val="0"/>
                <w:sz w:val="24"/>
              </w:rPr>
              <w:t>第二十条第（一）项</w:t>
            </w:r>
          </w:p>
        </w:tc>
      </w:tr>
      <w:tr w14:paraId="5CF80D96">
        <w:tblPrEx>
          <w:tblCellMar>
            <w:top w:w="0" w:type="dxa"/>
            <w:left w:w="0" w:type="dxa"/>
            <w:bottom w:w="0" w:type="dxa"/>
            <w:right w:w="0" w:type="dxa"/>
          </w:tblCellMar>
        </w:tblPrEx>
        <w:trPr>
          <w:trHeight w:val="866"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01F5005">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122D4209">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本年新制作数量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6EA2BC01">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本年新</w:t>
            </w:r>
            <w:r>
              <w:rPr>
                <w:rFonts w:hint="eastAsia" w:asciiTheme="minorEastAsia" w:hAnsiTheme="minorEastAsia" w:cstheme="minorEastAsia"/>
                <w:color w:val="000000"/>
                <w:kern w:val="0"/>
                <w:sz w:val="24"/>
              </w:rPr>
              <w:br w:type="textWrapping"/>
            </w:r>
            <w:r>
              <w:rPr>
                <w:rFonts w:hint="eastAsia" w:asciiTheme="minorEastAsia" w:hAnsiTheme="minorEastAsia" w:cstheme="minorEastAsia"/>
                <w:color w:val="000000"/>
                <w:kern w:val="0"/>
                <w:sz w:val="24"/>
              </w:rPr>
              <w:t>公开数量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30045F2B">
            <w:pPr>
              <w:widowControl/>
              <w:jc w:val="center"/>
              <w:rPr>
                <w:rFonts w:hint="eastAsia" w:asciiTheme="minorEastAsia" w:hAnsiTheme="minorEastAsia" w:cstheme="minorEastAsia"/>
                <w:color w:val="000000"/>
                <w:kern w:val="0"/>
                <w:sz w:val="24"/>
              </w:rPr>
            </w:pPr>
            <w:r>
              <w:rPr>
                <w:rFonts w:hint="eastAsia" w:asciiTheme="minorEastAsia" w:hAnsiTheme="minorEastAsia" w:cstheme="minorEastAsia"/>
                <w:color w:val="000000"/>
                <w:kern w:val="0"/>
                <w:sz w:val="24"/>
              </w:rPr>
              <w:t>对外公开</w:t>
            </w:r>
          </w:p>
          <w:p w14:paraId="4A6F176C">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总数量</w:t>
            </w:r>
          </w:p>
        </w:tc>
      </w:tr>
      <w:tr w14:paraId="37C5684B">
        <w:tblPrEx>
          <w:shd w:val="clear" w:color="auto" w:fill="FFFFFF" w:themeFill="background1"/>
          <w:tblCellMar>
            <w:top w:w="0" w:type="dxa"/>
            <w:left w:w="0" w:type="dxa"/>
            <w:bottom w:w="0" w:type="dxa"/>
            <w:right w:w="0" w:type="dxa"/>
          </w:tblCellMar>
        </w:tblPrEx>
        <w:trPr>
          <w:trHeight w:val="399"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C6AC6EE">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规章</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60721F3A">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lang w:val="en-US" w:eastAsia="zh-CN"/>
              </w:rPr>
              <w:t>0</w:t>
            </w:r>
            <w:r>
              <w:rPr>
                <w:rFonts w:hint="eastAsia" w:asciiTheme="minorEastAsia" w:hAnsiTheme="minorEastAsia" w:cstheme="minorEastAsia"/>
                <w:color w:val="000000"/>
                <w:kern w:val="0"/>
                <w:sz w:val="24"/>
              </w:rPr>
              <w:t>　　</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0B772328">
            <w:pPr>
              <w:widowControl/>
              <w:jc w:val="center"/>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rPr>
              <w:t> </w:t>
            </w:r>
            <w:r>
              <w:rPr>
                <w:rFonts w:hint="eastAsia" w:asciiTheme="minorEastAsia" w:hAnsiTheme="minorEastAsia" w:cstheme="minorEastAsia"/>
                <w:color w:val="000000"/>
                <w:kern w:val="0"/>
                <w:sz w:val="24"/>
                <w:lang w:val="en-US" w:eastAsia="zh-CN"/>
              </w:rPr>
              <w:t>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00B4B5FF">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lang w:val="en-US" w:eastAsia="zh-CN"/>
              </w:rPr>
              <w:t>0</w:t>
            </w:r>
            <w:r>
              <w:rPr>
                <w:rFonts w:hint="eastAsia" w:asciiTheme="minorEastAsia" w:hAnsiTheme="minorEastAsia" w:cstheme="minorEastAsia"/>
                <w:color w:val="000000"/>
                <w:kern w:val="0"/>
                <w:sz w:val="24"/>
              </w:rPr>
              <w:t>　</w:t>
            </w:r>
          </w:p>
        </w:tc>
      </w:tr>
      <w:tr w14:paraId="050A9D97">
        <w:tblPrEx>
          <w:shd w:val="clear" w:color="auto" w:fill="FFFFFF" w:themeFill="background1"/>
          <w:tblCellMar>
            <w:top w:w="0" w:type="dxa"/>
            <w:left w:w="0" w:type="dxa"/>
            <w:bottom w:w="0" w:type="dxa"/>
            <w:right w:w="0" w:type="dxa"/>
          </w:tblCellMar>
        </w:tblPrEx>
        <w:trPr>
          <w:trHeight w:val="404"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A871EAF">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规范性文件</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9AB1E96">
            <w:pPr>
              <w:widowControl/>
              <w:jc w:val="center"/>
              <w:rPr>
                <w:rFonts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lang w:val="en-US" w:eastAsia="zh-CN"/>
              </w:rPr>
              <w:t>0</w:t>
            </w:r>
            <w:r>
              <w:rPr>
                <w:rFonts w:hint="eastAsia" w:asciiTheme="minorEastAsia" w:hAnsiTheme="minorEastAsia" w:cstheme="minorEastAsia"/>
                <w:color w:val="000000"/>
                <w:kern w:val="0"/>
                <w:sz w:val="24"/>
              </w:rPr>
              <w:t>　　</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7AA9375">
            <w:pPr>
              <w:widowControl/>
              <w:jc w:val="center"/>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rPr>
              <w:t> </w:t>
            </w:r>
            <w:r>
              <w:rPr>
                <w:rFonts w:hint="eastAsia" w:asciiTheme="minorEastAsia" w:hAnsiTheme="minorEastAsia" w:cstheme="minorEastAsia"/>
                <w:color w:val="000000"/>
                <w:kern w:val="0"/>
                <w:sz w:val="24"/>
                <w:lang w:val="en-US" w:eastAsia="zh-CN"/>
              </w:rPr>
              <w:t>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776D9DF8">
            <w:pPr>
              <w:widowControl/>
              <w:jc w:val="center"/>
              <w:rPr>
                <w:rFonts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lang w:val="en-US" w:eastAsia="zh-CN"/>
              </w:rPr>
              <w:t>0</w:t>
            </w:r>
            <w:r>
              <w:rPr>
                <w:rFonts w:hint="eastAsia" w:asciiTheme="minorEastAsia" w:hAnsiTheme="minorEastAsia" w:cstheme="minorEastAsia"/>
                <w:color w:val="000000"/>
                <w:kern w:val="0"/>
                <w:sz w:val="24"/>
              </w:rPr>
              <w:t>　</w:t>
            </w:r>
          </w:p>
        </w:tc>
      </w:tr>
      <w:tr w14:paraId="5BF96201">
        <w:tblPrEx>
          <w:tblCellMar>
            <w:top w:w="0" w:type="dxa"/>
            <w:left w:w="0" w:type="dxa"/>
            <w:bottom w:w="0" w:type="dxa"/>
            <w:right w:w="0" w:type="dxa"/>
          </w:tblCellMar>
        </w:tblPrEx>
        <w:trPr>
          <w:trHeight w:val="480"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B75E023">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第二十条第（五）项</w:t>
            </w:r>
          </w:p>
        </w:tc>
      </w:tr>
      <w:tr w14:paraId="450295B6">
        <w:tblPrEx>
          <w:tblCellMar>
            <w:top w:w="0" w:type="dxa"/>
            <w:left w:w="0" w:type="dxa"/>
            <w:bottom w:w="0" w:type="dxa"/>
            <w:right w:w="0" w:type="dxa"/>
          </w:tblCellMar>
        </w:tblPrEx>
        <w:trPr>
          <w:trHeight w:val="516"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D83F263">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3CDE07DA">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上一年项目数量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2E0EF1D7">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本年增/减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2542101C">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处理决定数量</w:t>
            </w:r>
          </w:p>
        </w:tc>
      </w:tr>
      <w:tr w14:paraId="6EF381D5">
        <w:tblPrEx>
          <w:tblCellMar>
            <w:top w:w="0" w:type="dxa"/>
            <w:left w:w="0" w:type="dxa"/>
            <w:bottom w:w="0" w:type="dxa"/>
            <w:right w:w="0" w:type="dxa"/>
          </w:tblCellMar>
        </w:tblPrEx>
        <w:trPr>
          <w:trHeight w:val="455"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1EBC91">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行政许可</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33FA2CB2">
            <w:pPr>
              <w:widowControl/>
              <w:jc w:val="center"/>
              <w:rPr>
                <w:rFonts w:hint="default" w:asciiTheme="minorEastAsia" w:hAnsiTheme="minorEastAsia" w:eastAsiaTheme="minorEastAsia" w:cstheme="minorEastAsia"/>
                <w:color w:val="000000"/>
                <w:kern w:val="0"/>
                <w:sz w:val="24"/>
                <w:lang w:val="en-US" w:eastAsia="zh-CN"/>
              </w:rPr>
            </w:pPr>
            <w:r>
              <w:rPr>
                <w:rFonts w:hint="default" w:asciiTheme="minorEastAsia" w:hAnsiTheme="minorEastAsia" w:cstheme="minorEastAsia"/>
                <w:color w:val="000000"/>
                <w:kern w:val="0"/>
                <w:sz w:val="24"/>
                <w:lang w:val="en-US" w:eastAsia="zh-CN"/>
              </w:rPr>
              <w:t>24</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7DD898C6">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lang w:val="en-US" w:eastAsia="zh-CN"/>
              </w:rPr>
              <w:t>-</w:t>
            </w:r>
            <w:r>
              <w:rPr>
                <w:rFonts w:hint="default" w:asciiTheme="minorEastAsia" w:hAnsiTheme="minorEastAsia" w:cstheme="minorEastAsia"/>
                <w:color w:val="000000"/>
                <w:kern w:val="0"/>
                <w:sz w:val="24"/>
                <w:lang w:val="en-US" w:eastAsia="zh-CN"/>
              </w:rPr>
              <w:t>24</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3E2E2FF">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lang w:val="en-US" w:eastAsia="zh-CN"/>
              </w:rPr>
              <w:t>0</w:t>
            </w:r>
          </w:p>
        </w:tc>
      </w:tr>
      <w:tr w14:paraId="55F2C862">
        <w:tblPrEx>
          <w:tblCellMar>
            <w:top w:w="0" w:type="dxa"/>
            <w:left w:w="0" w:type="dxa"/>
            <w:bottom w:w="0" w:type="dxa"/>
            <w:right w:w="0" w:type="dxa"/>
          </w:tblCellMar>
        </w:tblPrEx>
        <w:trPr>
          <w:trHeight w:val="55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03274F62">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其他对外管理服务事项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1B3F41E5">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lang w:val="en-US" w:eastAsia="zh-CN"/>
              </w:rPr>
              <w:t>68</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419B9E11">
            <w:pPr>
              <w:widowControl/>
              <w:jc w:val="center"/>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lang w:val="en-US" w:eastAsia="zh-CN"/>
              </w:rPr>
              <w:t>0</w:t>
            </w:r>
            <w:r>
              <w:rPr>
                <w:rFonts w:hint="eastAsia" w:asciiTheme="minorEastAsia" w:hAnsiTheme="minorEastAsia" w:cstheme="minorEastAsia"/>
                <w:color w:val="000000"/>
                <w:kern w:val="0"/>
                <w:sz w:val="24"/>
              </w:rPr>
              <w:t>　</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3EEB7AC">
            <w:pPr>
              <w:widowControl/>
              <w:jc w:val="center"/>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highlight w:val="none"/>
                <w:lang w:val="en-US" w:eastAsia="zh-CN"/>
              </w:rPr>
              <w:t>0</w:t>
            </w:r>
          </w:p>
        </w:tc>
      </w:tr>
      <w:tr w14:paraId="1023B886">
        <w:tblPrEx>
          <w:tblCellMar>
            <w:top w:w="0" w:type="dxa"/>
            <w:left w:w="0" w:type="dxa"/>
            <w:bottom w:w="0" w:type="dxa"/>
            <w:right w:w="0" w:type="dxa"/>
          </w:tblCellMar>
        </w:tblPrEx>
        <w:trPr>
          <w:trHeight w:val="497"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7853599E">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第二十条第（六）项</w:t>
            </w:r>
          </w:p>
        </w:tc>
      </w:tr>
      <w:tr w14:paraId="1B4D6F18">
        <w:tblPrEx>
          <w:tblCellMar>
            <w:top w:w="0" w:type="dxa"/>
            <w:left w:w="0" w:type="dxa"/>
            <w:bottom w:w="0" w:type="dxa"/>
            <w:right w:w="0" w:type="dxa"/>
          </w:tblCellMar>
        </w:tblPrEx>
        <w:trPr>
          <w:trHeight w:val="547"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1FB3C3A">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27CA0785">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上一年项目数量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14:paraId="6820BB7B">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本年增/减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07E21B0">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处理决定数量</w:t>
            </w:r>
          </w:p>
        </w:tc>
      </w:tr>
      <w:tr w14:paraId="58343607">
        <w:tblPrEx>
          <w:tblCellMar>
            <w:top w:w="0" w:type="dxa"/>
            <w:left w:w="0" w:type="dxa"/>
            <w:bottom w:w="0" w:type="dxa"/>
            <w:right w:w="0" w:type="dxa"/>
          </w:tblCellMar>
        </w:tblPrEx>
        <w:trPr>
          <w:trHeight w:val="43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18E55A1F">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行政处罚</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1B510A8F">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lang w:val="en-US" w:eastAsia="zh-CN"/>
              </w:rPr>
              <w:t>37</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6F9F155F">
            <w:pPr>
              <w:widowControl/>
              <w:jc w:val="center"/>
              <w:rPr>
                <w:rFonts w:hint="default" w:asciiTheme="minorEastAsia" w:hAnsiTheme="minorEastAsia" w:cstheme="minorEastAsia"/>
                <w:color w:val="000000"/>
                <w:kern w:val="0"/>
                <w:sz w:val="24"/>
                <w:lang w:val="en-US"/>
              </w:rPr>
            </w:pPr>
            <w:r>
              <w:rPr>
                <w:rFonts w:hint="eastAsia" w:asciiTheme="minorEastAsia" w:hAnsiTheme="minorEastAsia" w:cstheme="minorEastAsia"/>
                <w:color w:val="000000"/>
                <w:kern w:val="0"/>
                <w:sz w:val="24"/>
                <w:lang w:val="en-US" w:eastAsia="zh-CN"/>
              </w:rPr>
              <w:t>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654E2BBD">
            <w:pPr>
              <w:widowControl/>
              <w:jc w:val="center"/>
              <w:rPr>
                <w:rFonts w:hint="eastAsia" w:asciiTheme="minorEastAsia" w:hAnsiTheme="minorEastAsia" w:eastAsiaTheme="minorEastAsia" w:cstheme="minorEastAsia"/>
                <w:color w:val="000000"/>
                <w:kern w:val="0"/>
                <w:sz w:val="24"/>
                <w:highlight w:val="none"/>
                <w:lang w:val="en-US" w:eastAsia="zh-CN"/>
              </w:rPr>
            </w:pPr>
            <w:r>
              <w:rPr>
                <w:rFonts w:hint="eastAsia" w:asciiTheme="minorEastAsia" w:hAnsiTheme="minorEastAsia" w:cstheme="minorEastAsia"/>
                <w:color w:val="000000"/>
                <w:kern w:val="0"/>
                <w:sz w:val="24"/>
                <w:highlight w:val="none"/>
                <w:lang w:val="en-US" w:eastAsia="zh-CN"/>
              </w:rPr>
              <w:t>0</w:t>
            </w:r>
          </w:p>
        </w:tc>
      </w:tr>
      <w:tr w14:paraId="2F279EDD">
        <w:tblPrEx>
          <w:tblCellMar>
            <w:top w:w="0" w:type="dxa"/>
            <w:left w:w="0" w:type="dxa"/>
            <w:bottom w:w="0" w:type="dxa"/>
            <w:right w:w="0" w:type="dxa"/>
          </w:tblCellMar>
        </w:tblPrEx>
        <w:trPr>
          <w:trHeight w:val="409"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4BB85A03">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行政强制</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7681C4BC">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lang w:val="en-US" w:eastAsia="zh-CN"/>
              </w:rPr>
              <w:t>2</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038A84D1">
            <w:pPr>
              <w:widowControl/>
              <w:jc w:val="center"/>
              <w:rPr>
                <w:rFonts w:hint="default"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lang w:val="en-US" w:eastAsia="zh-CN"/>
              </w:rPr>
              <w:t>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3D30B5F5">
            <w:pPr>
              <w:widowControl/>
              <w:jc w:val="center"/>
              <w:rPr>
                <w:rFonts w:hint="eastAsia" w:asciiTheme="minorEastAsia" w:hAnsiTheme="minorEastAsia" w:eastAsiaTheme="minorEastAsia" w:cstheme="minorEastAsia"/>
                <w:color w:val="000000"/>
                <w:kern w:val="0"/>
                <w:sz w:val="24"/>
                <w:highlight w:val="none"/>
                <w:lang w:val="en-US" w:eastAsia="zh-CN"/>
              </w:rPr>
            </w:pPr>
            <w:r>
              <w:rPr>
                <w:rFonts w:hint="eastAsia" w:asciiTheme="minorEastAsia" w:hAnsiTheme="minorEastAsia" w:cstheme="minorEastAsia"/>
                <w:color w:val="000000"/>
                <w:kern w:val="0"/>
                <w:sz w:val="24"/>
                <w:highlight w:val="none"/>
                <w:lang w:val="en-US" w:eastAsia="zh-CN"/>
              </w:rPr>
              <w:t>0</w:t>
            </w:r>
          </w:p>
        </w:tc>
      </w:tr>
      <w:tr w14:paraId="64D32BBB">
        <w:tblPrEx>
          <w:tblCellMar>
            <w:top w:w="0" w:type="dxa"/>
            <w:left w:w="0" w:type="dxa"/>
            <w:bottom w:w="0" w:type="dxa"/>
            <w:right w:w="0" w:type="dxa"/>
          </w:tblCellMar>
        </w:tblPrEx>
        <w:trPr>
          <w:trHeight w:val="474"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219DB817">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第二十条第（八）项</w:t>
            </w:r>
          </w:p>
        </w:tc>
      </w:tr>
      <w:tr w14:paraId="4ECAB46B">
        <w:tblPrEx>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B7B7806">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信息内容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30E86E92">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上一年项目数量</w:t>
            </w:r>
          </w:p>
        </w:tc>
        <w:tc>
          <w:tcPr>
            <w:tcW w:w="3523" w:type="dxa"/>
            <w:gridSpan w:val="2"/>
            <w:tcBorders>
              <w:top w:val="single" w:color="auto" w:sz="8" w:space="0"/>
              <w:left w:val="nil"/>
              <w:bottom w:val="single" w:color="auto" w:sz="8" w:space="0"/>
              <w:right w:val="single" w:color="000000" w:sz="8" w:space="0"/>
            </w:tcBorders>
            <w:shd w:val="clear" w:color="auto" w:fill="FFFFFF" w:themeFill="background1"/>
            <w:tcMar>
              <w:left w:w="108" w:type="dxa"/>
              <w:right w:w="108" w:type="dxa"/>
            </w:tcMar>
            <w:vAlign w:val="center"/>
          </w:tcPr>
          <w:p w14:paraId="06CEFCC6">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本年增/减</w:t>
            </w:r>
          </w:p>
        </w:tc>
      </w:tr>
      <w:tr w14:paraId="01887A03">
        <w:tblPrEx>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6ABDE494">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行政事业性收费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264C498F">
            <w:pPr>
              <w:widowControl/>
              <w:jc w:val="center"/>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rPr>
              <w:t>　</w:t>
            </w:r>
            <w:r>
              <w:rPr>
                <w:rFonts w:hint="eastAsia" w:asciiTheme="minorEastAsia" w:hAnsiTheme="minorEastAsia" w:cstheme="minorEastAsia"/>
                <w:color w:val="000000"/>
                <w:kern w:val="0"/>
                <w:sz w:val="24"/>
                <w:lang w:val="en-US" w:eastAsia="zh-CN"/>
              </w:rPr>
              <w:t>0</w:t>
            </w:r>
          </w:p>
        </w:tc>
        <w:tc>
          <w:tcPr>
            <w:tcW w:w="3523" w:type="dxa"/>
            <w:gridSpan w:val="2"/>
            <w:tcBorders>
              <w:top w:val="nil"/>
              <w:left w:val="nil"/>
              <w:bottom w:val="single" w:color="auto" w:sz="8" w:space="0"/>
              <w:right w:val="single" w:color="000000" w:sz="8" w:space="0"/>
            </w:tcBorders>
            <w:shd w:val="clear" w:color="auto" w:fill="FFFFFF" w:themeFill="background1"/>
            <w:tcMar>
              <w:left w:w="108" w:type="dxa"/>
              <w:right w:w="108" w:type="dxa"/>
            </w:tcMar>
            <w:vAlign w:val="center"/>
          </w:tcPr>
          <w:p w14:paraId="336FB825">
            <w:pPr>
              <w:widowControl/>
              <w:jc w:val="center"/>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cstheme="minorEastAsia"/>
                <w:color w:val="000000"/>
                <w:kern w:val="0"/>
                <w:sz w:val="24"/>
              </w:rPr>
              <w:t> </w:t>
            </w:r>
            <w:r>
              <w:rPr>
                <w:rFonts w:hint="eastAsia" w:asciiTheme="minorEastAsia" w:hAnsiTheme="minorEastAsia" w:cstheme="minorEastAsia"/>
                <w:color w:val="000000"/>
                <w:kern w:val="0"/>
                <w:sz w:val="24"/>
                <w:lang w:val="en-US" w:eastAsia="zh-CN"/>
              </w:rPr>
              <w:t>0</w:t>
            </w:r>
          </w:p>
        </w:tc>
      </w:tr>
      <w:tr w14:paraId="3939EEC2">
        <w:tblPrEx>
          <w:shd w:val="clear" w:color="auto" w:fill="FFFFFF" w:themeFill="background1"/>
          <w:tblCellMar>
            <w:top w:w="0" w:type="dxa"/>
            <w:left w:w="0" w:type="dxa"/>
            <w:bottom w:w="0" w:type="dxa"/>
            <w:right w:w="0" w:type="dxa"/>
          </w:tblCellMar>
        </w:tblPrEx>
        <w:trPr>
          <w:trHeight w:val="476"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53DC24BC">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第二十条第（九）项</w:t>
            </w:r>
          </w:p>
        </w:tc>
      </w:tr>
      <w:tr w14:paraId="2165F2D5">
        <w:tblPrEx>
          <w:tblCellMar>
            <w:top w:w="0" w:type="dxa"/>
            <w:left w:w="0" w:type="dxa"/>
            <w:bottom w:w="0" w:type="dxa"/>
            <w:right w:w="0" w:type="dxa"/>
          </w:tblCellMar>
        </w:tblPrEx>
        <w:trPr>
          <w:trHeight w:val="427" w:hRule="atLeast"/>
          <w:jc w:val="center"/>
        </w:trPr>
        <w:tc>
          <w:tcPr>
            <w:tcW w:w="3090" w:type="dxa"/>
            <w:gridSpan w:val="2"/>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51B0249">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信息内容</w:t>
            </w:r>
          </w:p>
        </w:tc>
        <w:tc>
          <w:tcPr>
            <w:tcW w:w="209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17C8AC15">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采购项目数量</w:t>
            </w:r>
          </w:p>
        </w:tc>
        <w:tc>
          <w:tcPr>
            <w:tcW w:w="3523" w:type="dxa"/>
            <w:gridSpan w:val="2"/>
            <w:tcBorders>
              <w:top w:val="single" w:color="auto" w:sz="8" w:space="0"/>
              <w:left w:val="nil"/>
              <w:bottom w:val="single" w:color="auto" w:sz="8" w:space="0"/>
              <w:right w:val="single" w:color="000000" w:sz="8" w:space="0"/>
            </w:tcBorders>
            <w:shd w:val="clear" w:color="auto" w:fill="FFFFFF" w:themeFill="background1"/>
            <w:tcMar>
              <w:left w:w="108" w:type="dxa"/>
              <w:right w:w="108" w:type="dxa"/>
            </w:tcMar>
            <w:vAlign w:val="center"/>
          </w:tcPr>
          <w:p w14:paraId="28399032">
            <w:pPr>
              <w:widowControl/>
              <w:jc w:val="center"/>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采购总金额</w:t>
            </w:r>
          </w:p>
        </w:tc>
      </w:tr>
      <w:tr w14:paraId="38CE6423">
        <w:tblPrEx>
          <w:tblCellMar>
            <w:top w:w="0" w:type="dxa"/>
            <w:left w:w="0" w:type="dxa"/>
            <w:bottom w:w="0" w:type="dxa"/>
            <w:right w:w="0" w:type="dxa"/>
          </w:tblCellMar>
        </w:tblPrEx>
        <w:trPr>
          <w:trHeight w:val="469" w:hRule="atLeast"/>
          <w:jc w:val="center"/>
        </w:trPr>
        <w:tc>
          <w:tcPr>
            <w:tcW w:w="3090" w:type="dxa"/>
            <w:gridSpan w:val="2"/>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14:paraId="3EF71F38">
            <w:pPr>
              <w:widowControl/>
              <w:jc w:val="left"/>
              <w:rPr>
                <w:rFonts w:asciiTheme="minorEastAsia" w:hAnsiTheme="minorEastAsia" w:cstheme="minorEastAsia"/>
                <w:color w:val="000000"/>
                <w:kern w:val="0"/>
                <w:sz w:val="24"/>
              </w:rPr>
            </w:pPr>
            <w:r>
              <w:rPr>
                <w:rFonts w:hint="eastAsia" w:asciiTheme="minorEastAsia" w:hAnsiTheme="minorEastAsia" w:cstheme="minorEastAsia"/>
                <w:color w:val="000000"/>
                <w:kern w:val="0"/>
                <w:sz w:val="24"/>
              </w:rPr>
              <w:t>政府集中采购</w:t>
            </w:r>
          </w:p>
        </w:tc>
        <w:tc>
          <w:tcPr>
            <w:tcW w:w="209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14:paraId="570A6203">
            <w:pPr>
              <w:widowControl/>
              <w:jc w:val="center"/>
              <w:rPr>
                <w:rFonts w:asciiTheme="minorEastAsia" w:hAnsiTheme="minorEastAsia" w:cstheme="minorEastAsia"/>
                <w:color w:val="auto"/>
                <w:kern w:val="0"/>
                <w:sz w:val="24"/>
              </w:rPr>
            </w:pPr>
            <w:r>
              <w:rPr>
                <w:rFonts w:hint="eastAsia" w:asciiTheme="minorEastAsia" w:hAnsiTheme="minorEastAsia" w:cstheme="minorEastAsia"/>
                <w:color w:val="auto"/>
                <w:kern w:val="0"/>
                <w:sz w:val="24"/>
                <w:lang w:val="en-US" w:eastAsia="zh-CN"/>
              </w:rPr>
              <w:t>22</w:t>
            </w:r>
            <w:r>
              <w:rPr>
                <w:rFonts w:hint="eastAsia" w:asciiTheme="minorEastAsia" w:hAnsiTheme="minorEastAsia" w:cstheme="minorEastAsia"/>
                <w:color w:val="auto"/>
                <w:kern w:val="0"/>
                <w:sz w:val="24"/>
              </w:rPr>
              <w:t>　</w:t>
            </w:r>
          </w:p>
        </w:tc>
        <w:tc>
          <w:tcPr>
            <w:tcW w:w="3523" w:type="dxa"/>
            <w:gridSpan w:val="2"/>
            <w:tcBorders>
              <w:top w:val="nil"/>
              <w:left w:val="nil"/>
              <w:bottom w:val="single" w:color="auto" w:sz="8" w:space="0"/>
              <w:right w:val="single" w:color="000000" w:sz="8" w:space="0"/>
            </w:tcBorders>
            <w:shd w:val="clear" w:color="auto" w:fill="FFFFFF" w:themeFill="background1"/>
            <w:tcMar>
              <w:left w:w="108" w:type="dxa"/>
              <w:right w:w="108" w:type="dxa"/>
            </w:tcMar>
            <w:vAlign w:val="center"/>
          </w:tcPr>
          <w:p w14:paraId="2FB599D2">
            <w:pPr>
              <w:jc w:val="center"/>
              <w:rPr>
                <w:rFonts w:asciiTheme="minorEastAsia" w:hAnsiTheme="minorEastAsia" w:cstheme="minorEastAsia"/>
                <w:color w:val="auto"/>
                <w:kern w:val="0"/>
                <w:sz w:val="24"/>
              </w:rPr>
            </w:pPr>
            <w:r>
              <w:rPr>
                <w:rFonts w:hint="eastAsia" w:asciiTheme="minorEastAsia" w:hAnsiTheme="minorEastAsia" w:cstheme="minorEastAsia"/>
                <w:color w:val="auto"/>
                <w:kern w:val="0"/>
                <w:sz w:val="24"/>
              </w:rPr>
              <w:t xml:space="preserve">  401341元</w:t>
            </w:r>
          </w:p>
        </w:tc>
      </w:tr>
    </w:tbl>
    <w:p w14:paraId="34635D9A">
      <w:pPr>
        <w:pStyle w:val="3"/>
        <w:widowControl/>
        <w:shd w:val="clear" w:color="auto" w:fill="FFFFFF"/>
        <w:spacing w:beforeAutospacing="0" w:after="240" w:afterAutospacing="0"/>
        <w:ind w:left="-199" w:leftChars="-95" w:firstLine="620"/>
        <w:jc w:val="both"/>
        <w:rPr>
          <w:rFonts w:ascii="黑体" w:hAnsi="黑体" w:eastAsia="黑体" w:cs="黑体"/>
          <w:color w:val="333333"/>
          <w:sz w:val="32"/>
          <w:szCs w:val="32"/>
        </w:rPr>
      </w:pPr>
      <w:r>
        <w:rPr>
          <w:rFonts w:hint="eastAsia" w:ascii="黑体" w:hAnsi="黑体" w:eastAsia="黑体" w:cs="黑体"/>
          <w:b/>
          <w:color w:val="333333"/>
          <w:sz w:val="32"/>
          <w:szCs w:val="32"/>
          <w:shd w:val="clear" w:color="auto" w:fill="FFFFFF"/>
        </w:rPr>
        <w:t>三、收到和处理政府信息公开申请情况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1418"/>
        <w:gridCol w:w="2835"/>
        <w:gridCol w:w="658"/>
        <w:gridCol w:w="759"/>
        <w:gridCol w:w="567"/>
        <w:gridCol w:w="567"/>
        <w:gridCol w:w="567"/>
        <w:gridCol w:w="540"/>
        <w:gridCol w:w="635"/>
      </w:tblGrid>
      <w:tr w14:paraId="4FAB97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778"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2CCE5C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（本列数据的勾稽关系为：第一项加第二项之和，</w:t>
            </w:r>
          </w:p>
          <w:p w14:paraId="27DEB7D6">
            <w:pPr>
              <w:widowControl/>
              <w:jc w:val="center"/>
            </w:pPr>
            <w:r>
              <w:rPr>
                <w:rFonts w:hint="eastAsia" w:ascii="宋体" w:hAnsi="宋体" w:eastAsia="宋体" w:cs="宋体"/>
                <w:kern w:val="0"/>
                <w:sz w:val="20"/>
                <w:szCs w:val="20"/>
              </w:rPr>
              <w:t>等于第三项加第四项之和）</w:t>
            </w:r>
          </w:p>
        </w:tc>
        <w:tc>
          <w:tcPr>
            <w:tcW w:w="4293"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7F60BE">
            <w:pPr>
              <w:widowControl/>
              <w:spacing w:line="320" w:lineRule="exact"/>
              <w:jc w:val="center"/>
            </w:pPr>
            <w:r>
              <w:rPr>
                <w:rFonts w:hint="eastAsia" w:ascii="宋体" w:hAnsi="宋体" w:eastAsia="宋体" w:cs="宋体"/>
                <w:kern w:val="0"/>
                <w:sz w:val="20"/>
                <w:szCs w:val="20"/>
              </w:rPr>
              <w:t>申请人情况</w:t>
            </w:r>
          </w:p>
        </w:tc>
      </w:tr>
      <w:tr w14:paraId="4B84AC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6EB7724">
            <w:pPr>
              <w:jc w:val="center"/>
              <w:rPr>
                <w:rFonts w:ascii="宋体"/>
                <w:sz w:val="24"/>
              </w:rPr>
            </w:pPr>
          </w:p>
        </w:tc>
        <w:tc>
          <w:tcPr>
            <w:tcW w:w="65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19E631C">
            <w:pPr>
              <w:widowControl/>
              <w:jc w:val="center"/>
            </w:pPr>
            <w:r>
              <w:rPr>
                <w:rFonts w:hint="eastAsia" w:ascii="宋体" w:hAnsi="宋体" w:eastAsia="宋体" w:cs="宋体"/>
                <w:kern w:val="0"/>
                <w:sz w:val="20"/>
                <w:szCs w:val="20"/>
              </w:rPr>
              <w:t>自然人</w:t>
            </w:r>
          </w:p>
        </w:tc>
        <w:tc>
          <w:tcPr>
            <w:tcW w:w="300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DFB712">
            <w:pPr>
              <w:widowControl/>
              <w:spacing w:line="320" w:lineRule="exact"/>
              <w:jc w:val="center"/>
            </w:pPr>
            <w:r>
              <w:rPr>
                <w:rFonts w:hint="eastAsia" w:ascii="宋体" w:hAnsi="宋体" w:eastAsia="宋体" w:cs="宋体"/>
                <w:kern w:val="0"/>
                <w:sz w:val="20"/>
                <w:szCs w:val="20"/>
              </w:rPr>
              <w:t>法人或其他组织</w:t>
            </w:r>
          </w:p>
        </w:tc>
        <w:tc>
          <w:tcPr>
            <w:tcW w:w="63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F2A50A">
            <w:pPr>
              <w:widowControl/>
              <w:jc w:val="center"/>
            </w:pPr>
            <w:r>
              <w:rPr>
                <w:rFonts w:hint="eastAsia" w:ascii="宋体" w:hAnsi="宋体" w:eastAsia="宋体" w:cs="宋体"/>
                <w:kern w:val="0"/>
                <w:sz w:val="20"/>
                <w:szCs w:val="20"/>
              </w:rPr>
              <w:t>总计</w:t>
            </w:r>
          </w:p>
        </w:tc>
      </w:tr>
      <w:tr w14:paraId="53D651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408529C">
            <w:pPr>
              <w:jc w:val="center"/>
              <w:rPr>
                <w:rFonts w:ascii="宋体"/>
                <w:sz w:val="24"/>
              </w:rPr>
            </w:pPr>
          </w:p>
        </w:tc>
        <w:tc>
          <w:tcPr>
            <w:tcW w:w="65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7C66055">
            <w:pPr>
              <w:jc w:val="center"/>
              <w:rPr>
                <w:rFonts w:ascii="宋体"/>
                <w:sz w:val="24"/>
              </w:rPr>
            </w:pP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54C7D8C2">
            <w:pPr>
              <w:widowControl/>
              <w:spacing w:line="320" w:lineRule="exact"/>
              <w:ind w:left="-106" w:leftChars="-51" w:right="-107" w:rightChars="-51" w:hanging="1"/>
              <w:jc w:val="center"/>
            </w:pPr>
            <w:r>
              <w:rPr>
                <w:rFonts w:hint="eastAsia" w:ascii="宋体" w:hAnsi="宋体" w:eastAsia="宋体" w:cs="宋体"/>
                <w:kern w:val="0"/>
                <w:sz w:val="20"/>
                <w:szCs w:val="20"/>
              </w:rPr>
              <w:t>商业企业</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5EC8A9F">
            <w:pPr>
              <w:widowControl/>
              <w:spacing w:line="320" w:lineRule="exact"/>
              <w:ind w:left="-107" w:leftChars="-51" w:right="-107" w:rightChars="-51"/>
              <w:jc w:val="center"/>
            </w:pPr>
            <w:r>
              <w:rPr>
                <w:rFonts w:hint="eastAsia" w:ascii="宋体" w:hAnsi="宋体" w:eastAsia="宋体" w:cs="宋体"/>
                <w:kern w:val="0"/>
                <w:sz w:val="20"/>
                <w:szCs w:val="20"/>
              </w:rPr>
              <w:t>科研机构</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DB2C27">
            <w:pPr>
              <w:widowControl/>
              <w:spacing w:line="320" w:lineRule="exact"/>
              <w:ind w:left="-107" w:leftChars="-51" w:right="-107" w:rightChars="-51"/>
              <w:jc w:val="center"/>
            </w:pPr>
            <w:r>
              <w:rPr>
                <w:rFonts w:hint="eastAsia" w:ascii="宋体" w:hAnsi="宋体" w:eastAsia="宋体" w:cs="宋体"/>
                <w:kern w:val="0"/>
                <w:sz w:val="20"/>
                <w:szCs w:val="20"/>
              </w:rPr>
              <w:t>社会公益组织</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DB85D19">
            <w:pPr>
              <w:widowControl/>
              <w:spacing w:line="320" w:lineRule="exact"/>
              <w:ind w:left="-106" w:leftChars="-51" w:right="-107" w:rightChars="-51" w:hanging="1"/>
              <w:jc w:val="center"/>
            </w:pPr>
            <w:r>
              <w:rPr>
                <w:rFonts w:hint="eastAsia" w:ascii="宋体" w:hAnsi="宋体" w:eastAsia="宋体" w:cs="宋体"/>
                <w:kern w:val="0"/>
                <w:sz w:val="20"/>
                <w:szCs w:val="20"/>
              </w:rPr>
              <w:t>法律服务机构</w:t>
            </w:r>
          </w:p>
        </w:tc>
        <w:tc>
          <w:tcPr>
            <w:tcW w:w="54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C0FD21">
            <w:pPr>
              <w:widowControl/>
              <w:spacing w:line="360" w:lineRule="exact"/>
              <w:ind w:left="-63" w:leftChars="-30" w:right="-134" w:rightChars="-64"/>
              <w:jc w:val="center"/>
            </w:pPr>
            <w:r>
              <w:rPr>
                <w:rFonts w:hint="eastAsia" w:ascii="宋体" w:hAnsi="宋体" w:eastAsia="宋体" w:cs="宋体"/>
                <w:kern w:val="0"/>
                <w:sz w:val="20"/>
                <w:szCs w:val="20"/>
              </w:rPr>
              <w:t>其他</w:t>
            </w:r>
          </w:p>
        </w:tc>
        <w:tc>
          <w:tcPr>
            <w:tcW w:w="63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319FE6">
            <w:pPr>
              <w:jc w:val="center"/>
              <w:rPr>
                <w:rFonts w:ascii="宋体"/>
                <w:sz w:val="24"/>
              </w:rPr>
            </w:pPr>
          </w:p>
        </w:tc>
      </w:tr>
      <w:tr w14:paraId="0E1DD4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9850DF">
            <w:pPr>
              <w:widowControl/>
            </w:pPr>
            <w:r>
              <w:rPr>
                <w:rFonts w:hint="eastAsia" w:ascii="宋体" w:hAnsi="宋体" w:eastAsia="宋体" w:cs="宋体"/>
                <w:kern w:val="0"/>
                <w:sz w:val="20"/>
                <w:szCs w:val="20"/>
              </w:rPr>
              <w:t>一、本年新收政府信息公开申请数量</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C50C677">
            <w:pPr>
              <w:widowControl/>
              <w:spacing w:after="180"/>
              <w:jc w:val="center"/>
              <w:rPr>
                <w:rFonts w:hint="eastAsia" w:eastAsiaTheme="minorEastAsia"/>
                <w:lang w:val="en-US" w:eastAsia="zh-CN"/>
              </w:rPr>
            </w:pPr>
            <w:r>
              <w:rPr>
                <w:rFonts w:hint="eastAsia"/>
                <w:lang w:val="en-US" w:eastAsia="zh-CN"/>
              </w:rPr>
              <w:t>1</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5DC6E442">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21F3480">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7A69834">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67C974E">
            <w:pPr>
              <w:widowControl/>
              <w:spacing w:after="180"/>
              <w:jc w:val="center"/>
              <w:rPr>
                <w:rFonts w:hint="eastAsia" w:eastAsiaTheme="minorEastAsia"/>
                <w:lang w:val="en-US" w:eastAsia="zh-CN"/>
              </w:rP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7A8361E4">
            <w:pPr>
              <w:widowControl/>
              <w:spacing w:after="180"/>
              <w:jc w:val="center"/>
              <w:rPr>
                <w:rFonts w:hint="eastAsia" w:eastAsiaTheme="minorEastAsia"/>
                <w:lang w:val="en-US" w:eastAsia="zh-CN"/>
              </w:rP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21B6890">
            <w:pPr>
              <w:widowControl/>
              <w:spacing w:after="180"/>
              <w:jc w:val="center"/>
              <w:rPr>
                <w:rFonts w:hint="eastAsia" w:eastAsiaTheme="minorEastAsia"/>
                <w:lang w:val="en-US" w:eastAsia="zh-CN"/>
              </w:rPr>
            </w:pPr>
            <w:r>
              <w:rPr>
                <w:rFonts w:hint="eastAsia"/>
                <w:lang w:val="en-US" w:eastAsia="zh-CN"/>
              </w:rPr>
              <w:t>1</w:t>
            </w:r>
          </w:p>
        </w:tc>
      </w:tr>
      <w:tr w14:paraId="3376FB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5B2B9F3">
            <w:pPr>
              <w:widowControl/>
            </w:pPr>
            <w:r>
              <w:rPr>
                <w:rFonts w:hint="eastAsia" w:ascii="宋体" w:hAnsi="宋体" w:eastAsia="宋体" w:cs="宋体"/>
                <w:kern w:val="0"/>
                <w:sz w:val="20"/>
                <w:szCs w:val="20"/>
              </w:rPr>
              <w:t>二、上年结转政府信息公开申请数量</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518D75FC">
            <w:pPr>
              <w:widowControl/>
              <w:spacing w:after="180"/>
              <w:jc w:val="center"/>
              <w:rPr>
                <w:rFonts w:hint="eastAsia" w:eastAsiaTheme="minorEastAsia"/>
                <w:lang w:val="en-US" w:eastAsia="zh-CN"/>
              </w:rPr>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5F180172">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EC1BEE0">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B598A4B">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01DE012">
            <w:pPr>
              <w:widowControl/>
              <w:spacing w:after="180"/>
              <w:jc w:val="center"/>
              <w:rPr>
                <w:rFonts w:hint="eastAsia" w:eastAsiaTheme="minorEastAsia"/>
                <w:lang w:val="en-US" w:eastAsia="zh-CN"/>
              </w:rP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0FC2721">
            <w:pPr>
              <w:widowControl/>
              <w:spacing w:after="180"/>
              <w:jc w:val="center"/>
              <w:rPr>
                <w:rFonts w:hint="eastAsia" w:eastAsiaTheme="minorEastAsia"/>
                <w:lang w:val="en-US" w:eastAsia="zh-CN"/>
              </w:rP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8C568D1">
            <w:pPr>
              <w:widowControl/>
              <w:spacing w:after="180"/>
              <w:jc w:val="center"/>
              <w:rPr>
                <w:rFonts w:hint="eastAsia" w:eastAsiaTheme="minorEastAsia"/>
                <w:lang w:val="en-US" w:eastAsia="zh-CN"/>
              </w:rPr>
            </w:pPr>
            <w:r>
              <w:rPr>
                <w:rFonts w:hint="eastAsia"/>
                <w:lang w:val="en-US" w:eastAsia="zh-CN"/>
              </w:rPr>
              <w:t>0</w:t>
            </w:r>
          </w:p>
        </w:tc>
      </w:tr>
      <w:tr w14:paraId="33B3F8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A51A0E">
            <w:pPr>
              <w:widowControl/>
              <w:spacing w:after="180"/>
            </w:pPr>
            <w:r>
              <w:rPr>
                <w:rFonts w:hint="eastAsia" w:ascii="宋体" w:hAnsi="宋体" w:eastAsia="宋体" w:cs="宋体"/>
                <w:kern w:val="0"/>
                <w:sz w:val="20"/>
                <w:szCs w:val="20"/>
              </w:rPr>
              <w:t>三、本年度办理结果</w:t>
            </w: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3FE4964A">
            <w:pPr>
              <w:widowControl/>
            </w:pPr>
            <w:r>
              <w:rPr>
                <w:rFonts w:ascii="楷体" w:hAnsi="楷体" w:eastAsia="楷体" w:cs="楷体"/>
                <w:kern w:val="0"/>
                <w:sz w:val="20"/>
                <w:szCs w:val="20"/>
              </w:rPr>
              <w:t>（一）予以公开</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71090A0">
            <w:pPr>
              <w:widowControl/>
              <w:spacing w:after="180"/>
              <w:jc w:val="center"/>
              <w:rPr>
                <w:rFonts w:hint="eastAsia"/>
                <w:lang w:val="en-US" w:eastAsia="zh-CN"/>
              </w:rPr>
            </w:pPr>
            <w:r>
              <w:rPr>
                <w:rFonts w:hint="eastAsia"/>
                <w:lang w:val="en-US" w:eastAsia="zh-CN"/>
              </w:rPr>
              <w:t>1</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6CC4ADD8">
            <w:pPr>
              <w:widowControl/>
              <w:spacing w:after="18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4C003C4">
            <w:pPr>
              <w:widowControl/>
              <w:spacing w:after="18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0B6F617">
            <w:pPr>
              <w:widowControl/>
              <w:spacing w:after="18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A64CBF7">
            <w:pPr>
              <w:widowControl/>
              <w:spacing w:after="18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8B142A3">
            <w:pPr>
              <w:widowControl/>
              <w:spacing w:after="18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621B48E">
            <w:pPr>
              <w:widowControl/>
              <w:spacing w:after="180"/>
              <w:jc w:val="center"/>
              <w:rPr>
                <w:rFonts w:hint="eastAsia" w:eastAsiaTheme="minorEastAsia"/>
                <w:lang w:val="en-US" w:eastAsia="zh-CN"/>
              </w:rPr>
            </w:pPr>
            <w:r>
              <w:rPr>
                <w:rFonts w:hint="eastAsia"/>
                <w:lang w:val="en-US" w:eastAsia="zh-CN"/>
              </w:rPr>
              <w:t>1</w:t>
            </w:r>
          </w:p>
        </w:tc>
      </w:tr>
      <w:tr w14:paraId="7F57A5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4AFB24">
            <w:pPr>
              <w:rPr>
                <w:rFonts w:ascii="宋体"/>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F84451B">
            <w:pPr>
              <w:widowControl/>
            </w:pPr>
            <w:r>
              <w:rPr>
                <w:rFonts w:hint="eastAsia" w:ascii="楷体" w:hAnsi="楷体" w:eastAsia="楷体" w:cs="楷体"/>
                <w:kern w:val="0"/>
                <w:sz w:val="20"/>
                <w:szCs w:val="20"/>
              </w:rPr>
              <w:t>（二）部分公开（区分处理的，只计这一情形，不计其他情形）</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7A331A4">
            <w:pPr>
              <w:widowControl/>
              <w:spacing w:after="180"/>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1CC814D9">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3C39D1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E68BF5D">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C1ADE5C">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4B805E5">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7DA73C6">
            <w:pPr>
              <w:widowControl/>
              <w:spacing w:after="180"/>
              <w:jc w:val="center"/>
            </w:pPr>
            <w:r>
              <w:rPr>
                <w:rFonts w:hint="eastAsia"/>
                <w:lang w:val="en-US" w:eastAsia="zh-CN"/>
              </w:rPr>
              <w:t>0</w:t>
            </w:r>
          </w:p>
        </w:tc>
      </w:tr>
      <w:tr w14:paraId="5F4C02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3F0105D">
            <w:pPr>
              <w:rPr>
                <w:rFonts w:ascii="宋体"/>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7495628">
            <w:pPr>
              <w:widowControl/>
              <w:spacing w:line="200" w:lineRule="exact"/>
              <w:ind w:left="-107" w:leftChars="-51"/>
            </w:pPr>
            <w:r>
              <w:rPr>
                <w:rFonts w:hint="eastAsia" w:ascii="楷体" w:hAnsi="楷体" w:eastAsia="楷体" w:cs="楷体"/>
                <w:kern w:val="0"/>
                <w:sz w:val="20"/>
                <w:szCs w:val="20"/>
              </w:rPr>
              <w:t>（三）不予公开</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5B5B4460">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37A2B73">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056A79A4">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4AE29FD">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274E275">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357B4DD">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27736B3C">
            <w:pPr>
              <w:widowControl/>
              <w:spacing w:after="180"/>
              <w:jc w:val="center"/>
            </w:pPr>
            <w:r>
              <w:rPr>
                <w:rFonts w:hint="eastAsia"/>
                <w:lang w:val="en-US" w:eastAsia="zh-C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6D82F23">
            <w:pPr>
              <w:widowControl/>
              <w:spacing w:after="180"/>
              <w:jc w:val="center"/>
            </w:pPr>
            <w:r>
              <w:rPr>
                <w:rFonts w:hint="eastAsia"/>
                <w:lang w:val="en-US" w:eastAsia="zh-CN"/>
              </w:rPr>
              <w:t>0</w:t>
            </w:r>
          </w:p>
        </w:tc>
      </w:tr>
      <w:tr w14:paraId="560A3B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46B599">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EFA8D7B">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2D0BCC4F">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7D672A79">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3F0D0A3E">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6A8EEC4">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FFEA25F">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393572E">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2969232F">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B1D9C39">
            <w:pPr>
              <w:widowControl/>
              <w:spacing w:after="180"/>
              <w:jc w:val="center"/>
            </w:pPr>
            <w:r>
              <w:rPr>
                <w:rFonts w:hint="eastAsia"/>
                <w:lang w:val="en-US" w:eastAsia="zh-CN"/>
              </w:rPr>
              <w:t>0</w:t>
            </w:r>
          </w:p>
        </w:tc>
      </w:tr>
      <w:tr w14:paraId="196A11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94DC610">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8475E93">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5B5101C0">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5C25917D">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2A8C328A">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B926E0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0BE7339">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8017039">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346F1187">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59F039F">
            <w:pPr>
              <w:widowControl/>
              <w:spacing w:after="180"/>
              <w:jc w:val="center"/>
            </w:pPr>
            <w:r>
              <w:rPr>
                <w:rFonts w:hint="eastAsia"/>
                <w:lang w:val="en-US" w:eastAsia="zh-CN"/>
              </w:rPr>
              <w:t>0</w:t>
            </w:r>
          </w:p>
        </w:tc>
      </w:tr>
      <w:tr w14:paraId="478075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44CC52">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73AFC7E">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A71AF5D">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05969B5">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1CC615DF">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006AE52">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75CD20C">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93688A3">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5A6BAE2">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7E1FFCBE">
            <w:pPr>
              <w:widowControl/>
              <w:spacing w:after="180"/>
              <w:jc w:val="center"/>
            </w:pPr>
            <w:r>
              <w:rPr>
                <w:rFonts w:hint="eastAsia"/>
                <w:lang w:val="en-US" w:eastAsia="zh-CN"/>
              </w:rPr>
              <w:t>0</w:t>
            </w:r>
          </w:p>
        </w:tc>
      </w:tr>
      <w:tr w14:paraId="5E2D83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36F7850">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D9397DC">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5F12D3CA">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8089F41">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22AF2768">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79A3D1C">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5ECFC80">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866A5F2">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7C972A70">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33E453E8">
            <w:pPr>
              <w:widowControl/>
              <w:spacing w:after="180"/>
              <w:jc w:val="center"/>
            </w:pPr>
            <w:r>
              <w:rPr>
                <w:rFonts w:hint="eastAsia"/>
                <w:lang w:val="en-US" w:eastAsia="zh-CN"/>
              </w:rPr>
              <w:t>0</w:t>
            </w:r>
          </w:p>
        </w:tc>
      </w:tr>
      <w:tr w14:paraId="664F25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E6CFF7">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CAD811E">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B38F5F7">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9A4FF91">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26D40806">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EE0D83A">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81D062C">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B6EF1CD">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3CF4FCDC">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44617E6">
            <w:pPr>
              <w:widowControl/>
              <w:spacing w:after="180"/>
              <w:jc w:val="center"/>
            </w:pPr>
            <w:r>
              <w:rPr>
                <w:rFonts w:hint="eastAsia"/>
                <w:lang w:val="en-US" w:eastAsia="zh-CN"/>
              </w:rPr>
              <w:t>0</w:t>
            </w:r>
          </w:p>
        </w:tc>
      </w:tr>
      <w:tr w14:paraId="6E2A65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AF19977">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30A857F">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6F99EBAE">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DEB3CA6">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6490598D">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721E541">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C450FE6">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3F4B5F7">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24D2F3C6">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6539F9A9">
            <w:pPr>
              <w:widowControl/>
              <w:spacing w:after="180"/>
              <w:jc w:val="center"/>
            </w:pPr>
            <w:r>
              <w:rPr>
                <w:rFonts w:hint="eastAsia"/>
                <w:lang w:val="en-US" w:eastAsia="zh-CN"/>
              </w:rPr>
              <w:t>0</w:t>
            </w:r>
          </w:p>
        </w:tc>
      </w:tr>
      <w:tr w14:paraId="317D1E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71DF20">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0658559">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0A61828D">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70493F6">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67EFF93A">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CE3DAB6">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DAE4E97">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BEB3667">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644AC96">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F2DAD6B">
            <w:pPr>
              <w:widowControl/>
              <w:spacing w:after="180"/>
              <w:jc w:val="center"/>
            </w:pPr>
            <w:r>
              <w:rPr>
                <w:rFonts w:hint="eastAsia"/>
                <w:lang w:val="en-US" w:eastAsia="zh-CN"/>
              </w:rPr>
              <w:t>0</w:t>
            </w:r>
          </w:p>
        </w:tc>
      </w:tr>
      <w:tr w14:paraId="0FA1C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02BA1A">
            <w:pPr>
              <w:rPr>
                <w:rFonts w:ascii="宋体"/>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293F892">
            <w:pPr>
              <w:widowControl/>
              <w:spacing w:line="200" w:lineRule="exact"/>
              <w:ind w:left="-107" w:leftChars="-51"/>
            </w:pPr>
            <w:r>
              <w:rPr>
                <w:rFonts w:hint="eastAsia" w:ascii="楷体" w:hAnsi="楷体" w:eastAsia="楷体" w:cs="楷体"/>
                <w:kern w:val="0"/>
                <w:sz w:val="20"/>
                <w:szCs w:val="20"/>
              </w:rPr>
              <w:t>（四）无法提供</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2C73014E">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515429E3">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062E10EF">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985BB6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B2EF09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19A018B">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74DFB743">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657D80E4">
            <w:pPr>
              <w:widowControl/>
              <w:spacing w:after="180"/>
              <w:jc w:val="center"/>
            </w:pPr>
            <w:r>
              <w:rPr>
                <w:rFonts w:hint="eastAsia"/>
                <w:lang w:val="en-US" w:eastAsia="zh-CN"/>
              </w:rPr>
              <w:t>0</w:t>
            </w:r>
          </w:p>
        </w:tc>
      </w:tr>
      <w:tr w14:paraId="6BC381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F99063">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B5BBB3C">
            <w:pPr>
              <w:spacing w:line="200" w:lineRule="exact"/>
              <w:ind w:left="-107" w:leftChars="-51"/>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4962881B">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5A93322">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3888B044">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2964334">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81C8C87">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F0AF676">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4031E4CB">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85E087D">
            <w:pPr>
              <w:widowControl/>
              <w:spacing w:after="180"/>
              <w:jc w:val="center"/>
            </w:pPr>
            <w:r>
              <w:rPr>
                <w:rFonts w:hint="eastAsia"/>
                <w:lang w:val="en-US" w:eastAsia="zh-CN"/>
              </w:rPr>
              <w:t>0</w:t>
            </w:r>
          </w:p>
        </w:tc>
      </w:tr>
      <w:tr w14:paraId="0BC6A6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D362E5D">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A90466">
            <w:pPr>
              <w:spacing w:line="200" w:lineRule="exact"/>
              <w:ind w:left="-107" w:leftChars="-51"/>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621006C">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9FB128B">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7F456B37">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29ABBFF">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B2A6DC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76B0C3C">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0E6C6DB1">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5E6B09F">
            <w:pPr>
              <w:widowControl/>
              <w:spacing w:after="180"/>
              <w:jc w:val="center"/>
            </w:pPr>
            <w:r>
              <w:rPr>
                <w:rFonts w:hint="eastAsia"/>
                <w:lang w:val="en-US" w:eastAsia="zh-CN"/>
              </w:rPr>
              <w:t>0</w:t>
            </w:r>
          </w:p>
        </w:tc>
      </w:tr>
      <w:tr w14:paraId="099DFE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309C7BC">
            <w:pPr>
              <w:rPr>
                <w:rFonts w:ascii="宋体"/>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36B6F9C5">
            <w:pPr>
              <w:widowControl/>
              <w:spacing w:line="200" w:lineRule="exact"/>
              <w:ind w:left="-107" w:leftChars="-51"/>
            </w:pPr>
            <w:r>
              <w:rPr>
                <w:rFonts w:hint="eastAsia" w:ascii="楷体" w:hAnsi="楷体" w:eastAsia="楷体" w:cs="楷体"/>
                <w:kern w:val="0"/>
                <w:sz w:val="20"/>
                <w:szCs w:val="20"/>
              </w:rPr>
              <w:t>（五）不予处理</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4F0F79F4">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B68A8E3">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58946643">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CF803CA">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8CFF351">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8F3B63C">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5BEFD358">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245DC55">
            <w:pPr>
              <w:widowControl/>
              <w:spacing w:after="180"/>
              <w:jc w:val="center"/>
            </w:pPr>
            <w:r>
              <w:rPr>
                <w:rFonts w:hint="eastAsia"/>
                <w:lang w:val="en-US" w:eastAsia="zh-CN"/>
              </w:rPr>
              <w:t>0</w:t>
            </w:r>
          </w:p>
        </w:tc>
      </w:tr>
      <w:tr w14:paraId="3BCE93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2D47D5">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35E56E5">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0F4758E1">
            <w:pPr>
              <w:widowControl/>
              <w:spacing w:line="200" w:lineRule="exact"/>
              <w:rPr>
                <w:rFonts w:ascii="楷体" w:hAnsi="楷体" w:eastAsia="楷体" w:cs="楷体"/>
                <w:kern w:val="0"/>
                <w:sz w:val="20"/>
                <w:szCs w:val="20"/>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82DF9C4">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3BF31F0A">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3C8F980">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48D8D4A">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D40FABF">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F5B1CF6">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2B8E98C">
            <w:pPr>
              <w:widowControl/>
              <w:spacing w:after="180"/>
              <w:jc w:val="center"/>
            </w:pPr>
            <w:r>
              <w:rPr>
                <w:rFonts w:hint="eastAsia"/>
                <w:lang w:val="en-US" w:eastAsia="zh-CN"/>
              </w:rPr>
              <w:t>0</w:t>
            </w:r>
          </w:p>
        </w:tc>
      </w:tr>
      <w:tr w14:paraId="234008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A9F1F08">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44E111D">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1BE2E5E5">
            <w:pPr>
              <w:widowControl/>
              <w:spacing w:line="200" w:lineRule="exact"/>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F24405A">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681F76E3">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F925FC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09F969D">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53AD39E">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3382A18">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24CA47D0">
            <w:pPr>
              <w:widowControl/>
              <w:spacing w:after="180"/>
              <w:jc w:val="center"/>
            </w:pPr>
            <w:r>
              <w:rPr>
                <w:rFonts w:hint="eastAsia"/>
                <w:lang w:val="en-US" w:eastAsia="zh-CN"/>
              </w:rPr>
              <w:t>0</w:t>
            </w:r>
          </w:p>
        </w:tc>
      </w:tr>
      <w:tr w14:paraId="5A7B5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29C0B3F">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6649527">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B3A3CBD">
            <w:pPr>
              <w:widowControl/>
              <w:spacing w:line="200" w:lineRule="exact"/>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CBE0FF3">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0C9C5803">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4553DBED">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B027432">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0227B99">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C1CB5FD">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553DF6FD">
            <w:pPr>
              <w:widowControl/>
              <w:spacing w:after="180"/>
              <w:jc w:val="center"/>
            </w:pPr>
            <w:r>
              <w:rPr>
                <w:rFonts w:hint="eastAsia"/>
                <w:lang w:val="en-US" w:eastAsia="zh-CN"/>
              </w:rPr>
              <w:t>0</w:t>
            </w:r>
          </w:p>
        </w:tc>
      </w:tr>
      <w:tr w14:paraId="0D74FE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0D0C35">
            <w:pPr>
              <w:rPr>
                <w:rFonts w:ascii="宋体"/>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86FF050">
            <w:pPr>
              <w:spacing w:line="200" w:lineRule="exact"/>
              <w:rPr>
                <w:rFonts w:ascii="宋体"/>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14:paraId="74170A1B">
            <w:pPr>
              <w:widowControl/>
              <w:spacing w:line="300" w:lineRule="exact"/>
              <w:ind w:firstLine="210" w:firstLineChars="100"/>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10D65A9">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3D714D17">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DC4C1CE">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142C2E34">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DA83331">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4865935">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15F161ED">
            <w:pPr>
              <w:widowControl/>
              <w:spacing w:after="180"/>
              <w:jc w:val="center"/>
            </w:pPr>
            <w:r>
              <w:rPr>
                <w:rFonts w:hint="eastAsia"/>
                <w:lang w:val="en-US" w:eastAsia="zh-CN"/>
              </w:rPr>
              <w:t>0</w:t>
            </w:r>
          </w:p>
        </w:tc>
      </w:tr>
      <w:tr w14:paraId="168381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BBFD446">
            <w:pPr>
              <w:rPr>
                <w:rFonts w:ascii="宋体"/>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C70AA50">
            <w:pPr>
              <w:widowControl/>
              <w:spacing w:line="200" w:lineRule="exact"/>
            </w:pPr>
            <w:r>
              <w:rPr>
                <w:rFonts w:hint="eastAsia" w:ascii="楷体" w:hAnsi="楷体" w:eastAsia="楷体" w:cs="楷体"/>
                <w:kern w:val="0"/>
                <w:sz w:val="20"/>
                <w:szCs w:val="20"/>
              </w:rPr>
              <w:t>（六）其他处理</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377F9E0">
            <w:pPr>
              <w:widowControl/>
              <w:spacing w:after="180" w:line="200" w:lineRule="exact"/>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349C4BA2">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2048446">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BED0511">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6AE41439">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12218F60">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6E9CC75">
            <w:pPr>
              <w:widowControl/>
              <w:spacing w:after="180"/>
              <w:jc w:val="center"/>
            </w:pPr>
            <w:r>
              <w:rPr>
                <w:rFonts w:hint="eastAsia"/>
                <w:lang w:val="en-US" w:eastAsia="zh-CN"/>
              </w:rPr>
              <w:t>0</w:t>
            </w:r>
          </w:p>
        </w:tc>
      </w:tr>
      <w:tr w14:paraId="16C3AE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5445395">
            <w:pPr>
              <w:rPr>
                <w:rFonts w:ascii="宋体"/>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7DBBBDBF">
            <w:pPr>
              <w:widowControl/>
              <w:spacing w:line="200" w:lineRule="exact"/>
            </w:pPr>
            <w:r>
              <w:rPr>
                <w:rFonts w:hint="eastAsia" w:ascii="楷体" w:hAnsi="楷体" w:eastAsia="楷体" w:cs="楷体"/>
                <w:kern w:val="0"/>
                <w:sz w:val="20"/>
                <w:szCs w:val="20"/>
              </w:rPr>
              <w:t>（七）总计</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7DB9A08C">
            <w:pPr>
              <w:widowControl/>
              <w:spacing w:after="180" w:line="200" w:lineRule="exact"/>
            </w:pPr>
            <w:r>
              <w:rPr>
                <w:rFonts w:hint="default"/>
                <w:lang w:val="en-US" w:eastAsia="zh-CN"/>
              </w:rPr>
              <w:t>1</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75CDE7D4">
            <w:pPr>
              <w:widowControl/>
              <w:spacing w:after="180" w:line="200" w:lineRule="exact"/>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628E239">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744B127D">
            <w:pPr>
              <w:widowControl/>
              <w:spacing w:after="180"/>
              <w:jc w:val="cente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2BC66277">
            <w:pPr>
              <w:widowControl/>
              <w:spacing w:after="180"/>
              <w:jc w:val="cente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49B5E7BA">
            <w:pPr>
              <w:widowControl/>
              <w:spacing w:after="180"/>
              <w:jc w:val="cente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4D83951B">
            <w:pPr>
              <w:widowControl/>
              <w:spacing w:after="180"/>
              <w:jc w:val="center"/>
            </w:pPr>
            <w:r>
              <w:rPr>
                <w:rFonts w:hint="default"/>
                <w:lang w:val="en-US" w:eastAsia="zh-CN"/>
              </w:rPr>
              <w:t>1</w:t>
            </w:r>
          </w:p>
        </w:tc>
      </w:tr>
      <w:tr w14:paraId="62D9E8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21E8061">
            <w:pPr>
              <w:widowControl/>
            </w:pPr>
            <w:r>
              <w:rPr>
                <w:rFonts w:hint="eastAsia" w:ascii="宋体" w:hAnsi="宋体" w:eastAsia="宋体" w:cs="宋体"/>
                <w:kern w:val="0"/>
                <w:sz w:val="20"/>
                <w:szCs w:val="20"/>
              </w:rPr>
              <w:t>四、结转下年度继续办理</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DC3BE69">
            <w:pPr>
              <w:widowControl/>
              <w:spacing w:after="180"/>
              <w:rPr>
                <w:rFonts w:hint="eastAsia" w:eastAsiaTheme="minorEastAsia"/>
                <w:lang w:val="en-US" w:eastAsia="zh-CN"/>
              </w:rPr>
            </w:pPr>
            <w:r>
              <w:rPr>
                <w:rFonts w:hint="eastAsia"/>
                <w:lang w:val="en-US" w:eastAsia="zh-CN"/>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14:paraId="1DEE50FA">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3A813ACB">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546FD0B6">
            <w:pPr>
              <w:widowControl/>
              <w:spacing w:after="180"/>
              <w:jc w:val="center"/>
              <w:rPr>
                <w:rFonts w:hint="eastAsia" w:eastAsiaTheme="minorEastAsia"/>
                <w:lang w:val="en-US" w:eastAsia="zh-CN"/>
              </w:rPr>
            </w:pPr>
            <w:r>
              <w:rPr>
                <w:rFonts w:hint="eastAsia"/>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14:paraId="0DFD2AE1">
            <w:pPr>
              <w:widowControl/>
              <w:spacing w:after="180"/>
              <w:jc w:val="center"/>
              <w:rPr>
                <w:rFonts w:hint="eastAsia" w:eastAsiaTheme="minorEastAsia"/>
                <w:lang w:val="en-US" w:eastAsia="zh-CN"/>
              </w:rPr>
            </w:pPr>
            <w:r>
              <w:rPr>
                <w:rFonts w:hint="eastAsia"/>
                <w:lang w:val="en-US" w:eastAsia="zh-C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14:paraId="6DB70C33">
            <w:pPr>
              <w:widowControl/>
              <w:spacing w:after="180"/>
              <w:jc w:val="center"/>
              <w:rPr>
                <w:rFonts w:hint="eastAsia" w:eastAsiaTheme="minorEastAsia"/>
                <w:lang w:val="en-US" w:eastAsia="zh-CN"/>
              </w:rPr>
            </w:pPr>
            <w:r>
              <w:rPr>
                <w:rFonts w:hint="eastAsia"/>
                <w:lang w:val="en-US" w:eastAsia="zh-C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14:paraId="3D935084">
            <w:pPr>
              <w:jc w:val="center"/>
              <w:rPr>
                <w:rFonts w:hint="eastAsia" w:ascii="宋体" w:eastAsiaTheme="minorEastAsia"/>
                <w:sz w:val="24"/>
                <w:lang w:val="en-US" w:eastAsia="zh-CN"/>
              </w:rPr>
            </w:pPr>
            <w:r>
              <w:rPr>
                <w:rFonts w:hint="eastAsia"/>
                <w:lang w:val="en-US" w:eastAsia="zh-CN"/>
              </w:rPr>
              <w:t>0</w:t>
            </w:r>
          </w:p>
        </w:tc>
      </w:tr>
    </w:tbl>
    <w:p w14:paraId="5E6F7D30">
      <w:pPr>
        <w:pStyle w:val="3"/>
        <w:widowControl/>
        <w:shd w:val="clear" w:color="auto" w:fill="FFFFFF"/>
        <w:spacing w:beforeAutospacing="0" w:afterAutospacing="0"/>
        <w:ind w:firstLine="420"/>
        <w:jc w:val="both"/>
        <w:rPr>
          <w:rFonts w:ascii="宋体" w:hAnsi="宋体" w:eastAsia="宋体" w:cs="宋体"/>
          <w:color w:val="333333"/>
        </w:rPr>
      </w:pPr>
    </w:p>
    <w:p w14:paraId="4BE90EC0">
      <w:pPr>
        <w:pStyle w:val="3"/>
        <w:widowControl/>
        <w:shd w:val="clear" w:color="auto" w:fill="FFFFFF"/>
        <w:spacing w:beforeAutospacing="0" w:afterAutospacing="0"/>
        <w:ind w:firstLine="420"/>
        <w:jc w:val="both"/>
        <w:rPr>
          <w:rFonts w:ascii="黑体" w:hAnsi="黑体" w:eastAsia="黑体" w:cs="宋体"/>
          <w:color w:val="333333"/>
          <w:sz w:val="32"/>
          <w:szCs w:val="32"/>
        </w:rPr>
      </w:pPr>
      <w:r>
        <w:rPr>
          <w:rFonts w:hint="eastAsia" w:ascii="黑体" w:hAnsi="黑体" w:eastAsia="黑体" w:cs="宋体"/>
          <w:color w:val="333333"/>
          <w:sz w:val="32"/>
          <w:szCs w:val="32"/>
          <w:shd w:val="clear" w:color="auto" w:fill="FFFFFF"/>
        </w:rPr>
        <w:t>四、政府信息公开行政复议、行政诉讼情况</w:t>
      </w:r>
    </w:p>
    <w:p w14:paraId="3C678068">
      <w:pPr>
        <w:pStyle w:val="3"/>
        <w:widowControl/>
        <w:shd w:val="clear" w:color="auto" w:fill="FFFFFF"/>
        <w:spacing w:beforeAutospacing="0" w:afterAutospacing="0"/>
        <w:ind w:firstLine="420"/>
        <w:jc w:val="both"/>
        <w:rPr>
          <w:rFonts w:ascii="宋体" w:hAnsi="宋体" w:eastAsia="宋体" w:cs="宋体"/>
          <w:color w:val="333333"/>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E7961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A868266">
            <w:pPr>
              <w:widowControl/>
              <w:jc w:val="cente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2F214C7">
            <w:pPr>
              <w:widowControl/>
              <w:jc w:val="center"/>
            </w:pPr>
            <w:r>
              <w:rPr>
                <w:rFonts w:hint="eastAsia" w:ascii="宋体" w:hAnsi="宋体" w:eastAsia="宋体" w:cs="宋体"/>
                <w:kern w:val="0"/>
                <w:sz w:val="20"/>
                <w:szCs w:val="20"/>
              </w:rPr>
              <w:t>行政诉讼</w:t>
            </w:r>
          </w:p>
        </w:tc>
      </w:tr>
      <w:tr w14:paraId="5281D2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6EDE74C">
            <w:pPr>
              <w:widowControl/>
              <w:ind w:left="-149" w:leftChars="-71" w:right="-170" w:rightChars="-81"/>
              <w:jc w:val="center"/>
              <w:rPr>
                <w:rFonts w:hint="eastAsia" w:ascii="宋体" w:hAnsi="宋体" w:eastAsia="宋体" w:cs="宋体"/>
                <w:kern w:val="0"/>
                <w:sz w:val="20"/>
                <w:szCs w:val="20"/>
              </w:rPr>
            </w:pPr>
            <w:r>
              <w:rPr>
                <w:rFonts w:hint="eastAsia" w:ascii="宋体" w:hAnsi="宋体" w:eastAsia="宋体" w:cs="宋体"/>
                <w:kern w:val="0"/>
                <w:sz w:val="20"/>
                <w:szCs w:val="20"/>
              </w:rPr>
              <w:t>结果</w:t>
            </w:r>
          </w:p>
          <w:p w14:paraId="44A53C74">
            <w:pPr>
              <w:widowControl/>
              <w:ind w:left="-149" w:leftChars="-71" w:right="-170" w:rightChars="-81"/>
              <w:jc w:val="center"/>
            </w:pPr>
            <w:r>
              <w:rPr>
                <w:rFonts w:hint="eastAsia" w:ascii="宋体" w:hAnsi="宋体" w:eastAsia="宋体" w:cs="宋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432590B">
            <w:pPr>
              <w:widowControl/>
              <w:ind w:left="-43" w:leftChars="-21" w:right="-132" w:rightChars="-63" w:hanging="1"/>
              <w:jc w:val="cente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EFA4362">
            <w:pPr>
              <w:widowControl/>
              <w:ind w:left="-82" w:leftChars="-39" w:right="-97" w:rightChars="-46"/>
              <w:jc w:val="cente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AC6AD4">
            <w:pPr>
              <w:widowControl/>
              <w:ind w:left="-118" w:leftChars="-56" w:right="-118" w:rightChars="-56"/>
              <w:jc w:val="center"/>
              <w:rPr>
                <w:rFonts w:hint="eastAsia" w:ascii="宋体" w:hAnsi="宋体" w:eastAsia="宋体" w:cs="宋体"/>
                <w:kern w:val="0"/>
                <w:sz w:val="20"/>
                <w:szCs w:val="20"/>
              </w:rPr>
            </w:pPr>
            <w:r>
              <w:rPr>
                <w:rFonts w:hint="eastAsia" w:ascii="宋体" w:hAnsi="宋体" w:eastAsia="宋体" w:cs="宋体"/>
                <w:kern w:val="0"/>
                <w:sz w:val="20"/>
                <w:szCs w:val="20"/>
              </w:rPr>
              <w:t>尚未</w:t>
            </w:r>
          </w:p>
          <w:p w14:paraId="2A18E60C">
            <w:pPr>
              <w:widowControl/>
              <w:ind w:left="-118" w:leftChars="-56" w:right="-118" w:rightChars="-56"/>
              <w:jc w:val="center"/>
            </w:pPr>
            <w:r>
              <w:rPr>
                <w:rFonts w:hint="eastAsia" w:ascii="宋体" w:hAnsi="宋体" w:eastAsia="宋体" w:cs="宋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C724B66">
            <w:pPr>
              <w:widowControl/>
              <w:spacing w:line="3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总</w:t>
            </w:r>
          </w:p>
          <w:p w14:paraId="73741221">
            <w:pPr>
              <w:widowControl/>
              <w:spacing w:line="320" w:lineRule="exact"/>
              <w:jc w:val="center"/>
            </w:pPr>
            <w:r>
              <w:rPr>
                <w:rFonts w:hint="eastAsia" w:ascii="宋体" w:hAnsi="宋体" w:eastAsia="宋体" w:cs="宋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72F6EF">
            <w:pPr>
              <w:widowControl/>
              <w:jc w:val="center"/>
            </w:pPr>
            <w:r>
              <w:rPr>
                <w:rFonts w:hint="eastAsia" w:ascii="宋体" w:hAnsi="宋体" w:eastAsia="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AA5963E">
            <w:pPr>
              <w:widowControl/>
              <w:jc w:val="center"/>
            </w:pPr>
            <w:r>
              <w:rPr>
                <w:rFonts w:hint="eastAsia" w:ascii="宋体" w:hAnsi="宋体" w:eastAsia="宋体" w:cs="宋体"/>
                <w:kern w:val="0"/>
                <w:sz w:val="20"/>
                <w:szCs w:val="20"/>
              </w:rPr>
              <w:t>复议后起诉</w:t>
            </w:r>
          </w:p>
        </w:tc>
      </w:tr>
      <w:tr w14:paraId="4394A7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F844C40">
            <w:pPr>
              <w:rPr>
                <w:rFonts w:ascii="宋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82507BF">
            <w:pPr>
              <w:rPr>
                <w:rFonts w:ascii="宋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AFEB2E">
            <w:pPr>
              <w:rPr>
                <w:rFonts w:ascii="宋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073430B">
            <w:pPr>
              <w:rPr>
                <w:rFonts w:ascii="宋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276E34">
            <w:pPr>
              <w:rPr>
                <w:rFonts w:ascii="宋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6F6BC3E">
            <w:pPr>
              <w:widowControl/>
              <w:ind w:left="-105" w:leftChars="-50" w:right="-126" w:rightChars="-60"/>
              <w:jc w:val="center"/>
            </w:pPr>
            <w:r>
              <w:rPr>
                <w:rFonts w:hint="eastAsia" w:ascii="宋体" w:hAnsi="宋体" w:eastAsia="宋体" w:cs="宋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F5515D5">
            <w:pPr>
              <w:widowControl/>
              <w:ind w:left="-86" w:leftChars="-41" w:right="-88" w:rightChars="-42"/>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180337">
            <w:pPr>
              <w:widowControl/>
              <w:ind w:left="-126" w:leftChars="-60" w:right="-136" w:rightChars="-65"/>
              <w:jc w:val="center"/>
              <w:rPr>
                <w:rFonts w:hint="eastAsia" w:ascii="宋体" w:hAnsi="宋体" w:eastAsia="宋体" w:cs="宋体"/>
                <w:kern w:val="0"/>
                <w:sz w:val="20"/>
                <w:szCs w:val="20"/>
              </w:rPr>
            </w:pPr>
            <w:r>
              <w:rPr>
                <w:rFonts w:hint="eastAsia" w:ascii="宋体" w:hAnsi="宋体" w:eastAsia="宋体" w:cs="宋体"/>
                <w:kern w:val="0"/>
                <w:sz w:val="20"/>
                <w:szCs w:val="20"/>
              </w:rPr>
              <w:t>其他</w:t>
            </w:r>
          </w:p>
          <w:p w14:paraId="55786DF2">
            <w:pPr>
              <w:widowControl/>
              <w:ind w:left="-126" w:leftChars="-60" w:right="-136" w:rightChars="-65"/>
              <w:jc w:val="center"/>
            </w:pPr>
            <w:r>
              <w:rPr>
                <w:rFonts w:hint="eastAsia" w:ascii="宋体" w:hAnsi="宋体" w:eastAsia="宋体" w:cs="宋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0F01AE9">
            <w:pPr>
              <w:widowControl/>
              <w:ind w:left="-164" w:leftChars="-78" w:right="-153" w:rightChars="-73"/>
              <w:jc w:val="center"/>
              <w:rPr>
                <w:rFonts w:hint="eastAsia" w:ascii="宋体" w:hAnsi="宋体" w:eastAsia="宋体" w:cs="宋体"/>
                <w:kern w:val="0"/>
                <w:sz w:val="20"/>
                <w:szCs w:val="20"/>
              </w:rPr>
            </w:pPr>
            <w:r>
              <w:rPr>
                <w:rFonts w:hint="eastAsia" w:ascii="宋体" w:hAnsi="宋体" w:eastAsia="宋体" w:cs="宋体"/>
                <w:kern w:val="0"/>
                <w:sz w:val="20"/>
                <w:szCs w:val="20"/>
              </w:rPr>
              <w:t>尚未</w:t>
            </w:r>
          </w:p>
          <w:p w14:paraId="517A6B00">
            <w:pPr>
              <w:widowControl/>
              <w:ind w:left="-164" w:leftChars="-78" w:right="-153" w:rightChars="-73"/>
              <w:jc w:val="center"/>
            </w:pPr>
            <w:r>
              <w:rPr>
                <w:rFonts w:hint="eastAsia" w:ascii="宋体" w:hAnsi="宋体" w:eastAsia="宋体" w:cs="宋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9D40E1C">
            <w:pPr>
              <w:widowControl/>
              <w:jc w:val="center"/>
            </w:pPr>
            <w:r>
              <w:rPr>
                <w:rFonts w:hint="eastAsia" w:ascii="宋体" w:hAnsi="宋体" w:eastAsia="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5320F8">
            <w:pPr>
              <w:widowControl/>
              <w:ind w:left="-99" w:leftChars="-47" w:right="-78" w:rightChars="-37"/>
              <w:jc w:val="cente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D6E687">
            <w:pPr>
              <w:widowControl/>
              <w:ind w:left="-136" w:leftChars="-65" w:right="-124" w:rightChars="-59"/>
              <w:jc w:val="center"/>
              <w:rPr>
                <w:rFonts w:hint="eastAsia" w:ascii="宋体" w:hAnsi="宋体" w:eastAsia="宋体" w:cs="宋体"/>
                <w:kern w:val="0"/>
                <w:sz w:val="20"/>
                <w:szCs w:val="20"/>
              </w:rPr>
            </w:pPr>
            <w:r>
              <w:rPr>
                <w:rFonts w:hint="eastAsia" w:ascii="宋体" w:hAnsi="宋体" w:eastAsia="宋体" w:cs="宋体"/>
                <w:kern w:val="0"/>
                <w:sz w:val="20"/>
                <w:szCs w:val="20"/>
              </w:rPr>
              <w:t>结果</w:t>
            </w:r>
          </w:p>
          <w:p w14:paraId="6DD8F313">
            <w:pPr>
              <w:widowControl/>
              <w:ind w:left="-136" w:leftChars="-65" w:right="-124" w:rightChars="-59"/>
              <w:jc w:val="center"/>
            </w:pPr>
            <w:r>
              <w:rPr>
                <w:rFonts w:hint="eastAsia" w:ascii="宋体" w:hAnsi="宋体" w:eastAsia="宋体" w:cs="宋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311CD4">
            <w:pPr>
              <w:widowControl/>
              <w:ind w:left="-173" w:leftChars="-83" w:right="-134" w:rightChars="-64" w:hanging="1"/>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其他</w:t>
            </w:r>
          </w:p>
          <w:p w14:paraId="6BC70F7D">
            <w:pPr>
              <w:widowControl/>
              <w:ind w:left="-173" w:leftChars="-83" w:right="-134" w:rightChars="-64" w:hanging="1"/>
              <w:jc w:val="center"/>
            </w:pPr>
            <w:r>
              <w:rPr>
                <w:rFonts w:hint="eastAsia" w:ascii="宋体" w:hAnsi="宋体" w:eastAsia="宋体" w:cs="宋体"/>
                <w:color w:val="000000"/>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5B1A3E3">
            <w:pPr>
              <w:widowControl/>
              <w:ind w:left="-67" w:leftChars="-33" w:right="-105" w:rightChars="-50" w:hanging="2" w:hangingChars="1"/>
              <w:jc w:val="cente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2F1DAB">
            <w:pPr>
              <w:widowControl/>
              <w:jc w:val="center"/>
            </w:pPr>
            <w:r>
              <w:rPr>
                <w:rFonts w:hint="eastAsia" w:ascii="宋体" w:hAnsi="宋体" w:eastAsia="宋体" w:cs="宋体"/>
                <w:color w:val="000000"/>
                <w:kern w:val="0"/>
                <w:sz w:val="20"/>
                <w:szCs w:val="20"/>
              </w:rPr>
              <w:t>总计</w:t>
            </w:r>
          </w:p>
        </w:tc>
      </w:tr>
      <w:tr w14:paraId="57751F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44A7D17">
            <w:pPr>
              <w:widowControl/>
              <w:spacing w:after="180"/>
              <w:jc w:val="center"/>
              <w:rPr>
                <w:rFonts w:hint="eastAsia" w:eastAsiaTheme="minorEastAsia"/>
                <w:lang w:val="en-US" w:eastAsia="zh-CN"/>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F51CDE8">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A633AAE">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86D6D61">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418F1AD9">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1B7E8F3">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FCE1E76">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DEA207">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4E11E1A">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B0FC999">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BCF64A2">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AE88897">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68169D8">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0AEF2AD">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14E71E6">
            <w:pPr>
              <w:widowControl/>
              <w:spacing w:after="180"/>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rPr>
              <w:t> </w:t>
            </w:r>
            <w:r>
              <w:rPr>
                <w:rFonts w:hint="eastAsia" w:ascii="Calibri" w:hAnsi="Calibri" w:cs="Calibri"/>
                <w:kern w:val="0"/>
                <w:sz w:val="20"/>
                <w:szCs w:val="20"/>
                <w:lang w:val="en-US" w:eastAsia="zh-CN"/>
              </w:rPr>
              <w:t>0</w:t>
            </w:r>
          </w:p>
        </w:tc>
      </w:tr>
    </w:tbl>
    <w:p w14:paraId="737FCDEA">
      <w:pPr>
        <w:widowControl/>
        <w:shd w:val="clear" w:color="auto" w:fill="FFFFFF"/>
        <w:jc w:val="center"/>
        <w:rPr>
          <w:rFonts w:ascii="宋体" w:hAnsi="宋体" w:eastAsia="宋体" w:cs="宋体"/>
          <w:color w:val="333333"/>
          <w:sz w:val="24"/>
        </w:rPr>
      </w:pPr>
    </w:p>
    <w:p w14:paraId="4A425DB3">
      <w:pPr>
        <w:pStyle w:val="3"/>
        <w:widowControl/>
        <w:shd w:val="clear" w:color="auto" w:fill="FFFFFF"/>
        <w:spacing w:beforeAutospacing="0" w:afterAutospacing="0"/>
        <w:ind w:firstLine="420"/>
        <w:jc w:val="both"/>
        <w:rPr>
          <w:rFonts w:ascii="黑体" w:hAnsi="黑体" w:eastAsia="黑体" w:cs="宋体"/>
          <w:color w:val="333333"/>
          <w:sz w:val="32"/>
          <w:szCs w:val="32"/>
        </w:rPr>
      </w:pPr>
      <w:r>
        <w:rPr>
          <w:rFonts w:hint="eastAsia" w:ascii="黑体" w:hAnsi="黑体" w:eastAsia="黑体" w:cs="宋体"/>
          <w:color w:val="333333"/>
          <w:sz w:val="32"/>
          <w:szCs w:val="32"/>
          <w:shd w:val="clear" w:color="auto" w:fill="FFFFFF"/>
        </w:rPr>
        <w:t>五、存在的主要问题及改进情况</w:t>
      </w:r>
    </w:p>
    <w:p w14:paraId="343888C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000000"/>
          <w:kern w:val="0"/>
          <w:sz w:val="32"/>
          <w:szCs w:val="32"/>
          <w:lang w:val="en-US" w:eastAsia="zh-CN"/>
        </w:rPr>
      </w:pPr>
      <w:r>
        <w:rPr>
          <w:rFonts w:hint="eastAsia" w:ascii="楷体_GB2312" w:hAnsi="楷体_GB2312" w:eastAsia="楷体_GB2312" w:cs="楷体_GB2312"/>
          <w:b w:val="0"/>
          <w:bCs/>
          <w:color w:val="000000"/>
          <w:kern w:val="0"/>
          <w:sz w:val="32"/>
          <w:szCs w:val="32"/>
          <w:lang w:val="en-US" w:eastAsia="zh-CN"/>
        </w:rPr>
        <w:t>（一）2019年问题整改情况。</w:t>
      </w:r>
    </w:p>
    <w:p w14:paraId="73FEE2D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一是重点借助微信公众号等新媒体，进一步加强本局政府信息公开的“窗口”建设，整合资源数据共享；二是丰富形式、拓展内容，积极推进政府信息公开多元化发展。三是提高效率，严格遵循真实公正、注重实效的原则，及时发布群众关切的政策信息和求助咨询。四是将政府信息公开工作纳入全局绩效考核，调动各科室积极性。</w:t>
      </w:r>
    </w:p>
    <w:p w14:paraId="3EB899F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000000"/>
          <w:kern w:val="0"/>
          <w:sz w:val="32"/>
          <w:szCs w:val="32"/>
          <w:lang w:val="en-US" w:eastAsia="zh-CN"/>
        </w:rPr>
      </w:pPr>
      <w:r>
        <w:rPr>
          <w:rFonts w:hint="eastAsia" w:ascii="楷体_GB2312" w:hAnsi="楷体_GB2312" w:eastAsia="楷体_GB2312" w:cs="楷体_GB2312"/>
          <w:b w:val="0"/>
          <w:bCs/>
          <w:color w:val="000000"/>
          <w:kern w:val="0"/>
          <w:sz w:val="32"/>
          <w:szCs w:val="32"/>
          <w:lang w:val="en-US" w:eastAsia="zh-CN"/>
        </w:rPr>
        <w:t>（二）2020年存在的主要问题。</w:t>
      </w:r>
    </w:p>
    <w:p w14:paraId="54093F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我局政府信息公开工作虽然取得了一定的成绩，但与县委县政府的要求，与群众的期望相比还有一定的差距，主要表现在：一是公开深度需进一步加大，主动公开目录和重点领域信息公开内容有待进一步细化、深化。二是公开工作机制尚不完善，局机关《政府信息公开工作管理考核办法》需要进一步修订。三是公开渠道和形式需要进一步创新。四是公共企事业单位领域公开机制亟待常态化、规范化。</w:t>
      </w:r>
    </w:p>
    <w:p w14:paraId="67B71C3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b w:val="0"/>
          <w:bCs/>
          <w:color w:val="000000"/>
          <w:kern w:val="0"/>
          <w:sz w:val="32"/>
          <w:szCs w:val="32"/>
          <w:lang w:val="en-US" w:eastAsia="zh-CN"/>
        </w:rPr>
      </w:pPr>
      <w:r>
        <w:rPr>
          <w:rFonts w:hint="eastAsia" w:ascii="楷体_GB2312" w:hAnsi="楷体_GB2312" w:eastAsia="楷体_GB2312" w:cs="楷体_GB2312"/>
          <w:b w:val="0"/>
          <w:bCs/>
          <w:color w:val="000000"/>
          <w:kern w:val="0"/>
          <w:sz w:val="32"/>
          <w:szCs w:val="32"/>
          <w:lang w:val="en-US" w:eastAsia="zh-CN"/>
        </w:rPr>
        <w:t>（三）改进措施</w:t>
      </w:r>
    </w:p>
    <w:p w14:paraId="43B1259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我局将认真贯彻落实上级有关文件规定和要求，总结经验，整改问题，重点做好以下几个方面的工作：</w:t>
      </w:r>
    </w:p>
    <w:p w14:paraId="1D73538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1. 推进教育行政部门与公众的互动，加强文件政策解读，围绕热点、结合重点，通过开展热点重点事项民众调研、文件政策事前征求意见等方式，发掘现实生活中的群众关切，进一步推进重点领域教育民生事项和教育类办事项目的公开。</w:t>
      </w:r>
    </w:p>
    <w:p w14:paraId="5F42BD2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2. 不断健全政府信息公开工作机制。根据《政府信息公开条例》和上级工作要求，修订完善《局机关政府信息公开工作管理考核办法》，组织加强人员培训，确保新要求得到有效落实;完善全局政府信息公开工作机制，进一步提高局系统政府信息公开工作规范化、制度化水平。</w:t>
      </w:r>
    </w:p>
    <w:p w14:paraId="6C6B33C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3. 积极丰富便民服务事项和形式。加强整合、积极开发，进一步拓展教育信息源，加强网络信息公开平台建设，拓展互联网媒体的信息服务功能。借助政府网站、微信公众号、民声网等平台，探索信息公开的多元化模式，进一步提高信息公开综合效益，提升群众满意度。</w:t>
      </w:r>
    </w:p>
    <w:p w14:paraId="7BE24A2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default" w:ascii="仿宋_GB2312" w:hAnsi="宋体" w:eastAsia="仿宋_GB2312" w:cs="宋体"/>
          <w:color w:val="333333"/>
          <w:kern w:val="0"/>
          <w:sz w:val="32"/>
          <w:szCs w:val="32"/>
          <w:shd w:val="clear" w:color="auto" w:fill="FFFFFF"/>
          <w:lang w:val="en-US" w:eastAsia="zh-CN" w:bidi="ar-SA"/>
        </w:rPr>
        <w:t>4.</w:t>
      </w:r>
      <w:r>
        <w:rPr>
          <w:rFonts w:hint="eastAsia" w:ascii="仿宋_GB2312" w:hAnsi="宋体" w:eastAsia="仿宋_GB2312" w:cs="宋体"/>
          <w:color w:val="333333"/>
          <w:kern w:val="0"/>
          <w:sz w:val="32"/>
          <w:szCs w:val="32"/>
          <w:shd w:val="clear" w:color="auto" w:fill="FFFFFF"/>
          <w:lang w:val="en-US" w:eastAsia="zh-CN" w:bidi="ar-SA"/>
        </w:rPr>
        <w:t>结合市县和本部门政务公开重点工作任务，制定具体针对公共企事业单位的实施方案或工作措施，要求基层单位将公开工作做在平时，由专人负责在本校内网站公布，积极联系做好公开内容的关联引用与更新发布，逐步实现教育行政部门信息资源向各基层学校的延伸。与此同时，局办公室要建立任务落实台帐，加强监督检查，保障规范性、时效性，确保重点单位、重点领域的公开工作落实到位。</w:t>
      </w:r>
    </w:p>
    <w:p w14:paraId="5492BE14">
      <w:pPr>
        <w:pStyle w:val="3"/>
        <w:widowControl/>
        <w:shd w:val="clear" w:color="auto" w:fill="FFFFFF"/>
        <w:spacing w:beforeAutospacing="0" w:afterAutospacing="0"/>
        <w:ind w:firstLine="640" w:firstLineChars="200"/>
        <w:jc w:val="both"/>
        <w:rPr>
          <w:rFonts w:ascii="黑体" w:hAnsi="黑体" w:eastAsia="黑体" w:cs="宋体"/>
          <w:color w:val="333333"/>
          <w:sz w:val="32"/>
          <w:szCs w:val="32"/>
        </w:rPr>
      </w:pPr>
      <w:r>
        <w:rPr>
          <w:rFonts w:hint="eastAsia" w:ascii="黑体" w:hAnsi="黑体" w:eastAsia="黑体" w:cs="宋体"/>
          <w:color w:val="333333"/>
          <w:sz w:val="32"/>
          <w:szCs w:val="32"/>
          <w:shd w:val="clear" w:color="auto" w:fill="FFFFFF"/>
        </w:rPr>
        <w:t>六、其他需要报告的事项</w:t>
      </w:r>
    </w:p>
    <w:p w14:paraId="4CD01CD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2020年，县教育和体育局指导所辖中小学及时公开信息，通过集中学习、远程教学、交流研讨等多种形式，分层次开展中小学信息公开业务培训。各中小学建立健全校长直接领导、专人或机构具体承担、师生员工、学生家长和社会公众参与监督的信息公开工作机制，健全学校校务公开制度，全面推行办事公开。各中小学将主动公开的信息以下列一种或几种方式公开：</w:t>
      </w:r>
    </w:p>
    <w:p w14:paraId="57A3392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（一）学校网站（或本地教育门户网站）、微信公众号；</w:t>
      </w:r>
    </w:p>
    <w:p w14:paraId="7F28328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（二）校务公开栏、公告牌、电子显示屏、触摸屏等；</w:t>
      </w:r>
    </w:p>
    <w:p w14:paraId="056F937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（三）服务指南、招生简章、收费公示卡、致家长信等；</w:t>
      </w:r>
    </w:p>
    <w:p w14:paraId="467F47B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（四）校园广播、电视、校报校刊等；</w:t>
      </w:r>
    </w:p>
    <w:p w14:paraId="4C4A6ED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（五）校长信箱、咨询投诉电话、手机短信等；</w:t>
      </w:r>
    </w:p>
    <w:p w14:paraId="202F6F5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（六）座谈会、咨询会、新闻发布会等；</w:t>
      </w:r>
    </w:p>
    <w:p w14:paraId="05DBF0B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（七）其他便于公众知晓的方式。</w:t>
      </w:r>
    </w:p>
    <w:p w14:paraId="3446ECA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中小学积极加强学校网站建设，开设信息公开专栏，实现学校信息网上公开，以便于社会公众查询。尚不具备单独设立学校网站条件的，通过上级主管部门的网站公开信息。</w:t>
      </w:r>
    </w:p>
    <w:p w14:paraId="0A9F9D9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中小学将与学生有关的基本制度规定进行汇总，在新生入学报到时发放，或通过召开家长会、发送书面通知、信函等方式将重要信息告知学生家长。对涉及师生员工切身利益的重大事项，应当通过校务委员会、教职工代表大会、全体教职工大会、学生家长会、家长委员会等形式听取意见。</w:t>
      </w:r>
    </w:p>
    <w:p w14:paraId="06F5B00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p>
    <w:p w14:paraId="7C6A754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kern w:val="0"/>
          <w:sz w:val="32"/>
          <w:szCs w:val="32"/>
          <w:shd w:val="clear" w:color="auto" w:fill="FFFFFF"/>
          <w:lang w:val="en-US" w:eastAsia="zh-CN" w:bidi="ar-SA"/>
        </w:rPr>
      </w:pPr>
    </w:p>
    <w:p w14:paraId="07F6A752">
      <w:pPr>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昌乐县教育和体育局</w:t>
      </w:r>
    </w:p>
    <w:p w14:paraId="241E686B">
      <w:pPr>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hAnsi="宋体" w:eastAsia="仿宋_GB2312" w:cs="宋体"/>
          <w:color w:val="333333"/>
          <w:kern w:val="0"/>
          <w:sz w:val="32"/>
          <w:szCs w:val="32"/>
          <w:shd w:val="clear" w:color="auto" w:fill="FFFFFF"/>
          <w:lang w:val="en-US" w:eastAsia="zh-CN" w:bidi="ar-SA"/>
        </w:rPr>
      </w:pPr>
      <w:r>
        <w:rPr>
          <w:rFonts w:hint="eastAsia" w:ascii="仿宋_GB2312" w:hAnsi="宋体" w:eastAsia="仿宋_GB2312" w:cs="宋体"/>
          <w:color w:val="333333"/>
          <w:kern w:val="0"/>
          <w:sz w:val="32"/>
          <w:szCs w:val="32"/>
          <w:shd w:val="clear" w:color="auto" w:fill="FFFFFF"/>
          <w:lang w:val="en-US" w:eastAsia="zh-CN" w:bidi="ar-SA"/>
        </w:rPr>
        <w:t>2021年1月21日</w:t>
      </w:r>
    </w:p>
    <w:sectPr>
      <w:pgSz w:w="11906" w:h="16838"/>
      <w:pgMar w:top="1701" w:right="1644" w:bottom="136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669148"/>
    <w:multiLevelType w:val="singleLevel"/>
    <w:tmpl w:val="F166914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1807B7"/>
    <w:rsid w:val="06392F82"/>
    <w:rsid w:val="066202A7"/>
    <w:rsid w:val="0CF10B2F"/>
    <w:rsid w:val="0D1B3DF9"/>
    <w:rsid w:val="17C14A72"/>
    <w:rsid w:val="18C54BA9"/>
    <w:rsid w:val="18FD45D4"/>
    <w:rsid w:val="19436A53"/>
    <w:rsid w:val="23BE6A3B"/>
    <w:rsid w:val="27FD6572"/>
    <w:rsid w:val="2D852F56"/>
    <w:rsid w:val="2EEB38CE"/>
    <w:rsid w:val="30554EAE"/>
    <w:rsid w:val="3D0A2FD8"/>
    <w:rsid w:val="4023752C"/>
    <w:rsid w:val="441329C0"/>
    <w:rsid w:val="492938B9"/>
    <w:rsid w:val="4E8D5B15"/>
    <w:rsid w:val="5ADC1FA8"/>
    <w:rsid w:val="63562DC7"/>
    <w:rsid w:val="699550AE"/>
    <w:rsid w:val="6A8D560D"/>
    <w:rsid w:val="6F157A54"/>
    <w:rsid w:val="7256406A"/>
    <w:rsid w:val="72BC6FCF"/>
    <w:rsid w:val="73702E9A"/>
    <w:rsid w:val="74FE151C"/>
    <w:rsid w:val="797F73F5"/>
    <w:rsid w:val="7ABA103E"/>
    <w:rsid w:val="7E8C3EF7"/>
    <w:rsid w:val="7FE13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FollowedHyperlink"/>
    <w:basedOn w:val="5"/>
    <w:qFormat/>
    <w:uiPriority w:val="0"/>
    <w:rPr>
      <w:rFonts w:ascii="微软雅黑" w:hAnsi="微软雅黑" w:eastAsia="微软雅黑" w:cs="微软雅黑"/>
      <w:color w:val="000000"/>
      <w:sz w:val="21"/>
      <w:szCs w:val="21"/>
      <w:u w:val="none"/>
    </w:rPr>
  </w:style>
  <w:style w:type="character" w:styleId="8">
    <w:name w:val="Hyperlink"/>
    <w:basedOn w:val="5"/>
    <w:qFormat/>
    <w:uiPriority w:val="0"/>
    <w:rPr>
      <w:rFonts w:hint="eastAsia" w:ascii="微软雅黑" w:hAnsi="微软雅黑" w:eastAsia="微软雅黑" w:cs="微软雅黑"/>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6577</Words>
  <Characters>6773</Characters>
  <Lines>0</Lines>
  <Paragraphs>0</Paragraphs>
  <TotalTime>0</TotalTime>
  <ScaleCrop>false</ScaleCrop>
  <LinksUpToDate>false</LinksUpToDate>
  <CharactersWithSpaces>6818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2020-01-17T09:04:00Z</dcterms:created>
  <dc:creator>Administrator</dc:creator>
  <cp:lastModifiedBy>AA</cp:lastModifiedBy>
  <dcterms:modified xsi:type="dcterms:W3CDTF">2026-07-15T01:24:28Z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eyJoZGlkIjoiYmVkODQ0NmQ2MWMyMDcxNTg4ZmEwNThkMWI0Y2E0YzMiLCJ1c2VySWQiOiIzMDkxNzU4MTIifQ==</vt:lpwstr>
  </property>
  <property fmtid="{D5CDD505-2E9C-101B-9397-08002B2CF9AE}" pid="4" name="ICV">
    <vt:lpwstr>9F28537562C74B308771C11A2424C28D_12</vt:lpwstr>
  </property>
</Properties>
</file>