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horzAnchor="margin" w:tblpY="864"/>
        <w:tblW w:w="13907" w:type="dxa"/>
        <w:tblInd w:w="0" w:type="dxa"/>
        <w:tblLayout w:type="autofit"/>
        <w:tblCellMar>
          <w:top w:w="0" w:type="dxa"/>
          <w:left w:w="108" w:type="dxa"/>
          <w:bottom w:w="0" w:type="dxa"/>
          <w:right w:w="108" w:type="dxa"/>
        </w:tblCellMar>
      </w:tblPr>
      <w:tblGrid>
        <w:gridCol w:w="417"/>
        <w:gridCol w:w="1251"/>
        <w:gridCol w:w="2458"/>
        <w:gridCol w:w="2126"/>
        <w:gridCol w:w="802"/>
        <w:gridCol w:w="6853"/>
      </w:tblGrid>
      <w:tr>
        <w:tblPrEx>
          <w:tblCellMar>
            <w:top w:w="0" w:type="dxa"/>
            <w:left w:w="108" w:type="dxa"/>
            <w:bottom w:w="0" w:type="dxa"/>
            <w:right w:w="108" w:type="dxa"/>
          </w:tblCellMar>
        </w:tblPrEx>
        <w:trPr>
          <w:trHeight w:val="756" w:hRule="atLeast"/>
        </w:trPr>
        <w:tc>
          <w:tcPr>
            <w:tcW w:w="41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eastAsia="宋体" w:cs="宋体"/>
                <w:b/>
                <w:color w:val="000000"/>
                <w:kern w:val="0"/>
                <w:sz w:val="20"/>
                <w:szCs w:val="20"/>
              </w:rPr>
            </w:pPr>
            <w:r>
              <w:rPr>
                <w:rFonts w:ascii="Verdana" w:hAnsi="Verdana" w:eastAsia="宋体" w:cs="宋体"/>
                <w:b/>
                <w:color w:val="000000"/>
                <w:kern w:val="0"/>
                <w:sz w:val="20"/>
                <w:szCs w:val="20"/>
              </w:rPr>
              <w:t>序号</w:t>
            </w:r>
          </w:p>
        </w:tc>
        <w:tc>
          <w:tcPr>
            <w:tcW w:w="1251"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b/>
                <w:color w:val="000000"/>
                <w:kern w:val="0"/>
                <w:sz w:val="20"/>
                <w:szCs w:val="20"/>
              </w:rPr>
            </w:pPr>
            <w:r>
              <w:rPr>
                <w:rFonts w:ascii="Verdana" w:hAnsi="Verdana" w:eastAsia="宋体" w:cs="宋体"/>
                <w:b/>
                <w:color w:val="000000"/>
                <w:kern w:val="0"/>
                <w:sz w:val="20"/>
                <w:szCs w:val="20"/>
              </w:rPr>
              <w:t>实施机构</w:t>
            </w:r>
          </w:p>
        </w:tc>
        <w:tc>
          <w:tcPr>
            <w:tcW w:w="2458"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b/>
                <w:color w:val="000000"/>
                <w:kern w:val="0"/>
                <w:sz w:val="20"/>
                <w:szCs w:val="20"/>
              </w:rPr>
            </w:pPr>
            <w:r>
              <w:rPr>
                <w:rFonts w:ascii="Verdana" w:hAnsi="Verdana" w:eastAsia="宋体" w:cs="宋体"/>
                <w:b/>
                <w:color w:val="000000"/>
                <w:kern w:val="0"/>
                <w:sz w:val="20"/>
                <w:szCs w:val="20"/>
              </w:rPr>
              <w:t>部门职责</w:t>
            </w:r>
          </w:p>
        </w:tc>
        <w:tc>
          <w:tcPr>
            <w:tcW w:w="2126"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b/>
                <w:color w:val="000000"/>
                <w:kern w:val="0"/>
                <w:sz w:val="20"/>
                <w:szCs w:val="20"/>
              </w:rPr>
            </w:pPr>
            <w:r>
              <w:rPr>
                <w:rFonts w:ascii="Verdana" w:hAnsi="Verdana" w:eastAsia="宋体" w:cs="宋体"/>
                <w:b/>
                <w:color w:val="000000"/>
                <w:kern w:val="0"/>
                <w:sz w:val="20"/>
                <w:szCs w:val="20"/>
              </w:rPr>
              <w:t>事项名称</w:t>
            </w:r>
          </w:p>
        </w:tc>
        <w:tc>
          <w:tcPr>
            <w:tcW w:w="80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b/>
                <w:color w:val="000000"/>
                <w:kern w:val="0"/>
                <w:sz w:val="20"/>
                <w:szCs w:val="20"/>
              </w:rPr>
            </w:pPr>
            <w:r>
              <w:rPr>
                <w:rFonts w:ascii="Verdana" w:hAnsi="Verdana" w:eastAsia="宋体" w:cs="宋体"/>
                <w:b/>
                <w:color w:val="000000"/>
                <w:kern w:val="0"/>
                <w:sz w:val="20"/>
                <w:szCs w:val="20"/>
              </w:rPr>
              <w:t>事项类型</w:t>
            </w:r>
          </w:p>
        </w:tc>
        <w:tc>
          <w:tcPr>
            <w:tcW w:w="6853"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b/>
                <w:color w:val="000000"/>
                <w:kern w:val="0"/>
                <w:sz w:val="20"/>
                <w:szCs w:val="20"/>
              </w:rPr>
            </w:pPr>
            <w:r>
              <w:rPr>
                <w:rFonts w:ascii="Verdana" w:hAnsi="Verdana" w:eastAsia="宋体" w:cs="宋体"/>
                <w:b/>
                <w:color w:val="000000"/>
                <w:kern w:val="0"/>
                <w:sz w:val="20"/>
                <w:szCs w:val="20"/>
              </w:rPr>
              <w:t>设定、行使依据及有关条款</w:t>
            </w:r>
          </w:p>
        </w:tc>
      </w:tr>
      <w:tr>
        <w:tblPrEx>
          <w:tblCellMar>
            <w:top w:w="0" w:type="dxa"/>
            <w:left w:w="108" w:type="dxa"/>
            <w:bottom w:w="0" w:type="dxa"/>
            <w:right w:w="108" w:type="dxa"/>
          </w:tblCellMar>
        </w:tblPrEx>
        <w:trPr>
          <w:trHeight w:val="2202" w:hRule="atLeast"/>
        </w:trPr>
        <w:tc>
          <w:tcPr>
            <w:tcW w:w="417"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1</w:t>
            </w:r>
          </w:p>
        </w:tc>
        <w:tc>
          <w:tcPr>
            <w:tcW w:w="1251"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医保局</w:t>
            </w:r>
          </w:p>
        </w:tc>
        <w:tc>
          <w:tcPr>
            <w:tcW w:w="2458" w:type="dxa"/>
            <w:tcBorders>
              <w:top w:val="nil"/>
              <w:left w:val="nil"/>
              <w:bottom w:val="single" w:color="000000" w:sz="4" w:space="0"/>
              <w:right w:val="single" w:color="000000" w:sz="4" w:space="0"/>
            </w:tcBorders>
            <w:shd w:val="clear" w:color="000000" w:fill="FFFFFF"/>
            <w:vAlign w:val="center"/>
          </w:tcPr>
          <w:p>
            <w:pPr>
              <w:widowControl/>
              <w:jc w:val="left"/>
              <w:rPr>
                <w:rFonts w:ascii="Verdana" w:hAnsi="Verdana" w:eastAsia="宋体" w:cs="宋体"/>
                <w:color w:val="000000"/>
                <w:kern w:val="0"/>
                <w:sz w:val="20"/>
                <w:szCs w:val="20"/>
              </w:rPr>
            </w:pPr>
            <w:r>
              <w:rPr>
                <w:rFonts w:ascii="Verdana" w:hAnsi="Verdana" w:eastAsia="宋体" w:cs="宋体"/>
                <w:color w:val="000000"/>
                <w:kern w:val="0"/>
                <w:sz w:val="20"/>
                <w:szCs w:val="20"/>
              </w:rPr>
              <w:t>负责全县医疗保障政策落实情况的监督检查工作，组织调查处理医疗保障业务职责范围内的违法违规行为。</w:t>
            </w:r>
          </w:p>
        </w:tc>
        <w:tc>
          <w:tcPr>
            <w:tcW w:w="2126" w:type="dxa"/>
            <w:tcBorders>
              <w:top w:val="nil"/>
              <w:left w:val="nil"/>
              <w:bottom w:val="single" w:color="000000" w:sz="4" w:space="0"/>
              <w:right w:val="single" w:color="000000" w:sz="4" w:space="0"/>
            </w:tcBorders>
            <w:shd w:val="clear" w:color="000000" w:fill="FFFFFF"/>
            <w:vAlign w:val="center"/>
          </w:tcPr>
          <w:p>
            <w:pPr>
              <w:widowControl/>
              <w:jc w:val="left"/>
              <w:rPr>
                <w:rFonts w:ascii="Verdana" w:hAnsi="Verdana" w:eastAsia="宋体" w:cs="宋体"/>
                <w:color w:val="000000"/>
                <w:kern w:val="0"/>
                <w:sz w:val="20"/>
                <w:szCs w:val="20"/>
              </w:rPr>
            </w:pPr>
            <w:r>
              <w:rPr>
                <w:rFonts w:ascii="Verdana" w:hAnsi="Verdana" w:eastAsia="宋体" w:cs="宋体"/>
                <w:color w:val="000000"/>
                <w:kern w:val="0"/>
                <w:sz w:val="20"/>
                <w:szCs w:val="20"/>
              </w:rPr>
              <w:t>对纳入医保支付范围的医疗服务行为和医疗费用及医保经办业务开展监督检查</w:t>
            </w:r>
          </w:p>
        </w:tc>
        <w:tc>
          <w:tcPr>
            <w:tcW w:w="802"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行政检查</w:t>
            </w:r>
          </w:p>
        </w:tc>
        <w:tc>
          <w:tcPr>
            <w:tcW w:w="6853" w:type="dxa"/>
            <w:tcBorders>
              <w:top w:val="nil"/>
              <w:left w:val="nil"/>
              <w:bottom w:val="single" w:color="000000" w:sz="4" w:space="0"/>
              <w:right w:val="single" w:color="000000" w:sz="4" w:space="0"/>
            </w:tcBorders>
            <w:shd w:val="clear" w:color="000000" w:fill="FFFFFF"/>
            <w:vAlign w:val="center"/>
          </w:tcPr>
          <w:p>
            <w:pPr>
              <w:widowControl/>
              <w:jc w:val="left"/>
              <w:rPr>
                <w:rFonts w:ascii="Verdana" w:hAnsi="Verdana" w:eastAsia="宋体" w:cs="宋体"/>
                <w:color w:val="000000"/>
                <w:kern w:val="0"/>
                <w:sz w:val="20"/>
                <w:szCs w:val="20"/>
              </w:rPr>
            </w:pPr>
            <w:r>
              <w:rPr>
                <w:rFonts w:ascii="Verdana" w:hAnsi="Verdana" w:eastAsia="宋体" w:cs="宋体"/>
                <w:color w:val="000000"/>
                <w:kern w:val="0"/>
                <w:sz w:val="20"/>
                <w:szCs w:val="20"/>
              </w:rPr>
              <w:t>1.【法律】《社会保险法》（2018年12月修改）第七十七条第一款：县级以上人民政府社会保险行政部门应当加强对用人单位和个人遵守社会保险法律、法规情况的监督检查。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tc>
      </w:tr>
      <w:tr>
        <w:tblPrEx>
          <w:tblCellMar>
            <w:top w:w="0" w:type="dxa"/>
            <w:left w:w="108" w:type="dxa"/>
            <w:bottom w:w="0" w:type="dxa"/>
            <w:right w:w="108" w:type="dxa"/>
          </w:tblCellMar>
        </w:tblPrEx>
        <w:trPr>
          <w:trHeight w:val="2970" w:hRule="atLeast"/>
        </w:trPr>
        <w:tc>
          <w:tcPr>
            <w:tcW w:w="417"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2</w:t>
            </w:r>
          </w:p>
        </w:tc>
        <w:tc>
          <w:tcPr>
            <w:tcW w:w="1251"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医保局</w:t>
            </w:r>
          </w:p>
        </w:tc>
        <w:tc>
          <w:tcPr>
            <w:tcW w:w="2458" w:type="dxa"/>
            <w:tcBorders>
              <w:top w:val="nil"/>
              <w:left w:val="nil"/>
              <w:bottom w:val="single" w:color="000000" w:sz="4" w:space="0"/>
              <w:right w:val="single" w:color="000000" w:sz="4" w:space="0"/>
            </w:tcBorders>
            <w:shd w:val="clear" w:color="000000" w:fill="FFFFFF"/>
            <w:vAlign w:val="center"/>
          </w:tcPr>
          <w:p>
            <w:pPr>
              <w:widowControl/>
              <w:jc w:val="left"/>
              <w:rPr>
                <w:rFonts w:ascii="Verdana" w:hAnsi="Verdana" w:eastAsia="宋体" w:cs="宋体"/>
                <w:color w:val="000000"/>
                <w:kern w:val="0"/>
                <w:sz w:val="20"/>
                <w:szCs w:val="20"/>
              </w:rPr>
            </w:pPr>
            <w:r>
              <w:rPr>
                <w:rFonts w:ascii="Verdana" w:hAnsi="Verdana" w:eastAsia="宋体" w:cs="宋体"/>
                <w:color w:val="000000"/>
                <w:kern w:val="0"/>
                <w:sz w:val="20"/>
                <w:szCs w:val="20"/>
              </w:rPr>
              <w:t>监督管理全县医疗保障基金，建立健全医疗保障基金安全防控机制，推进医疗保障基金支付方式改革。负责全县医疗保障政策落实情况的监督检查工作，组织调查处理医疗保障业务职责范围内的违法违规行为。</w:t>
            </w:r>
          </w:p>
        </w:tc>
        <w:tc>
          <w:tcPr>
            <w:tcW w:w="2126"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医疗保险稽核</w:t>
            </w:r>
          </w:p>
        </w:tc>
        <w:tc>
          <w:tcPr>
            <w:tcW w:w="802"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eastAsia="宋体" w:cs="宋体"/>
                <w:color w:val="000000"/>
                <w:kern w:val="0"/>
                <w:sz w:val="20"/>
                <w:szCs w:val="20"/>
              </w:rPr>
            </w:pPr>
            <w:r>
              <w:rPr>
                <w:rFonts w:ascii="Verdana" w:hAnsi="Verdana" w:eastAsia="宋体" w:cs="宋体"/>
                <w:color w:val="000000"/>
                <w:kern w:val="0"/>
                <w:sz w:val="20"/>
                <w:szCs w:val="20"/>
              </w:rPr>
              <w:t>行政检查</w:t>
            </w:r>
          </w:p>
        </w:tc>
        <w:tc>
          <w:tcPr>
            <w:tcW w:w="6853" w:type="dxa"/>
            <w:tcBorders>
              <w:top w:val="nil"/>
              <w:left w:val="nil"/>
              <w:bottom w:val="single" w:color="000000" w:sz="4" w:space="0"/>
              <w:right w:val="single" w:color="000000" w:sz="4" w:space="0"/>
            </w:tcBorders>
            <w:shd w:val="clear" w:color="000000" w:fill="FFFFFF"/>
            <w:vAlign w:val="center"/>
          </w:tcPr>
          <w:p>
            <w:pPr>
              <w:widowControl/>
              <w:jc w:val="left"/>
              <w:rPr>
                <w:rFonts w:ascii="Verdana" w:hAnsi="Verdana" w:eastAsia="宋体" w:cs="宋体"/>
                <w:color w:val="000000"/>
                <w:kern w:val="0"/>
                <w:sz w:val="20"/>
                <w:szCs w:val="20"/>
              </w:rPr>
            </w:pPr>
            <w:r>
              <w:rPr>
                <w:rFonts w:ascii="Verdana" w:hAnsi="Verdana" w:eastAsia="宋体" w:cs="宋体"/>
                <w:color w:val="000000"/>
                <w:kern w:val="0"/>
                <w:sz w:val="20"/>
                <w:szCs w:val="20"/>
              </w:rPr>
              <w:t>1.【法律】《社会保险稽核办法》（劳动部令第16号）第二条：本办法所称稽核是指社会保险经办机构依法对社会保险费缴纳情况和社会保险待遇领取情况进行的核查。</w:t>
            </w:r>
            <w:r>
              <w:rPr>
                <w:rFonts w:ascii="Verdana" w:hAnsi="Verdana" w:eastAsia="宋体" w:cs="宋体"/>
                <w:color w:val="000000"/>
                <w:kern w:val="0"/>
                <w:sz w:val="20"/>
                <w:szCs w:val="20"/>
              </w:rPr>
              <w:br w:type="textWrapping"/>
            </w:r>
            <w:r>
              <w:rPr>
                <w:rFonts w:ascii="Verdana" w:hAnsi="Verdana" w:eastAsia="宋体" w:cs="宋体"/>
                <w:color w:val="000000"/>
                <w:kern w:val="0"/>
                <w:sz w:val="20"/>
                <w:szCs w:val="20"/>
              </w:rPr>
              <w:t>2.【法律】《山东省社会保险稽查办法》（山东省人民政府令第158号）第二条：本办法所称社会保险稽查，是指劳动和社会保障部门依法对参加社会保险的单位或个人遵守社会保险法律、法规，依法缴纳社会保险费和领取社会保险待遇情况，以及对社会保险基金筹集、支付、管理、运营等情况进行检查，并对违反社会保险法律、法规的行为依法作出处理的行政执法活动。</w:t>
            </w:r>
          </w:p>
        </w:tc>
      </w:tr>
    </w:tbl>
    <w:p>
      <w:pPr>
        <w:jc w:val="center"/>
        <w:rPr>
          <w:sz w:val="28"/>
          <w:szCs w:val="28"/>
        </w:rPr>
      </w:pPr>
      <w:r>
        <w:fldChar w:fldCharType="begin"/>
      </w:r>
      <w:r>
        <w:instrText xml:space="preserve"> HYPERLINK "http://www.changle.gov.cn/CLXXXGK/XKJJ/202112/t20211209_735788.html" \t "_blank" </w:instrText>
      </w:r>
      <w:r>
        <w:fldChar w:fldCharType="separate"/>
      </w:r>
      <w:r>
        <w:rPr>
          <w:rStyle w:val="4"/>
          <w:rFonts w:hint="eastAsia" w:ascii="微软雅黑" w:hAnsi="微软雅黑" w:eastAsia="微软雅黑"/>
          <w:color w:val="000000"/>
          <w:sz w:val="28"/>
          <w:szCs w:val="28"/>
          <w:u w:val="none"/>
        </w:rPr>
        <w:t>昌乐县医疗保障局202</w:t>
      </w:r>
      <w:r>
        <w:rPr>
          <w:rStyle w:val="4"/>
          <w:rFonts w:hint="eastAsia" w:ascii="微软雅黑" w:hAnsi="微软雅黑" w:eastAsia="微软雅黑"/>
          <w:color w:val="000000"/>
          <w:sz w:val="28"/>
          <w:szCs w:val="28"/>
          <w:u w:val="none"/>
          <w:lang w:val="en-US" w:eastAsia="zh-CN"/>
        </w:rPr>
        <w:t>3</w:t>
      </w:r>
      <w:bookmarkStart w:id="0" w:name="_GoBack"/>
      <w:bookmarkEnd w:id="0"/>
      <w:r>
        <w:rPr>
          <w:rStyle w:val="4"/>
          <w:rFonts w:hint="eastAsia" w:ascii="微软雅黑" w:hAnsi="微软雅黑" w:eastAsia="微软雅黑"/>
          <w:color w:val="000000"/>
          <w:sz w:val="28"/>
          <w:szCs w:val="28"/>
          <w:u w:val="none"/>
        </w:rPr>
        <w:t>年执法职责</w:t>
      </w:r>
      <w:r>
        <w:rPr>
          <w:rStyle w:val="4"/>
          <w:rFonts w:hint="eastAsia" w:ascii="微软雅黑" w:hAnsi="微软雅黑" w:eastAsia="微软雅黑"/>
          <w:color w:val="000000"/>
          <w:sz w:val="28"/>
          <w:szCs w:val="28"/>
          <w:u w:val="none"/>
        </w:rPr>
        <w:fldChar w:fldCharType="end"/>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Y2IyZGFiZDc3NTNmNDJhYzM1N2U5NzFhODkwYmYifQ=="/>
  </w:docVars>
  <w:rsids>
    <w:rsidRoot w:val="00715F24"/>
    <w:rsid w:val="00445D25"/>
    <w:rsid w:val="00501B5A"/>
    <w:rsid w:val="00715F24"/>
    <w:rsid w:val="00A93010"/>
    <w:rsid w:val="13377143"/>
    <w:rsid w:val="367A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117</Words>
  <Characters>672</Characters>
  <Lines>5</Lines>
  <Paragraphs>1</Paragraphs>
  <TotalTime>13</TotalTime>
  <ScaleCrop>false</ScaleCrop>
  <LinksUpToDate>false</LinksUpToDate>
  <CharactersWithSpaces>788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2021-12-29T02:21:00Z</dcterms:created>
  <dc:creator>Lenovo</dc:creator>
  <cp:lastModifiedBy>飞扬</cp:lastModifiedBy>
  <dcterms:modified xsi:type="dcterms:W3CDTF">2023-12-26T02:34:48Z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8A29C1CA1DCB4966A9E92FE2EE75401F_12</vt:lpwstr>
  </property>
</Properties>
</file>