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文星标宋" w:eastAsia="方正小标宋简体" w:cs="文星标宋"/>
          <w:sz w:val="44"/>
          <w:szCs w:val="44"/>
          <w:lang w:val="en-US" w:eastAsia="zh-CN"/>
        </w:rPr>
        <w:t>昌乐县医疗保障局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年度行政执法数据统计表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1．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昌乐县医疗保障局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2023年度行政许可情况统计表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2184"/>
        <w:gridCol w:w="2126"/>
        <w:gridCol w:w="2044"/>
        <w:gridCol w:w="3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736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单位名称</w:t>
            </w:r>
          </w:p>
        </w:tc>
        <w:tc>
          <w:tcPr>
            <w:tcW w:w="635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行政许可实施数量</w:t>
            </w:r>
          </w:p>
        </w:tc>
        <w:tc>
          <w:tcPr>
            <w:tcW w:w="341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73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18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受理数量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许可数量</w:t>
            </w: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不予许可数量</w:t>
            </w:r>
          </w:p>
        </w:tc>
        <w:tc>
          <w:tcPr>
            <w:tcW w:w="341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73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昌乐县医疗保障局</w:t>
            </w:r>
          </w:p>
        </w:tc>
        <w:tc>
          <w:tcPr>
            <w:tcW w:w="218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4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736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</w:t>
            </w:r>
          </w:p>
        </w:tc>
        <w:tc>
          <w:tcPr>
            <w:tcW w:w="218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4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320" w:lineRule="exact"/>
        <w:rPr>
          <w:rFonts w:hint="eastAsia" w:ascii="黑体" w:hAnsi="黑体" w:eastAsia="黑体" w:cs="黑体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</w:rPr>
        <w:t>填表说明</w:t>
      </w:r>
      <w:r>
        <w:rPr>
          <w:rFonts w:hint="eastAsia" w:ascii="黑体" w:hAnsi="黑体" w:eastAsia="黑体" w:cs="黑体"/>
          <w:sz w:val="22"/>
          <w:szCs w:val="22"/>
        </w:rPr>
        <w:t xml:space="preserve">： </w:t>
      </w:r>
      <w:r>
        <w:rPr>
          <w:rFonts w:hint="eastAsia" w:ascii="仿宋_GB2312" w:hAnsi="仿宋_GB2312" w:eastAsia="仿宋_GB2312" w:cs="仿宋_GB2312"/>
          <w:sz w:val="24"/>
        </w:rPr>
        <w:t>1.统计范围为2023年度1月1日至12月31日。</w:t>
      </w:r>
    </w:p>
    <w:p>
      <w:pPr>
        <w:spacing w:line="320" w:lineRule="exact"/>
        <w:ind w:firstLine="1200" w:firstLineChars="5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2.准予变更、延续和不予变更、延续的数量，分别计入“许可数量、不予许可数量”。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2．昌乐县医疗保障局2023年度行政处罚情况统计表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802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695"/>
        <w:gridCol w:w="695"/>
        <w:gridCol w:w="694"/>
        <w:gridCol w:w="695"/>
        <w:gridCol w:w="695"/>
        <w:gridCol w:w="570"/>
        <w:gridCol w:w="550"/>
        <w:gridCol w:w="665"/>
        <w:gridCol w:w="581"/>
        <w:gridCol w:w="694"/>
        <w:gridCol w:w="695"/>
        <w:gridCol w:w="696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20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8617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行政处罚实施数量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罚没金额（万元）</w:t>
            </w:r>
          </w:p>
        </w:tc>
        <w:tc>
          <w:tcPr>
            <w:tcW w:w="266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被行政复议应诉数量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移送司法机关数量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020" w:type="dxa"/>
            <w:vMerge w:val="continue"/>
          </w:tcPr>
          <w:p>
            <w:pPr>
              <w:spacing w:line="480" w:lineRule="exact"/>
              <w:jc w:val="center"/>
            </w:pP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立案数量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结案数量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警告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通报批评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罚款</w:t>
            </w:r>
          </w:p>
        </w:tc>
        <w:tc>
          <w:tcPr>
            <w:tcW w:w="447" w:type="dxa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1"/>
              </w:rPr>
              <w:t>没收违法所得</w:t>
            </w:r>
          </w:p>
        </w:tc>
        <w:tc>
          <w:tcPr>
            <w:tcW w:w="447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黑体" w:hAnsi="黑体" w:eastAsia="黑体" w:cs="黑体"/>
                <w:spacing w:val="-1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lang w:val="en-US" w:eastAsia="zh-CN"/>
              </w:rPr>
              <w:t>没收非法财物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暂扣许可证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降低资质等级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吊销许可证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限制开展生产经营活动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责令停产停业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责令关闭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限制从业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行政拘留</w:t>
            </w:r>
          </w:p>
        </w:tc>
        <w:tc>
          <w:tcPr>
            <w:tcW w:w="55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其他行政处罚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581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被行政复议数量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被行政复议纠错数量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被行政诉讼数量</w:t>
            </w:r>
          </w:p>
        </w:tc>
        <w:tc>
          <w:tcPr>
            <w:tcW w:w="69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行政诉讼败诉数量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昌乐县医疗保障局</w:t>
            </w:r>
          </w:p>
        </w:tc>
        <w:tc>
          <w:tcPr>
            <w:tcW w:w="44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4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4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47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1.19</w:t>
            </w:r>
          </w:p>
        </w:tc>
        <w:tc>
          <w:tcPr>
            <w:tcW w:w="58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4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44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4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4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47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1.19</w:t>
            </w:r>
          </w:p>
        </w:tc>
        <w:tc>
          <w:tcPr>
            <w:tcW w:w="58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4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spacing w:line="260" w:lineRule="exact"/>
        <w:ind w:left="1050" w:hanging="1050" w:hangingChars="500"/>
        <w:jc w:val="left"/>
        <w:rPr>
          <w:rFonts w:hint="eastAsia" w:ascii="黑体" w:hAnsi="黑体" w:eastAsia="黑体" w:cs="黑体"/>
        </w:rPr>
      </w:pPr>
    </w:p>
    <w:p>
      <w:pPr>
        <w:spacing w:line="260" w:lineRule="exact"/>
        <w:ind w:left="1050" w:hanging="1050" w:hanging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统计范围为本年度1月1日至12月31日。</w:t>
      </w: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3．昌乐县医疗保障局2023年度行政强制情况统计表</w:t>
      </w: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tbl>
      <w:tblPr>
        <w:tblStyle w:val="4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771"/>
        <w:gridCol w:w="771"/>
        <w:gridCol w:w="770"/>
        <w:gridCol w:w="771"/>
        <w:gridCol w:w="771"/>
        <w:gridCol w:w="802"/>
        <w:gridCol w:w="802"/>
        <w:gridCol w:w="802"/>
        <w:gridCol w:w="802"/>
        <w:gridCol w:w="802"/>
        <w:gridCol w:w="801"/>
        <w:gridCol w:w="781"/>
        <w:gridCol w:w="858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8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3854" w:type="dxa"/>
            <w:gridSpan w:val="5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行政强制措施实施数量</w:t>
            </w:r>
          </w:p>
        </w:tc>
        <w:tc>
          <w:tcPr>
            <w:tcW w:w="645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行政强制执行实施数量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2381" w:type="dxa"/>
            <w:vMerge w:val="continue"/>
          </w:tcPr>
          <w:p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黑体"/>
                <w:sz w:val="20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查封场所、设施或者财物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扣押财物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0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冻结存款、汇款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其他行政强制措施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加处罚款或者滞纳金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划拨存款、汇款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11"/>
                <w:sz w:val="18"/>
                <w:szCs w:val="18"/>
              </w:rPr>
              <w:t>拍卖或者依法处理查封、扣押的场所、设施或者财物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排除妨碍、恢复原状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代履行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其他强制执行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5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申请法院强制执行数量</w:t>
            </w:r>
          </w:p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381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昌乐县医疗保障局</w:t>
            </w:r>
          </w:p>
        </w:tc>
        <w:tc>
          <w:tcPr>
            <w:tcW w:w="77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8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95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8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77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8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95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spacing w:line="280" w:lineRule="exact"/>
        <w:jc w:val="left"/>
        <w:rPr>
          <w:rFonts w:hint="eastAsia" w:ascii="黑体" w:hAnsi="黑体" w:eastAsia="黑体" w:cs="黑体"/>
        </w:rPr>
      </w:pPr>
    </w:p>
    <w:p>
      <w:pPr>
        <w:spacing w:line="28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1.统计范围为本年度1月1日至12月31日。</w:t>
      </w:r>
    </w:p>
    <w:p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2.行政强制措施实施数量是指作出“查封场所、设施或者财物、扣押财物、冻结存款、汇款或者其他行政强制措施”决定的数量。</w:t>
      </w:r>
    </w:p>
    <w:p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3.行政强制执行实施数量是指“加处罚款或者滞纳金、划拨存款、汇款、拍卖或者依法处理查封、扣押的场所、设施或者财物、 排除妨碍、恢复原状、代履行和其他强制执行方式”等执行完毕或者终结执行的数量。</w:t>
      </w:r>
    </w:p>
    <w:p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4.其他强制执行方式，如《城乡规划法》规定的强制拆除；《煤炭法》规定的强制停产、强制消除安全隐患；《金银管理条例》规 定的强制收购；《外汇管理条例》规定的回兑等。</w:t>
      </w:r>
    </w:p>
    <w:p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5.申请法院强制执行数量是指向法院申请强制执行的数量，时间以申请日期为准。</w:t>
      </w:r>
    </w:p>
    <w:p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4．昌乐县医疗保障局2023年度行政征收征用情况统计表</w:t>
      </w:r>
    </w:p>
    <w:p>
      <w:pPr>
        <w:spacing w:line="480" w:lineRule="exact"/>
        <w:rPr>
          <w:rFonts w:ascii="仿宋_GB2312" w:hAnsi="仿宋_GB2312" w:eastAsia="仿宋_GB2312" w:cs="仿宋_GB2312"/>
          <w:szCs w:val="32"/>
        </w:rPr>
      </w:pPr>
    </w:p>
    <w:tbl>
      <w:tblPr>
        <w:tblStyle w:val="4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1980"/>
        <w:gridCol w:w="2488"/>
        <w:gridCol w:w="3453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437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792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行政征收数量</w:t>
            </w:r>
          </w:p>
        </w:tc>
        <w:tc>
          <w:tcPr>
            <w:tcW w:w="2602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行政征用数量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437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行政收费（次）</w:t>
            </w:r>
          </w:p>
        </w:tc>
        <w:tc>
          <w:tcPr>
            <w:tcW w:w="248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行政收费数额（万元）</w:t>
            </w:r>
          </w:p>
        </w:tc>
        <w:tc>
          <w:tcPr>
            <w:tcW w:w="34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土地、房屋征收数量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  <w:tc>
          <w:tcPr>
            <w:tcW w:w="260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43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昌乐县医疗保障局</w:t>
            </w:r>
          </w:p>
        </w:tc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3437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</w:t>
            </w:r>
          </w:p>
        </w:tc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</w:tbl>
    <w:p>
      <w:pPr>
        <w:spacing w:line="280" w:lineRule="exact"/>
        <w:ind w:left="840" w:leftChars="400"/>
        <w:jc w:val="left"/>
        <w:rPr>
          <w:rFonts w:hint="eastAsia" w:ascii="黑体" w:hAnsi="黑体" w:eastAsia="黑体" w:cs="黑体"/>
        </w:rPr>
      </w:pPr>
    </w:p>
    <w:p>
      <w:pPr>
        <w:spacing w:line="280" w:lineRule="exact"/>
        <w:ind w:left="840" w:leftChars="4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>
      <w:pPr>
        <w:spacing w:line="280" w:lineRule="exact"/>
        <w:ind w:left="2100" w:leftChars="400" w:hanging="1260" w:hangingChars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                2.行政征收主要是指行政机关行政收费及土地、房产征收等情况。土地、房屋征收数量的统计，以政府正式批文为准。 （因征税属于中央垂直管理，不列入我省统计范围）。行政征用数量是指因抢险、救灾、反恐等公共利益需要而作出的行政征用决定的数量。</w:t>
      </w:r>
    </w:p>
    <w:p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</w:t>
      </w: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5．昌乐县医疗保障局2023年度行政检查情况统计表</w:t>
      </w: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tbl>
      <w:tblPr>
        <w:tblStyle w:val="4"/>
        <w:tblW w:w="130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2"/>
        <w:gridCol w:w="6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行政检查实施次数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昌乐县医疗保障局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84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378</w:t>
            </w:r>
          </w:p>
        </w:tc>
      </w:tr>
    </w:tbl>
    <w:p>
      <w:pPr>
        <w:spacing w:line="320" w:lineRule="exact"/>
        <w:ind w:firstLine="1050" w:firstLineChars="500"/>
        <w:rPr>
          <w:rFonts w:hint="eastAsia" w:ascii="黑体" w:hAnsi="黑体" w:eastAsia="黑体" w:cs="黑体"/>
        </w:rPr>
      </w:pPr>
    </w:p>
    <w:p>
      <w:pPr>
        <w:spacing w:line="320" w:lineRule="exact"/>
        <w:ind w:firstLine="1050" w:firstLineChars="500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>
      <w:pPr>
        <w:spacing w:line="320" w:lineRule="exact"/>
        <w:ind w:left="2310" w:leftChars="1000" w:hanging="210" w:hangingChars="1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2.行政检查的次数是指检查1个检查对象，有完整、详细的检查记录，计为检查1次。无特定检查对象的巡查、巡逻，无完整、详细检查记录，检查后作出行政处罚等其他行政执法行为的，均不计为检查次数。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spacing w:line="660" w:lineRule="exact"/>
        <w:rPr>
          <w:rFonts w:ascii="方正小标宋简体" w:hAnsi="仿宋" w:eastAsia="方正小标宋简体" w:cs="仿宋_GB2312"/>
          <w:bCs/>
          <w:sz w:val="44"/>
          <w:szCs w:val="44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YmFmYjJmYmJlMDQwYzBhMTBmNGMyYTM3YmViNDkifQ=="/>
    <w:docVar w:name="KSO_WPS_MARK_KEY" w:val="e348365b-244f-443c-aa92-ce97904e2878"/>
  </w:docVars>
  <w:rsids>
    <w:rsidRoot w:val="00CC55A7"/>
    <w:rsid w:val="003A0C3B"/>
    <w:rsid w:val="007B3A14"/>
    <w:rsid w:val="00CC55A7"/>
    <w:rsid w:val="05580032"/>
    <w:rsid w:val="0CE104BA"/>
    <w:rsid w:val="21EC5688"/>
    <w:rsid w:val="26C00340"/>
    <w:rsid w:val="2922407E"/>
    <w:rsid w:val="2EAD19CC"/>
    <w:rsid w:val="2ED33660"/>
    <w:rsid w:val="43B47115"/>
    <w:rsid w:val="48AD43C9"/>
    <w:rsid w:val="4E7506B3"/>
    <w:rsid w:val="50382A6C"/>
    <w:rsid w:val="51B46372"/>
    <w:rsid w:val="5E241B63"/>
    <w:rsid w:val="620F372C"/>
    <w:rsid w:val="64B26D6B"/>
    <w:rsid w:val="71465B23"/>
    <w:rsid w:val="76EC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1310</Words>
  <Characters>1358</Characters>
  <Lines>14</Lines>
  <Paragraphs>4</Paragraphs>
  <TotalTime>9</TotalTime>
  <ScaleCrop>false</ScaleCrop>
  <LinksUpToDate>false</LinksUpToDate>
  <CharactersWithSpaces>1383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2021-01-11T05:56:00Z</cp:lastPrinted>
  <dcterms:modified xsi:type="dcterms:W3CDTF">2024-01-18T06:22:49Z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C78CA969AF314500A590BE0D6B7DD242_13</vt:lpwstr>
  </property>
</Properties>
</file>