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黑体"/>
          <w:bCs/>
          <w:color w:val="333333"/>
          <w:sz w:val="21"/>
          <w:szCs w:val="21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auto"/>
          <w:sz w:val="44"/>
          <w:szCs w:val="44"/>
          <w:shd w:val="clear" w:color="auto" w:fill="FFFFFF"/>
          <w:lang w:eastAsia="zh-CN"/>
        </w:rPr>
        <w:t>宝都街道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shd w:val="clear" w:color="auto" w:fill="FFFFFF"/>
          <w:lang w:val="en-US" w:eastAsia="zh-CN"/>
        </w:rPr>
        <w:t>2019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shd w:val="clear" w:color="auto" w:fill="FFFFFF"/>
        </w:rPr>
        <w:t>年度政府信息公开工作报告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宝都街道严格按照《中华人民共和国政府信息公开条例》要求，将政府信息公开作为一项重要工作，精心组织，规范运行，现将有关情况报告如下：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（一）主动公开情况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昌乐县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政府门户网站共主动公开政府信息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依申请公开情况。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无依申请公开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名人员专门负责日常公开工作，并对政务公开信息量、完整性、时效性、准确性等进行严格检查，确保政府信息公开的各项工作任务保质保量完成。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（四）平台建设情况。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宝都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街道政府信息公开形式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有电子化公开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纸质化公开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种形式。电子化公开主要依托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“昌乐宝都”微信公众号、昌乐县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政府门户网站，纸质化公开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主要在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公开宣传栏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张贴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（五）监督保障情况。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严格落实主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体责任，把政务公开工作落实到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具体人员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。加强对信息公开工作的督查指导,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及时上报和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解决工作中出现的新情况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新问题。对于出现问题的方面,给予通报和追究责任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（六）建议提案办理结果公开情况。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2019年，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宝都街道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共承办政协提案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件，办复率100%。</w:t>
      </w:r>
    </w:p>
    <w:p>
      <w:pPr>
        <w:pStyle w:val="4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第二十条第（一）项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对外公开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总数量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第二十条第（五）项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第二十条第（六）项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第二十条第（八）项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本年增/减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 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第二十条第（九）项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采购总金额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auto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jc w:val="both"/>
        <w:rPr>
          <w:rFonts w:hint="eastAsia" w:ascii="黑体" w:hAnsi="黑体" w:eastAsia="黑体" w:cs="黑体"/>
          <w:b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/>
        <w:ind w:firstLine="640" w:firstLineChars="200"/>
        <w:jc w:val="both"/>
        <w:textAlignment w:val="auto"/>
        <w:rPr>
          <w:rFonts w:ascii="宋体" w:hAnsi="宋体" w:eastAsia="宋体" w:cs="宋体"/>
          <w:color w:val="auto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ascii="Calibri" w:hAnsi="Calibri" w:cs="Calibri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在上级部门的大力指导支持下，政府信息公开工作有了一定的进展，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但也存在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不足之处，主要表现在：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公开工作人员业务水平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不高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；二是主动公开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信息内容有待进一步充实。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在接下来的工作中，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加强业务学习，积极与上级部门沟通对接，提升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公开工作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的水平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；二是要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充实公开内容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梳理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街道需要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内容，做到真实、具体、全面。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eastAsia="zh-CN"/>
        </w:rPr>
        <w:t>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000D1159"/>
    <w:rsid w:val="002C5B52"/>
    <w:rsid w:val="003F475E"/>
    <w:rsid w:val="00476ACF"/>
    <w:rsid w:val="00901FD7"/>
    <w:rsid w:val="009844C0"/>
    <w:rsid w:val="00AD3CA8"/>
    <w:rsid w:val="00B121CD"/>
    <w:rsid w:val="00C26EFC"/>
    <w:rsid w:val="01AA33F5"/>
    <w:rsid w:val="08035C63"/>
    <w:rsid w:val="0EEC5AAA"/>
    <w:rsid w:val="1E4E3F65"/>
    <w:rsid w:val="24A2725C"/>
    <w:rsid w:val="25A800ED"/>
    <w:rsid w:val="274466E4"/>
    <w:rsid w:val="28275630"/>
    <w:rsid w:val="2972653E"/>
    <w:rsid w:val="2E223195"/>
    <w:rsid w:val="313E1486"/>
    <w:rsid w:val="37464714"/>
    <w:rsid w:val="39B12AE3"/>
    <w:rsid w:val="3A3815AB"/>
    <w:rsid w:val="3CFF3542"/>
    <w:rsid w:val="40066E40"/>
    <w:rsid w:val="4B24395B"/>
    <w:rsid w:val="51DA7BFD"/>
    <w:rsid w:val="56015F00"/>
    <w:rsid w:val="5C7B7A1F"/>
    <w:rsid w:val="5CDD2F30"/>
    <w:rsid w:val="5DD73EFD"/>
    <w:rsid w:val="66FE0234"/>
    <w:rsid w:val="7B4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876</Words>
  <Characters>4999</Characters>
  <Lines>41</Lines>
  <Paragraphs>11</Paragraphs>
  <TotalTime>28</TotalTime>
  <ScaleCrop>false</ScaleCrop>
  <LinksUpToDate>false</LinksUpToDate>
  <CharactersWithSpaces>5864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lenovo</cp:lastModifiedBy>
  <cp:lastPrinted>2020-01-09T01:49:00Z</cp:lastPrinted>
  <dcterms:modified xsi:type="dcterms:W3CDTF">2020-06-16T06:15:02Z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