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color w:val="000000" w:themeColor="text1"/>
          <w:sz w:val="32"/>
          <w:szCs w:val="32"/>
          <w:shd w:val="clear" w:color="auto" w:fill="FFFFFF"/>
          <w:lang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文星标宋" w:hAnsi="文星标宋" w:eastAsia="文星标宋" w:cs="文星标宋"/>
          <w:b/>
          <w:bCs/>
          <w:color w:val="auto"/>
          <w:sz w:val="44"/>
          <w:szCs w:val="44"/>
          <w:shd w:val="clear" w:color="auto" w:fill="FFFFFF"/>
        </w:rPr>
      </w:pPr>
      <w:bookmarkStart w:id="0" w:name="_GoBack"/>
      <w:r>
        <w:rPr>
          <w:rFonts w:hint="eastAsia" w:ascii="文星标宋" w:hAnsi="文星标宋" w:eastAsia="文星标宋" w:cs="文星标宋"/>
          <w:b/>
          <w:bCs/>
          <w:color w:val="auto"/>
          <w:sz w:val="44"/>
          <w:szCs w:val="44"/>
          <w:shd w:val="clear" w:color="auto" w:fill="FFFFFF"/>
          <w:lang w:eastAsia="zh-CN"/>
        </w:rPr>
        <w:t>宝都街道</w:t>
      </w:r>
      <w:r>
        <w:rPr>
          <w:rFonts w:hint="eastAsia" w:ascii="文星标宋" w:hAnsi="文星标宋" w:eastAsia="文星标宋" w:cs="文星标宋"/>
          <w:b/>
          <w:bCs/>
          <w:color w:val="auto"/>
          <w:sz w:val="44"/>
          <w:szCs w:val="44"/>
          <w:shd w:val="clear" w:color="auto" w:fill="FFFFFF"/>
          <w:lang w:val="en-US" w:eastAsia="zh-CN"/>
        </w:rPr>
        <w:t>2020</w:t>
      </w:r>
      <w:r>
        <w:rPr>
          <w:rFonts w:hint="eastAsia" w:ascii="文星标宋" w:hAnsi="文星标宋" w:eastAsia="文星标宋" w:cs="文星标宋"/>
          <w:b/>
          <w:bCs/>
          <w:color w:val="auto"/>
          <w:sz w:val="44"/>
          <w:szCs w:val="44"/>
          <w:shd w:val="clear" w:color="auto" w:fill="FFFFFF"/>
        </w:rPr>
        <w:t>年政府信息公开工作</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文星标宋" w:hAnsi="文星标宋" w:eastAsia="文星标宋" w:cs="文星标宋"/>
          <w:b/>
          <w:bCs/>
          <w:color w:val="auto"/>
          <w:sz w:val="44"/>
          <w:szCs w:val="44"/>
          <w:shd w:val="clear" w:color="auto" w:fill="FFFFFF"/>
        </w:rPr>
      </w:pPr>
      <w:r>
        <w:rPr>
          <w:rFonts w:hint="eastAsia" w:ascii="文星标宋" w:hAnsi="文星标宋" w:eastAsia="文星标宋" w:cs="文星标宋"/>
          <w:b/>
          <w:bCs/>
          <w:color w:val="auto"/>
          <w:sz w:val="44"/>
          <w:szCs w:val="44"/>
          <w:shd w:val="clear" w:color="auto" w:fill="FFFFFF"/>
          <w:lang w:eastAsia="zh-CN"/>
        </w:rPr>
        <w:t>年度</w:t>
      </w:r>
      <w:r>
        <w:rPr>
          <w:rFonts w:hint="eastAsia" w:ascii="文星标宋" w:hAnsi="文星标宋" w:eastAsia="文星标宋" w:cs="文星标宋"/>
          <w:b/>
          <w:bCs/>
          <w:color w:val="auto"/>
          <w:sz w:val="44"/>
          <w:szCs w:val="44"/>
          <w:shd w:val="clear" w:color="auto" w:fill="FFFFFF"/>
        </w:rPr>
        <w:t>报告</w:t>
      </w:r>
      <w:bookmarkEnd w:id="0"/>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bCs/>
          <w:color w:val="auto"/>
          <w:sz w:val="32"/>
          <w:szCs w:val="32"/>
          <w:shd w:val="clear" w:color="auto" w:fill="FFFFFF"/>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根据《中华人民共和国政府信息公开条例》《山东省政府信息公开办法》要求，结合街道实际，编制并向社会公布宝都街道2020年度政府信息公开工作报告。本年度报告中所列数据的统计期限自2020年1月1日起，至2020年12月31日止。如对本报告有疑问，请联系宝都街道文化体育广播服务中心，联系电话：13022787916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一、总体情况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20</w:t>
      </w:r>
      <w:r>
        <w:rPr>
          <w:rFonts w:hint="eastAsia" w:ascii="仿宋_GB2312" w:hAnsi="仿宋_GB2312" w:eastAsia="仿宋_GB2312" w:cs="仿宋_GB2312"/>
          <w:i w:val="0"/>
          <w:caps w:val="0"/>
          <w:color w:val="000000"/>
          <w:spacing w:val="0"/>
          <w:sz w:val="32"/>
          <w:szCs w:val="32"/>
          <w:shd w:val="clear" w:fill="FFFFFF"/>
          <w:lang w:val="en-US" w:eastAsia="zh-CN"/>
        </w:rPr>
        <w:t>20</w:t>
      </w:r>
      <w:r>
        <w:rPr>
          <w:rFonts w:hint="eastAsia" w:ascii="仿宋_GB2312" w:hAnsi="仿宋_GB2312" w:eastAsia="仿宋_GB2312" w:cs="仿宋_GB2312"/>
          <w:i w:val="0"/>
          <w:caps w:val="0"/>
          <w:color w:val="000000"/>
          <w:spacing w:val="0"/>
          <w:sz w:val="32"/>
          <w:szCs w:val="32"/>
          <w:shd w:val="clear" w:fill="FFFFFF"/>
        </w:rPr>
        <w:t>年，</w:t>
      </w:r>
      <w:r>
        <w:rPr>
          <w:rFonts w:hint="eastAsia" w:ascii="仿宋_GB2312" w:hAnsi="仿宋_GB2312" w:eastAsia="仿宋_GB2312" w:cs="仿宋_GB2312"/>
          <w:i w:val="0"/>
          <w:caps w:val="0"/>
          <w:color w:val="000000"/>
          <w:spacing w:val="0"/>
          <w:sz w:val="32"/>
          <w:szCs w:val="32"/>
          <w:shd w:val="clear" w:fill="FFFFFF"/>
          <w:lang w:val="en-US" w:eastAsia="zh-CN"/>
        </w:rPr>
        <w:t>宝都街道紧紧围绕上级</w:t>
      </w:r>
      <w:r>
        <w:rPr>
          <w:rFonts w:hint="eastAsia" w:ascii="仿宋_GB2312" w:hAnsi="仿宋_GB2312" w:eastAsia="仿宋_GB2312" w:cs="仿宋_GB2312"/>
          <w:i w:val="0"/>
          <w:caps w:val="0"/>
          <w:color w:val="000000"/>
          <w:spacing w:val="0"/>
          <w:sz w:val="32"/>
          <w:szCs w:val="32"/>
          <w:shd w:val="clear" w:fill="FFFFFF"/>
        </w:rPr>
        <w:t>关于政府信息公开工作的部署要求，进一步调整优化公开目录，丰富公开形式，及时回应社会关切，不断提升</w:t>
      </w:r>
      <w:r>
        <w:rPr>
          <w:rFonts w:hint="eastAsia" w:ascii="仿宋_GB2312" w:hAnsi="仿宋_GB2312" w:eastAsia="仿宋_GB2312" w:cs="仿宋_GB2312"/>
          <w:i w:val="0"/>
          <w:caps w:val="0"/>
          <w:color w:val="000000"/>
          <w:spacing w:val="0"/>
          <w:sz w:val="32"/>
          <w:szCs w:val="32"/>
          <w:shd w:val="clear" w:fill="FFFFFF"/>
          <w:lang w:val="en-US" w:eastAsia="zh-CN"/>
        </w:rPr>
        <w:t>街道</w:t>
      </w:r>
      <w:r>
        <w:rPr>
          <w:rFonts w:hint="eastAsia" w:ascii="仿宋_GB2312" w:hAnsi="仿宋_GB2312" w:eastAsia="仿宋_GB2312" w:cs="仿宋_GB2312"/>
          <w:i w:val="0"/>
          <w:caps w:val="0"/>
          <w:color w:val="000000"/>
          <w:spacing w:val="0"/>
          <w:sz w:val="32"/>
          <w:szCs w:val="32"/>
          <w:shd w:val="clear" w:fill="FFFFFF"/>
        </w:rPr>
        <w:t>信息公开工作力度和实效。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shd w:val="clear" w:fill="FFFFFF"/>
          <w:lang w:eastAsia="zh-CN"/>
        </w:rPr>
        <w:t>（</w:t>
      </w:r>
      <w:r>
        <w:rPr>
          <w:rFonts w:hint="eastAsia" w:ascii="楷体_GB2312" w:hAnsi="楷体_GB2312" w:eastAsia="楷体_GB2312" w:cs="楷体_GB2312"/>
          <w:i w:val="0"/>
          <w:caps w:val="0"/>
          <w:color w:val="000000"/>
          <w:spacing w:val="0"/>
          <w:sz w:val="32"/>
          <w:szCs w:val="32"/>
          <w:shd w:val="clear" w:fill="FFFFFF"/>
          <w:lang w:val="en-US" w:eastAsia="zh-CN"/>
        </w:rPr>
        <w:t>一</w:t>
      </w:r>
      <w:r>
        <w:rPr>
          <w:rFonts w:hint="eastAsia" w:ascii="楷体_GB2312" w:hAnsi="楷体_GB2312" w:eastAsia="楷体_GB2312" w:cs="楷体_GB2312"/>
          <w:i w:val="0"/>
          <w:caps w:val="0"/>
          <w:color w:val="000000"/>
          <w:spacing w:val="0"/>
          <w:sz w:val="32"/>
          <w:szCs w:val="32"/>
          <w:shd w:val="clear" w:fill="FFFFFF"/>
          <w:lang w:eastAsia="zh-CN"/>
        </w:rPr>
        <w:t>）</w:t>
      </w:r>
      <w:r>
        <w:rPr>
          <w:rFonts w:hint="eastAsia" w:ascii="楷体_GB2312" w:hAnsi="楷体_GB2312" w:eastAsia="楷体_GB2312" w:cs="楷体_GB2312"/>
          <w:i w:val="0"/>
          <w:caps w:val="0"/>
          <w:color w:val="000000"/>
          <w:spacing w:val="0"/>
          <w:sz w:val="32"/>
          <w:szCs w:val="32"/>
          <w:shd w:val="clear" w:fill="FFFFFF"/>
        </w:rPr>
        <w:t>主动公开情况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截止20</w:t>
      </w:r>
      <w:r>
        <w:rPr>
          <w:rFonts w:hint="eastAsia" w:ascii="仿宋_GB2312" w:hAnsi="仿宋_GB2312" w:eastAsia="仿宋_GB2312" w:cs="仿宋_GB2312"/>
          <w:i w:val="0"/>
          <w:caps w:val="0"/>
          <w:color w:val="000000"/>
          <w:spacing w:val="0"/>
          <w:sz w:val="32"/>
          <w:szCs w:val="32"/>
          <w:shd w:val="clear" w:fill="FFFFFF"/>
          <w:lang w:val="en-US" w:eastAsia="zh-CN"/>
        </w:rPr>
        <w:t>20</w:t>
      </w:r>
      <w:r>
        <w:rPr>
          <w:rFonts w:hint="eastAsia" w:ascii="仿宋_GB2312" w:hAnsi="仿宋_GB2312" w:eastAsia="仿宋_GB2312" w:cs="仿宋_GB2312"/>
          <w:i w:val="0"/>
          <w:caps w:val="0"/>
          <w:color w:val="000000"/>
          <w:spacing w:val="0"/>
          <w:sz w:val="32"/>
          <w:szCs w:val="32"/>
          <w:shd w:val="clear" w:fill="FFFFFF"/>
        </w:rPr>
        <w:t>年12月31日，主动公开政府信息</w:t>
      </w:r>
      <w:r>
        <w:rPr>
          <w:rFonts w:hint="eastAsia" w:ascii="仿宋_GB2312" w:hAnsi="仿宋_GB2312" w:eastAsia="仿宋_GB2312" w:cs="仿宋_GB2312"/>
          <w:i w:val="0"/>
          <w:caps w:val="0"/>
          <w:color w:val="000000"/>
          <w:spacing w:val="0"/>
          <w:sz w:val="32"/>
          <w:szCs w:val="32"/>
          <w:shd w:val="clear" w:fill="FFFFFF"/>
          <w:lang w:val="en-US" w:eastAsia="zh-CN"/>
        </w:rPr>
        <w:t>213</w:t>
      </w:r>
      <w:r>
        <w:rPr>
          <w:rFonts w:hint="eastAsia" w:ascii="仿宋_GB2312" w:hAnsi="仿宋_GB2312" w:eastAsia="仿宋_GB2312" w:cs="仿宋_GB2312"/>
          <w:i w:val="0"/>
          <w:caps w:val="0"/>
          <w:color w:val="000000"/>
          <w:spacing w:val="0"/>
          <w:sz w:val="32"/>
          <w:szCs w:val="32"/>
          <w:shd w:val="clear" w:fill="FFFFFF"/>
        </w:rPr>
        <w:t>条。其中，依托昌乐县政府门户网站共主动公开政府信息</w:t>
      </w:r>
      <w:r>
        <w:rPr>
          <w:rFonts w:hint="eastAsia" w:ascii="仿宋_GB2312" w:hAnsi="仿宋_GB2312" w:eastAsia="仿宋_GB2312" w:cs="仿宋_GB2312"/>
          <w:i w:val="0"/>
          <w:caps w:val="0"/>
          <w:color w:val="000000"/>
          <w:spacing w:val="0"/>
          <w:sz w:val="32"/>
          <w:szCs w:val="32"/>
          <w:shd w:val="clear" w:fill="FFFFFF"/>
          <w:lang w:val="en-US" w:eastAsia="zh-CN"/>
        </w:rPr>
        <w:t>25</w:t>
      </w:r>
      <w:r>
        <w:rPr>
          <w:rFonts w:hint="eastAsia" w:ascii="仿宋_GB2312" w:hAnsi="仿宋_GB2312" w:eastAsia="仿宋_GB2312" w:cs="仿宋_GB2312"/>
          <w:i w:val="0"/>
          <w:caps w:val="0"/>
          <w:color w:val="000000"/>
          <w:spacing w:val="0"/>
          <w:sz w:val="32"/>
          <w:szCs w:val="32"/>
          <w:shd w:val="clear" w:fill="FFFFFF"/>
        </w:rPr>
        <w:t>条</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通过微信</w:t>
      </w:r>
      <w:r>
        <w:rPr>
          <w:rFonts w:hint="eastAsia" w:ascii="仿宋_GB2312" w:hAnsi="仿宋_GB2312" w:eastAsia="仿宋_GB2312" w:cs="仿宋_GB2312"/>
          <w:i w:val="0"/>
          <w:caps w:val="0"/>
          <w:color w:val="000000"/>
          <w:spacing w:val="0"/>
          <w:sz w:val="32"/>
          <w:szCs w:val="32"/>
          <w:shd w:val="clear" w:fill="FFFFFF"/>
          <w:lang w:val="en-US" w:eastAsia="zh-CN"/>
        </w:rPr>
        <w:t>公众号</w:t>
      </w:r>
      <w:r>
        <w:rPr>
          <w:rFonts w:hint="eastAsia" w:ascii="仿宋_GB2312" w:hAnsi="仿宋_GB2312" w:eastAsia="仿宋_GB2312" w:cs="仿宋_GB2312"/>
          <w:i w:val="0"/>
          <w:caps w:val="0"/>
          <w:color w:val="000000"/>
          <w:spacing w:val="0"/>
          <w:sz w:val="32"/>
          <w:szCs w:val="32"/>
          <w:shd w:val="clear" w:fill="FFFFFF"/>
        </w:rPr>
        <w:t>主动公开政府信息</w:t>
      </w:r>
      <w:r>
        <w:rPr>
          <w:rFonts w:hint="eastAsia" w:ascii="仿宋_GB2312" w:hAnsi="仿宋_GB2312" w:eastAsia="仿宋_GB2312" w:cs="仿宋_GB2312"/>
          <w:i w:val="0"/>
          <w:caps w:val="0"/>
          <w:color w:val="000000"/>
          <w:spacing w:val="0"/>
          <w:sz w:val="32"/>
          <w:szCs w:val="32"/>
          <w:shd w:val="clear" w:fill="FFFFFF"/>
          <w:lang w:val="en-US" w:eastAsia="zh-CN"/>
        </w:rPr>
        <w:t>188</w:t>
      </w:r>
      <w:r>
        <w:rPr>
          <w:rFonts w:hint="eastAsia" w:ascii="仿宋_GB2312" w:hAnsi="仿宋_GB2312" w:eastAsia="仿宋_GB2312" w:cs="仿宋_GB2312"/>
          <w:i w:val="0"/>
          <w:caps w:val="0"/>
          <w:color w:val="000000"/>
          <w:spacing w:val="0"/>
          <w:sz w:val="32"/>
          <w:szCs w:val="32"/>
          <w:shd w:val="clear" w:fill="FFFFFF"/>
        </w:rPr>
        <w:t>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480" w:firstLineChars="200"/>
        <w:jc w:val="both"/>
        <w:textAlignment w:val="auto"/>
        <w:rPr>
          <w:rFonts w:hint="eastAsia" w:ascii="仿宋_GB2312" w:hAnsi="仿宋_GB2312" w:eastAsia="仿宋_GB2312" w:cs="仿宋_GB2312"/>
          <w:i w:val="0"/>
          <w:caps w:val="0"/>
          <w:color w:val="000000"/>
          <w:spacing w:val="0"/>
          <w:sz w:val="32"/>
          <w:szCs w:val="32"/>
          <w:shd w:val="clear" w:fill="FFFFFF"/>
        </w:rPr>
      </w:pPr>
      <w:r>
        <w:drawing>
          <wp:anchor distT="0" distB="0" distL="114935" distR="114935" simplePos="0" relativeHeight="251660288" behindDoc="0" locked="0" layoutInCell="1" allowOverlap="1">
            <wp:simplePos x="0" y="0"/>
            <wp:positionH relativeFrom="column">
              <wp:posOffset>-28575</wp:posOffset>
            </wp:positionH>
            <wp:positionV relativeFrom="paragraph">
              <wp:posOffset>123825</wp:posOffset>
            </wp:positionV>
            <wp:extent cx="5269865" cy="2506345"/>
            <wp:effectExtent l="0" t="0" r="6985" b="825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5269865" cy="2506345"/>
                    </a:xfrm>
                    <a:prstGeom prst="rect">
                      <a:avLst/>
                    </a:prstGeom>
                    <a:noFill/>
                    <a:ln>
                      <a:noFill/>
                    </a:ln>
                  </pic:spPr>
                </pic:pic>
              </a:graphicData>
            </a:graphic>
          </wp:anchor>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shd w:val="clear" w:fill="FFFFFF"/>
        </w:rPr>
        <w:t>（二）依申请公开情况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1.依申请公开情况。</w:t>
      </w:r>
      <w:r>
        <w:rPr>
          <w:rFonts w:hint="eastAsia" w:ascii="仿宋_GB2312" w:hAnsi="仿宋_GB2312" w:eastAsia="仿宋_GB2312" w:cs="仿宋_GB2312"/>
          <w:i w:val="0"/>
          <w:caps w:val="0"/>
          <w:color w:val="000000"/>
          <w:spacing w:val="0"/>
          <w:sz w:val="32"/>
          <w:szCs w:val="32"/>
          <w:shd w:val="clear" w:fill="FFFFFF"/>
          <w:lang w:val="en-US" w:eastAsia="zh-CN"/>
        </w:rPr>
        <w:t>宝都街道</w:t>
      </w:r>
      <w:r>
        <w:rPr>
          <w:rFonts w:hint="eastAsia" w:ascii="仿宋_GB2312" w:hAnsi="仿宋_GB2312" w:eastAsia="仿宋_GB2312" w:cs="仿宋_GB2312"/>
          <w:i w:val="0"/>
          <w:caps w:val="0"/>
          <w:color w:val="000000"/>
          <w:spacing w:val="0"/>
          <w:sz w:val="32"/>
          <w:szCs w:val="32"/>
          <w:shd w:val="clear" w:fill="FFFFFF"/>
        </w:rPr>
        <w:t>20</w:t>
      </w:r>
      <w:r>
        <w:rPr>
          <w:rFonts w:hint="eastAsia" w:ascii="仿宋_GB2312" w:hAnsi="仿宋_GB2312" w:eastAsia="仿宋_GB2312" w:cs="仿宋_GB2312"/>
          <w:i w:val="0"/>
          <w:caps w:val="0"/>
          <w:color w:val="000000"/>
          <w:spacing w:val="0"/>
          <w:sz w:val="32"/>
          <w:szCs w:val="32"/>
          <w:shd w:val="clear" w:fill="FFFFFF"/>
          <w:lang w:val="en-US" w:eastAsia="zh-CN"/>
        </w:rPr>
        <w:t>20</w:t>
      </w:r>
      <w:r>
        <w:rPr>
          <w:rFonts w:hint="eastAsia" w:ascii="仿宋_GB2312" w:hAnsi="仿宋_GB2312" w:eastAsia="仿宋_GB2312" w:cs="仿宋_GB2312"/>
          <w:i w:val="0"/>
          <w:caps w:val="0"/>
          <w:color w:val="000000"/>
          <w:spacing w:val="0"/>
          <w:sz w:val="32"/>
          <w:szCs w:val="32"/>
          <w:shd w:val="clear" w:fill="FFFFFF"/>
        </w:rPr>
        <w:t>年共收到政府信息公开申请</w:t>
      </w:r>
      <w:r>
        <w:rPr>
          <w:rFonts w:hint="eastAsia" w:ascii="仿宋_GB2312" w:hAnsi="仿宋_GB2312" w:eastAsia="仿宋_GB2312" w:cs="仿宋_GB2312"/>
          <w:i w:val="0"/>
          <w:caps w:val="0"/>
          <w:color w:val="000000"/>
          <w:spacing w:val="0"/>
          <w:sz w:val="32"/>
          <w:szCs w:val="32"/>
          <w:shd w:val="clear" w:fill="FFFFFF"/>
          <w:lang w:val="en-US" w:eastAsia="zh-CN"/>
        </w:rPr>
        <w:t>1</w:t>
      </w:r>
      <w:r>
        <w:rPr>
          <w:rFonts w:hint="eastAsia" w:ascii="仿宋_GB2312" w:hAnsi="仿宋_GB2312" w:eastAsia="仿宋_GB2312" w:cs="仿宋_GB2312"/>
          <w:i w:val="0"/>
          <w:caps w:val="0"/>
          <w:color w:val="000000"/>
          <w:spacing w:val="0"/>
          <w:sz w:val="32"/>
          <w:szCs w:val="32"/>
          <w:shd w:val="clear" w:fill="FFFFFF"/>
        </w:rPr>
        <w:t>件，其中网络申请1件，内容涉及</w:t>
      </w:r>
      <w:r>
        <w:rPr>
          <w:rFonts w:hint="eastAsia" w:ascii="仿宋_GB2312" w:hAnsi="仿宋_GB2312" w:eastAsia="仿宋_GB2312" w:cs="仿宋_GB2312"/>
          <w:i w:val="0"/>
          <w:caps w:val="0"/>
          <w:color w:val="000000"/>
          <w:spacing w:val="0"/>
          <w:sz w:val="32"/>
          <w:szCs w:val="32"/>
          <w:shd w:val="clear" w:fill="FFFFFF"/>
          <w:lang w:val="en-US" w:eastAsia="zh-CN"/>
        </w:rPr>
        <w:t>合同公开</w:t>
      </w:r>
      <w:r>
        <w:rPr>
          <w:rFonts w:hint="eastAsia" w:ascii="仿宋_GB2312" w:hAnsi="仿宋_GB2312" w:eastAsia="仿宋_GB2312" w:cs="仿宋_GB2312"/>
          <w:i w:val="0"/>
          <w:caps w:val="0"/>
          <w:color w:val="000000"/>
          <w:spacing w:val="0"/>
          <w:sz w:val="32"/>
          <w:szCs w:val="32"/>
          <w:shd w:val="clear" w:fill="FFFFFF"/>
        </w:rPr>
        <w:t>等方面。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2.申请处理情况。共答复政府信息公开申请</w:t>
      </w:r>
      <w:r>
        <w:rPr>
          <w:rFonts w:hint="eastAsia" w:ascii="仿宋_GB2312" w:hAnsi="仿宋_GB2312" w:eastAsia="仿宋_GB2312" w:cs="仿宋_GB2312"/>
          <w:i w:val="0"/>
          <w:caps w:val="0"/>
          <w:color w:val="000000"/>
          <w:spacing w:val="0"/>
          <w:sz w:val="32"/>
          <w:szCs w:val="32"/>
          <w:shd w:val="clear" w:fill="FFFFFF"/>
          <w:lang w:val="en-US" w:eastAsia="zh-CN"/>
        </w:rPr>
        <w:t>1</w:t>
      </w:r>
      <w:r>
        <w:rPr>
          <w:rFonts w:hint="eastAsia" w:ascii="仿宋_GB2312" w:hAnsi="仿宋_GB2312" w:eastAsia="仿宋_GB2312" w:cs="仿宋_GB2312"/>
          <w:i w:val="0"/>
          <w:caps w:val="0"/>
          <w:color w:val="000000"/>
          <w:spacing w:val="0"/>
          <w:sz w:val="32"/>
          <w:szCs w:val="32"/>
          <w:shd w:val="clear" w:fill="FFFFFF"/>
        </w:rPr>
        <w:t>件，按时办结</w:t>
      </w:r>
      <w:r>
        <w:rPr>
          <w:rFonts w:hint="eastAsia" w:ascii="仿宋_GB2312" w:hAnsi="仿宋_GB2312" w:eastAsia="仿宋_GB2312" w:cs="仿宋_GB2312"/>
          <w:i w:val="0"/>
          <w:caps w:val="0"/>
          <w:color w:val="000000"/>
          <w:spacing w:val="0"/>
          <w:sz w:val="32"/>
          <w:szCs w:val="32"/>
          <w:shd w:val="clear" w:fill="FFFFFF"/>
          <w:lang w:val="en-US" w:eastAsia="zh-CN"/>
        </w:rPr>
        <w:t>1</w:t>
      </w:r>
      <w:r>
        <w:rPr>
          <w:rFonts w:hint="eastAsia" w:ascii="仿宋_GB2312" w:hAnsi="仿宋_GB2312" w:eastAsia="仿宋_GB2312" w:cs="仿宋_GB2312"/>
          <w:i w:val="0"/>
          <w:caps w:val="0"/>
          <w:color w:val="000000"/>
          <w:spacing w:val="0"/>
          <w:sz w:val="32"/>
          <w:szCs w:val="32"/>
          <w:shd w:val="clear" w:fill="FFFFFF"/>
        </w:rPr>
        <w:t>件，按时办结率100%。。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　　3.申请行政复议、提起行政诉讼情况。全年未发生因政府信息公开被行政复议、提起行政诉讼情况。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shd w:val="clear" w:fill="FFFFFF"/>
        </w:rPr>
        <w:t>（三）政府信息管理情况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一是完善信息公开管理流程。建立政府信息公开工作全流程管理机制，设置具体经办人员、</w:t>
      </w:r>
      <w:r>
        <w:rPr>
          <w:rFonts w:hint="eastAsia" w:ascii="仿宋_GB2312" w:hAnsi="仿宋_GB2312" w:eastAsia="仿宋_GB2312" w:cs="仿宋_GB2312"/>
          <w:i w:val="0"/>
          <w:caps w:val="0"/>
          <w:color w:val="000000"/>
          <w:spacing w:val="0"/>
          <w:sz w:val="32"/>
          <w:szCs w:val="32"/>
          <w:shd w:val="clear" w:fill="FFFFFF"/>
          <w:lang w:val="en-US" w:eastAsia="zh-CN"/>
        </w:rPr>
        <w:t>站所长</w:t>
      </w:r>
      <w:r>
        <w:rPr>
          <w:rFonts w:hint="eastAsia" w:ascii="仿宋_GB2312" w:hAnsi="仿宋_GB2312" w:eastAsia="仿宋_GB2312" w:cs="仿宋_GB2312"/>
          <w:i w:val="0"/>
          <w:caps w:val="0"/>
          <w:color w:val="000000"/>
          <w:spacing w:val="0"/>
          <w:sz w:val="32"/>
          <w:szCs w:val="32"/>
          <w:shd w:val="clear" w:fill="FFFFFF"/>
        </w:rPr>
        <w:t>、</w:t>
      </w:r>
      <w:r>
        <w:rPr>
          <w:rFonts w:hint="eastAsia" w:ascii="仿宋_GB2312" w:hAnsi="仿宋_GB2312" w:eastAsia="仿宋_GB2312" w:cs="仿宋_GB2312"/>
          <w:i w:val="0"/>
          <w:caps w:val="0"/>
          <w:color w:val="000000"/>
          <w:spacing w:val="0"/>
          <w:sz w:val="32"/>
          <w:szCs w:val="32"/>
          <w:shd w:val="clear" w:fill="FFFFFF"/>
          <w:lang w:val="en-US" w:eastAsia="zh-CN"/>
        </w:rPr>
        <w:t>分管领导</w:t>
      </w:r>
      <w:r>
        <w:rPr>
          <w:rFonts w:hint="eastAsia" w:ascii="仿宋_GB2312" w:hAnsi="仿宋_GB2312" w:eastAsia="仿宋_GB2312" w:cs="仿宋_GB2312"/>
          <w:i w:val="0"/>
          <w:caps w:val="0"/>
          <w:color w:val="000000"/>
          <w:spacing w:val="0"/>
          <w:sz w:val="32"/>
          <w:szCs w:val="32"/>
          <w:shd w:val="clear" w:fill="FFFFFF"/>
        </w:rPr>
        <w:t>审核把关机制，重要信息须</w:t>
      </w:r>
      <w:r>
        <w:rPr>
          <w:rFonts w:hint="eastAsia" w:ascii="仿宋_GB2312" w:hAnsi="仿宋_GB2312" w:eastAsia="仿宋_GB2312" w:cs="仿宋_GB2312"/>
          <w:i w:val="0"/>
          <w:caps w:val="0"/>
          <w:color w:val="000000"/>
          <w:spacing w:val="0"/>
          <w:sz w:val="32"/>
          <w:szCs w:val="32"/>
          <w:shd w:val="clear" w:fill="FFFFFF"/>
          <w:lang w:val="en-US" w:eastAsia="zh-CN"/>
        </w:rPr>
        <w:t>街道</w:t>
      </w:r>
      <w:r>
        <w:rPr>
          <w:rFonts w:hint="eastAsia" w:ascii="仿宋_GB2312" w:hAnsi="仿宋_GB2312" w:eastAsia="仿宋_GB2312" w:cs="仿宋_GB2312"/>
          <w:i w:val="0"/>
          <w:caps w:val="0"/>
          <w:color w:val="000000"/>
          <w:spacing w:val="0"/>
          <w:sz w:val="32"/>
          <w:szCs w:val="32"/>
          <w:shd w:val="clear" w:fill="FFFFFF"/>
        </w:rPr>
        <w:t>分管负责人把关审签，最大限度保证公开内容经得起审查。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shd w:val="clear" w:fill="FFFFFF"/>
        </w:rPr>
        <w:t>（四）平台建设情况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rPr>
        <w:t>宝都街道政府信息公开形式主要有电子化公开和纸质化公开两种形式。电子化公开主要依托“昌乐宝都”微信公众号、昌乐县政府门户网站，纸质化公开主要在街道公开宣传栏张贴。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楷体_GB2312" w:hAnsi="楷体_GB2312" w:eastAsia="楷体_GB2312" w:cs="楷体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     </w:t>
      </w:r>
      <w:r>
        <w:rPr>
          <w:rFonts w:hint="eastAsia" w:ascii="楷体_GB2312" w:hAnsi="楷体_GB2312" w:eastAsia="楷体_GB2312" w:cs="楷体_GB2312"/>
          <w:i w:val="0"/>
          <w:caps w:val="0"/>
          <w:color w:val="000000"/>
          <w:spacing w:val="0"/>
          <w:sz w:val="32"/>
          <w:szCs w:val="32"/>
          <w:shd w:val="clear" w:fill="FFFFFF"/>
        </w:rPr>
        <w:t>（五）机构建设及人员配置情况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lang w:val="en-US" w:eastAsia="zh-CN"/>
        </w:rPr>
        <w:t>明确政务公开工作分管负责人，具体</w:t>
      </w:r>
      <w:r>
        <w:rPr>
          <w:rFonts w:hint="eastAsia" w:ascii="仿宋_GB2312" w:hAnsi="仿宋_GB2312" w:eastAsia="仿宋_GB2312" w:cs="仿宋_GB2312"/>
          <w:i w:val="0"/>
          <w:caps w:val="0"/>
          <w:color w:val="000000"/>
          <w:spacing w:val="0"/>
          <w:sz w:val="32"/>
          <w:szCs w:val="32"/>
          <w:shd w:val="clear" w:fill="FFFFFF"/>
        </w:rPr>
        <w:t>2名人员专门负责日常公开工作。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i w:val="0"/>
          <w:caps w:val="0"/>
          <w:color w:val="000000"/>
          <w:spacing w:val="0"/>
          <w:sz w:val="32"/>
          <w:szCs w:val="32"/>
          <w:shd w:val="clear" w:fill="FFFFFF"/>
        </w:rPr>
      </w:pPr>
      <w:r>
        <w:drawing>
          <wp:anchor distT="0" distB="0" distL="114935" distR="114935" simplePos="0" relativeHeight="251658240" behindDoc="0" locked="0" layoutInCell="1" allowOverlap="1">
            <wp:simplePos x="0" y="0"/>
            <wp:positionH relativeFrom="column">
              <wp:posOffset>76200</wp:posOffset>
            </wp:positionH>
            <wp:positionV relativeFrom="paragraph">
              <wp:posOffset>94615</wp:posOffset>
            </wp:positionV>
            <wp:extent cx="5263515" cy="1871980"/>
            <wp:effectExtent l="0" t="0" r="13335" b="1397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63515" cy="1871980"/>
                    </a:xfrm>
                    <a:prstGeom prst="rect">
                      <a:avLst/>
                    </a:prstGeom>
                    <a:noFill/>
                    <a:ln>
                      <a:noFill/>
                    </a:ln>
                  </pic:spPr>
                </pic:pic>
              </a:graphicData>
            </a:graphic>
          </wp:anchor>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shd w:val="clear" w:fill="FFFFFF"/>
        </w:rPr>
        <w:t>（六）监督保障情况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1.强化考核监督。坚持提高站位，将政府信息公开工作，纳入年度绩效考核体系，激发</w:t>
      </w:r>
      <w:r>
        <w:rPr>
          <w:rFonts w:hint="eastAsia" w:ascii="仿宋_GB2312" w:hAnsi="仿宋_GB2312" w:eastAsia="仿宋_GB2312" w:cs="仿宋_GB2312"/>
          <w:i w:val="0"/>
          <w:caps w:val="0"/>
          <w:color w:val="000000"/>
          <w:spacing w:val="0"/>
          <w:sz w:val="32"/>
          <w:szCs w:val="32"/>
          <w:shd w:val="clear" w:fill="FFFFFF"/>
          <w:lang w:val="en-US" w:eastAsia="zh-CN"/>
        </w:rPr>
        <w:t>街道</w:t>
      </w:r>
      <w:r>
        <w:rPr>
          <w:rFonts w:hint="eastAsia" w:ascii="仿宋_GB2312" w:hAnsi="仿宋_GB2312" w:eastAsia="仿宋_GB2312" w:cs="仿宋_GB2312"/>
          <w:i w:val="0"/>
          <w:caps w:val="0"/>
          <w:color w:val="000000"/>
          <w:spacing w:val="0"/>
          <w:sz w:val="32"/>
          <w:szCs w:val="32"/>
          <w:shd w:val="clear" w:fill="FFFFFF"/>
        </w:rPr>
        <w:t>政府信息公开工作积极性和主动性。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2.完善工作机制。以网站为依托，明确规定各</w:t>
      </w:r>
      <w:r>
        <w:rPr>
          <w:rFonts w:hint="eastAsia" w:ascii="仿宋_GB2312" w:hAnsi="仿宋_GB2312" w:eastAsia="仿宋_GB2312" w:cs="仿宋_GB2312"/>
          <w:i w:val="0"/>
          <w:caps w:val="0"/>
          <w:color w:val="000000"/>
          <w:spacing w:val="0"/>
          <w:sz w:val="32"/>
          <w:szCs w:val="32"/>
          <w:shd w:val="clear" w:fill="FFFFFF"/>
          <w:lang w:val="en-US" w:eastAsia="zh-CN"/>
        </w:rPr>
        <w:t>站办所任务</w:t>
      </w:r>
      <w:r>
        <w:rPr>
          <w:rFonts w:hint="eastAsia" w:ascii="仿宋_GB2312" w:hAnsi="仿宋_GB2312" w:eastAsia="仿宋_GB2312" w:cs="仿宋_GB2312"/>
          <w:i w:val="0"/>
          <w:caps w:val="0"/>
          <w:color w:val="000000"/>
          <w:spacing w:val="0"/>
          <w:sz w:val="32"/>
          <w:szCs w:val="32"/>
          <w:shd w:val="clear" w:fill="FFFFFF"/>
        </w:rPr>
        <w:t>，压实各级责任。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3.抓好队伍培训。积极参加</w:t>
      </w:r>
      <w:r>
        <w:rPr>
          <w:rFonts w:hint="eastAsia" w:ascii="仿宋_GB2312" w:hAnsi="仿宋_GB2312" w:eastAsia="仿宋_GB2312" w:cs="仿宋_GB2312"/>
          <w:i w:val="0"/>
          <w:caps w:val="0"/>
          <w:color w:val="000000"/>
          <w:spacing w:val="0"/>
          <w:sz w:val="32"/>
          <w:szCs w:val="32"/>
          <w:shd w:val="clear" w:fill="FFFFFF"/>
          <w:lang w:val="en-US" w:eastAsia="zh-CN"/>
        </w:rPr>
        <w:t>县</w:t>
      </w:r>
      <w:r>
        <w:rPr>
          <w:rFonts w:hint="eastAsia" w:ascii="仿宋_GB2312" w:hAnsi="仿宋_GB2312" w:eastAsia="仿宋_GB2312" w:cs="仿宋_GB2312"/>
          <w:i w:val="0"/>
          <w:caps w:val="0"/>
          <w:color w:val="000000"/>
          <w:spacing w:val="0"/>
          <w:sz w:val="32"/>
          <w:szCs w:val="32"/>
          <w:shd w:val="clear" w:fill="FFFFFF"/>
        </w:rPr>
        <w:t>政府组织的政府信息公开工作会议和业务培训，切实提高对政府信息公开工作的认识水平和工作能力。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 xml:space="preserve">    </w:t>
      </w:r>
      <w:r>
        <w:rPr>
          <w:rFonts w:hint="eastAsia" w:ascii="楷体_GB2312" w:hAnsi="楷体_GB2312" w:eastAsia="楷体_GB2312" w:cs="楷体_GB2312"/>
          <w:i w:val="0"/>
          <w:caps w:val="0"/>
          <w:color w:val="000000"/>
          <w:spacing w:val="0"/>
          <w:sz w:val="32"/>
          <w:szCs w:val="32"/>
          <w:shd w:val="clear" w:fill="FFFFFF"/>
        </w:rPr>
        <w:t>（七）人大建议、政协提案办理情况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i w:val="0"/>
          <w:caps w:val="0"/>
          <w:color w:val="000000"/>
          <w:spacing w:val="0"/>
          <w:sz w:val="32"/>
          <w:szCs w:val="32"/>
          <w:shd w:val="clear" w:fill="FFFFFF"/>
          <w:lang w:val="en-US" w:eastAsia="zh-CN"/>
        </w:rPr>
      </w:pPr>
      <w:r>
        <w:rPr>
          <w:rFonts w:hint="eastAsia" w:ascii="仿宋_GB2312" w:hAnsi="仿宋_GB2312" w:eastAsia="仿宋_GB2312" w:cs="仿宋_GB2312"/>
          <w:i w:val="0"/>
          <w:caps w:val="0"/>
          <w:color w:val="000000"/>
          <w:spacing w:val="0"/>
          <w:sz w:val="32"/>
          <w:szCs w:val="32"/>
          <w:shd w:val="clear" w:fill="FFFFFF"/>
          <w:lang w:val="en-US" w:eastAsia="zh-CN"/>
        </w:rPr>
        <w:t>2020</w:t>
      </w:r>
      <w:r>
        <w:rPr>
          <w:rFonts w:hint="eastAsia" w:ascii="仿宋_GB2312" w:hAnsi="仿宋_GB2312" w:eastAsia="仿宋_GB2312" w:cs="仿宋_GB2312"/>
          <w:i w:val="0"/>
          <w:caps w:val="0"/>
          <w:color w:val="000000"/>
          <w:spacing w:val="0"/>
          <w:sz w:val="32"/>
          <w:szCs w:val="32"/>
          <w:shd w:val="clear" w:fill="FFFFFF"/>
        </w:rPr>
        <w:t>年，</w:t>
      </w:r>
      <w:r>
        <w:rPr>
          <w:rFonts w:hint="eastAsia" w:ascii="仿宋_GB2312" w:hAnsi="仿宋_GB2312" w:eastAsia="仿宋_GB2312" w:cs="仿宋_GB2312"/>
          <w:i w:val="0"/>
          <w:caps w:val="0"/>
          <w:color w:val="000000"/>
          <w:spacing w:val="0"/>
          <w:sz w:val="32"/>
          <w:szCs w:val="32"/>
          <w:shd w:val="clear" w:fill="FFFFFF"/>
          <w:lang w:val="en-US" w:eastAsia="zh-CN"/>
        </w:rPr>
        <w:t>街道</w:t>
      </w:r>
      <w:r>
        <w:rPr>
          <w:rFonts w:hint="eastAsia" w:ascii="仿宋_GB2312" w:hAnsi="仿宋_GB2312" w:eastAsia="仿宋_GB2312" w:cs="仿宋_GB2312"/>
          <w:i w:val="0"/>
          <w:caps w:val="0"/>
          <w:color w:val="000000"/>
          <w:spacing w:val="0"/>
          <w:sz w:val="32"/>
          <w:szCs w:val="32"/>
          <w:shd w:val="clear" w:fill="FFFFFF"/>
        </w:rPr>
        <w:t>高度重视人大代表建议和政协委员提案办理，不断完善机制、落实责任，取得良好成效。全年共</w:t>
      </w:r>
      <w:r>
        <w:rPr>
          <w:rFonts w:hint="eastAsia" w:ascii="仿宋_GB2312" w:hAnsi="仿宋_GB2312" w:eastAsia="仿宋_GB2312" w:cs="仿宋_GB2312"/>
          <w:i w:val="0"/>
          <w:caps w:val="0"/>
          <w:color w:val="000000"/>
          <w:spacing w:val="0"/>
          <w:sz w:val="32"/>
          <w:szCs w:val="32"/>
          <w:shd w:val="clear" w:fill="FFFFFF"/>
          <w:lang w:val="en-US" w:eastAsia="zh-CN"/>
        </w:rPr>
        <w:t>协</w:t>
      </w:r>
      <w:r>
        <w:rPr>
          <w:rFonts w:hint="eastAsia" w:ascii="仿宋_GB2312" w:hAnsi="仿宋_GB2312" w:eastAsia="仿宋_GB2312" w:cs="仿宋_GB2312"/>
          <w:i w:val="0"/>
          <w:caps w:val="0"/>
          <w:color w:val="000000"/>
          <w:spacing w:val="0"/>
          <w:sz w:val="32"/>
          <w:szCs w:val="32"/>
          <w:shd w:val="clear" w:fill="FFFFFF"/>
        </w:rPr>
        <w:t>办人大代表建议</w:t>
      </w:r>
      <w:r>
        <w:rPr>
          <w:rFonts w:hint="eastAsia" w:ascii="仿宋_GB2312" w:hAnsi="仿宋_GB2312" w:eastAsia="仿宋_GB2312" w:cs="仿宋_GB2312"/>
          <w:i w:val="0"/>
          <w:caps w:val="0"/>
          <w:color w:val="000000"/>
          <w:spacing w:val="0"/>
          <w:sz w:val="32"/>
          <w:szCs w:val="32"/>
          <w:shd w:val="clear" w:fill="FFFFFF"/>
          <w:lang w:val="en-US" w:eastAsia="zh-CN"/>
        </w:rPr>
        <w:t>6</w:t>
      </w:r>
      <w:r>
        <w:rPr>
          <w:rFonts w:hint="eastAsia" w:ascii="仿宋_GB2312" w:hAnsi="仿宋_GB2312" w:eastAsia="仿宋_GB2312" w:cs="仿宋_GB2312"/>
          <w:i w:val="0"/>
          <w:caps w:val="0"/>
          <w:color w:val="000000"/>
          <w:spacing w:val="0"/>
          <w:sz w:val="32"/>
          <w:szCs w:val="32"/>
          <w:shd w:val="clear" w:fill="FFFFFF"/>
        </w:rPr>
        <w:t>件；协办政协委员提案</w:t>
      </w:r>
      <w:r>
        <w:rPr>
          <w:rFonts w:hint="eastAsia" w:ascii="仿宋_GB2312" w:hAnsi="仿宋_GB2312" w:eastAsia="仿宋_GB2312" w:cs="仿宋_GB2312"/>
          <w:i w:val="0"/>
          <w:caps w:val="0"/>
          <w:color w:val="000000"/>
          <w:spacing w:val="0"/>
          <w:sz w:val="32"/>
          <w:szCs w:val="32"/>
          <w:shd w:val="clear" w:fill="FFFFFF"/>
          <w:lang w:val="en-US" w:eastAsia="zh-CN"/>
        </w:rPr>
        <w:t>8</w:t>
      </w:r>
      <w:r>
        <w:rPr>
          <w:rFonts w:hint="eastAsia" w:ascii="仿宋_GB2312" w:hAnsi="仿宋_GB2312" w:eastAsia="仿宋_GB2312" w:cs="仿宋_GB2312"/>
          <w:i w:val="0"/>
          <w:caps w:val="0"/>
          <w:color w:val="000000"/>
          <w:spacing w:val="0"/>
          <w:sz w:val="32"/>
          <w:szCs w:val="32"/>
          <w:shd w:val="clear" w:fill="FFFFFF"/>
        </w:rPr>
        <w:t>件。</w:t>
      </w:r>
      <w:r>
        <w:rPr>
          <w:rFonts w:hint="eastAsia" w:ascii="微软雅黑" w:hAnsi="微软雅黑" w:eastAsia="微软雅黑" w:cs="微软雅黑"/>
          <w:i w:val="0"/>
          <w:caps w:val="0"/>
          <w:color w:val="000000"/>
          <w:spacing w:val="0"/>
          <w:sz w:val="24"/>
          <w:szCs w:val="24"/>
          <w:shd w:val="clear" w:fill="FFFFFF"/>
        </w:rPr>
        <w:t>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600" w:lineRule="exact"/>
        <w:ind w:leftChars="0" w:right="0" w:rightChars="0"/>
        <w:jc w:val="both"/>
        <w:textAlignment w:val="auto"/>
        <w:rPr>
          <w:rFonts w:hint="eastAsia" w:ascii="黑体" w:hAnsi="黑体" w:eastAsia="黑体" w:cs="黑体"/>
          <w:i w:val="0"/>
          <w:caps w:val="0"/>
          <w:color w:val="000000"/>
          <w:spacing w:val="0"/>
          <w:sz w:val="32"/>
          <w:szCs w:val="32"/>
          <w:shd w:val="clear" w:fill="FFFFFF"/>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600" w:lineRule="exact"/>
        <w:ind w:leftChars="0" w:right="0" w:rightChars="0"/>
        <w:jc w:val="both"/>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黑体" w:hAnsi="黑体" w:eastAsia="黑体" w:cs="黑体"/>
          <w:i w:val="0"/>
          <w:caps w:val="0"/>
          <w:color w:val="000000"/>
          <w:spacing w:val="0"/>
          <w:sz w:val="32"/>
          <w:szCs w:val="32"/>
          <w:shd w:val="clear" w:fill="FFFFFF"/>
          <w:lang w:val="en-US" w:eastAsia="zh-CN"/>
        </w:rPr>
        <w:t>二、</w:t>
      </w:r>
      <w:r>
        <w:rPr>
          <w:rFonts w:hint="eastAsia" w:ascii="黑体" w:hAnsi="黑体" w:eastAsia="黑体" w:cs="黑体"/>
          <w:i w:val="0"/>
          <w:caps w:val="0"/>
          <w:color w:val="000000"/>
          <w:spacing w:val="0"/>
          <w:sz w:val="32"/>
          <w:szCs w:val="32"/>
          <w:shd w:val="clear" w:fill="FFFFFF"/>
        </w:rPr>
        <w:t>主动公开政府信息情况</w:t>
      </w:r>
    </w:p>
    <w:tbl>
      <w:tblPr>
        <w:tblStyle w:val="6"/>
        <w:tblW w:w="8708" w:type="dxa"/>
        <w:jc w:val="center"/>
        <w:tblInd w:w="0" w:type="dxa"/>
        <w:shd w:val="clear" w:color="auto" w:fill="FFFFFF" w:themeFill="background1"/>
        <w:tblLayout w:type="fixed"/>
        <w:tblCellMar>
          <w:top w:w="0" w:type="dxa"/>
          <w:left w:w="0" w:type="dxa"/>
          <w:bottom w:w="0" w:type="dxa"/>
          <w:right w:w="0" w:type="dxa"/>
        </w:tblCellMar>
      </w:tblPr>
      <w:tblGrid>
        <w:gridCol w:w="3073"/>
        <w:gridCol w:w="17"/>
        <w:gridCol w:w="2095"/>
        <w:gridCol w:w="1505"/>
        <w:gridCol w:w="2018"/>
      </w:tblGrid>
      <w:tr>
        <w:tblPrEx>
          <w:shd w:val="clear" w:color="auto" w:fill="FFFFFF" w:themeFill="background1"/>
          <w:tblLayout w:type="fixed"/>
          <w:tblCellMar>
            <w:top w:w="0" w:type="dxa"/>
            <w:left w:w="0" w:type="dxa"/>
            <w:bottom w:w="0" w:type="dxa"/>
            <w:right w:w="0" w:type="dxa"/>
          </w:tblCellMar>
        </w:tblPrEx>
        <w:trPr>
          <w:trHeight w:val="594" w:hRule="atLeast"/>
          <w:jc w:val="center"/>
        </w:trPr>
        <w:tc>
          <w:tcPr>
            <w:tcW w:w="8708" w:type="dxa"/>
            <w:gridSpan w:val="5"/>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第二十条第（一）项</w:t>
            </w:r>
          </w:p>
        </w:tc>
      </w:tr>
      <w:tr>
        <w:tblPrEx>
          <w:tblLayout w:type="fixed"/>
          <w:tblCellMar>
            <w:top w:w="0" w:type="dxa"/>
            <w:left w:w="0" w:type="dxa"/>
            <w:bottom w:w="0" w:type="dxa"/>
            <w:right w:w="0" w:type="dxa"/>
          </w:tblCellMar>
        </w:tblPrEx>
        <w:trPr>
          <w:trHeight w:val="866"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信息内容</w:t>
            </w:r>
          </w:p>
        </w:tc>
        <w:tc>
          <w:tcPr>
            <w:tcW w:w="2112" w:type="dxa"/>
            <w:gridSpan w:val="2"/>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本年新制作数量</w:t>
            </w:r>
          </w:p>
        </w:tc>
        <w:tc>
          <w:tcPr>
            <w:tcW w:w="1505"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本年新</w:t>
            </w:r>
            <w:r>
              <w:rPr>
                <w:rFonts w:hint="eastAsia" w:asciiTheme="minorEastAsia" w:hAnsiTheme="minorEastAsia" w:cstheme="minorEastAsia"/>
                <w:color w:val="auto"/>
                <w:kern w:val="0"/>
                <w:sz w:val="24"/>
              </w:rPr>
              <w:br w:type="textWrapping"/>
            </w:r>
            <w:r>
              <w:rPr>
                <w:rFonts w:hint="eastAsia" w:asciiTheme="minorEastAsia" w:hAnsiTheme="minorEastAsia" w:cstheme="minorEastAsia"/>
                <w:color w:val="auto"/>
                <w:kern w:val="0"/>
                <w:sz w:val="24"/>
              </w:rPr>
              <w:t>公开数量</w:t>
            </w:r>
          </w:p>
        </w:tc>
        <w:tc>
          <w:tcPr>
            <w:tcW w:w="2018"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hint="eastAsia" w:asciiTheme="minorEastAsia" w:hAnsiTheme="minorEastAsia" w:cstheme="minorEastAsia"/>
                <w:color w:val="auto"/>
                <w:kern w:val="0"/>
                <w:sz w:val="24"/>
              </w:rPr>
            </w:pPr>
            <w:r>
              <w:rPr>
                <w:rFonts w:hint="eastAsia" w:asciiTheme="minorEastAsia" w:hAnsiTheme="minorEastAsia" w:cstheme="minorEastAsia"/>
                <w:color w:val="auto"/>
                <w:kern w:val="0"/>
                <w:sz w:val="24"/>
              </w:rPr>
              <w:t>对外公开</w:t>
            </w:r>
          </w:p>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总数量</w:t>
            </w:r>
          </w:p>
        </w:tc>
      </w:tr>
      <w:tr>
        <w:tblPrEx>
          <w:tblLayout w:type="fixed"/>
          <w:tblCellMar>
            <w:top w:w="0" w:type="dxa"/>
            <w:left w:w="0" w:type="dxa"/>
            <w:bottom w:w="0" w:type="dxa"/>
            <w:right w:w="0" w:type="dxa"/>
          </w:tblCellMar>
        </w:tblPrEx>
        <w:trPr>
          <w:trHeight w:val="399"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left"/>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规章</w:t>
            </w:r>
          </w:p>
        </w:tc>
        <w:tc>
          <w:tcPr>
            <w:tcW w:w="2112"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lang w:val="en-US" w:eastAsia="zh-CN"/>
              </w:rPr>
              <w:t>0</w:t>
            </w:r>
            <w:r>
              <w:rPr>
                <w:rFonts w:hint="eastAsia" w:asciiTheme="minorEastAsia" w:hAnsiTheme="minorEastAsia" w:cstheme="minorEastAsia"/>
                <w:color w:val="auto"/>
                <w:kern w:val="0"/>
                <w:sz w:val="24"/>
              </w:rPr>
              <w:t>　　</w:t>
            </w:r>
          </w:p>
        </w:tc>
        <w:tc>
          <w:tcPr>
            <w:tcW w:w="1505"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lang w:val="en-US" w:eastAsia="zh-CN"/>
              </w:rPr>
              <w:t>0</w:t>
            </w:r>
            <w:r>
              <w:rPr>
                <w:rFonts w:hint="eastAsia" w:asciiTheme="minorEastAsia" w:hAnsiTheme="minorEastAsia" w:cstheme="minorEastAsia"/>
                <w:color w:val="auto"/>
                <w:kern w:val="0"/>
                <w:sz w:val="24"/>
              </w:rPr>
              <w:t> </w:t>
            </w:r>
          </w:p>
        </w:tc>
        <w:tc>
          <w:tcPr>
            <w:tcW w:w="2018"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lang w:val="en-US" w:eastAsia="zh-CN"/>
              </w:rPr>
              <w:t>0</w:t>
            </w:r>
            <w:r>
              <w:rPr>
                <w:rFonts w:hint="eastAsia" w:asciiTheme="minorEastAsia" w:hAnsiTheme="minorEastAsia" w:cstheme="minorEastAsia"/>
                <w:color w:val="auto"/>
                <w:kern w:val="0"/>
                <w:sz w:val="24"/>
              </w:rPr>
              <w:t>　</w:t>
            </w:r>
          </w:p>
        </w:tc>
      </w:tr>
      <w:tr>
        <w:tblPrEx>
          <w:tblLayout w:type="fixed"/>
          <w:tblCellMar>
            <w:top w:w="0" w:type="dxa"/>
            <w:left w:w="0" w:type="dxa"/>
            <w:bottom w:w="0" w:type="dxa"/>
            <w:right w:w="0" w:type="dxa"/>
          </w:tblCellMar>
        </w:tblPrEx>
        <w:trPr>
          <w:trHeight w:val="404"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left"/>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规范性文件</w:t>
            </w:r>
          </w:p>
        </w:tc>
        <w:tc>
          <w:tcPr>
            <w:tcW w:w="2112"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hint="default" w:asciiTheme="minorEastAsia" w:hAnsiTheme="minorEastAsia" w:eastAsiaTheme="minorEastAsia" w:cstheme="minorEastAsia"/>
                <w:color w:val="auto"/>
                <w:kern w:val="0"/>
                <w:sz w:val="24"/>
                <w:lang w:val="en-US" w:eastAsia="zh-CN"/>
              </w:rPr>
            </w:pPr>
            <w:r>
              <w:rPr>
                <w:rFonts w:hint="eastAsia" w:asciiTheme="minorEastAsia" w:hAnsiTheme="minorEastAsia" w:cstheme="minorEastAsia"/>
                <w:color w:val="auto"/>
                <w:kern w:val="0"/>
                <w:sz w:val="24"/>
                <w:lang w:val="en-US" w:eastAsia="zh-CN"/>
              </w:rPr>
              <w:t>0</w:t>
            </w:r>
          </w:p>
        </w:tc>
        <w:tc>
          <w:tcPr>
            <w:tcW w:w="1505"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lang w:val="en-US" w:eastAsia="zh-CN"/>
              </w:rPr>
              <w:t>0</w:t>
            </w:r>
            <w:r>
              <w:rPr>
                <w:rFonts w:hint="eastAsia" w:asciiTheme="minorEastAsia" w:hAnsiTheme="minorEastAsia" w:cstheme="minorEastAsia"/>
                <w:color w:val="auto"/>
                <w:kern w:val="0"/>
                <w:sz w:val="24"/>
              </w:rPr>
              <w:t> </w:t>
            </w:r>
          </w:p>
        </w:tc>
        <w:tc>
          <w:tcPr>
            <w:tcW w:w="2018"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lang w:val="en-US" w:eastAsia="zh-CN"/>
              </w:rPr>
              <w:t>0</w:t>
            </w:r>
            <w:r>
              <w:rPr>
                <w:rFonts w:hint="eastAsia" w:asciiTheme="minorEastAsia" w:hAnsiTheme="minorEastAsia" w:cstheme="minorEastAsia"/>
                <w:color w:val="auto"/>
                <w:kern w:val="0"/>
                <w:sz w:val="24"/>
              </w:rPr>
              <w:t>　</w:t>
            </w:r>
          </w:p>
        </w:tc>
      </w:tr>
      <w:tr>
        <w:tblPrEx>
          <w:tblLayout w:type="fixed"/>
          <w:tblCellMar>
            <w:top w:w="0" w:type="dxa"/>
            <w:left w:w="0" w:type="dxa"/>
            <w:bottom w:w="0" w:type="dxa"/>
            <w:right w:w="0" w:type="dxa"/>
          </w:tblCellMar>
        </w:tblPrEx>
        <w:trPr>
          <w:trHeight w:val="480" w:hRule="atLeast"/>
          <w:jc w:val="center"/>
        </w:trPr>
        <w:tc>
          <w:tcPr>
            <w:tcW w:w="8708" w:type="dxa"/>
            <w:gridSpan w:val="5"/>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第二十条第（五）项</w:t>
            </w:r>
          </w:p>
        </w:tc>
      </w:tr>
      <w:tr>
        <w:tblPrEx>
          <w:tblLayout w:type="fixed"/>
          <w:tblCellMar>
            <w:top w:w="0" w:type="dxa"/>
            <w:left w:w="0" w:type="dxa"/>
            <w:bottom w:w="0" w:type="dxa"/>
            <w:right w:w="0" w:type="dxa"/>
          </w:tblCellMar>
        </w:tblPrEx>
        <w:trPr>
          <w:trHeight w:val="516"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信息内容</w:t>
            </w:r>
          </w:p>
        </w:tc>
        <w:tc>
          <w:tcPr>
            <w:tcW w:w="2112" w:type="dxa"/>
            <w:gridSpan w:val="2"/>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上一年项目数量</w:t>
            </w:r>
          </w:p>
        </w:tc>
        <w:tc>
          <w:tcPr>
            <w:tcW w:w="1505"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本年增/减</w:t>
            </w:r>
          </w:p>
        </w:tc>
        <w:tc>
          <w:tcPr>
            <w:tcW w:w="2018"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处理决定数量</w:t>
            </w:r>
          </w:p>
        </w:tc>
      </w:tr>
      <w:tr>
        <w:tblPrEx>
          <w:tblLayout w:type="fixed"/>
          <w:tblCellMar>
            <w:top w:w="0" w:type="dxa"/>
            <w:left w:w="0" w:type="dxa"/>
            <w:bottom w:w="0" w:type="dxa"/>
            <w:right w:w="0" w:type="dxa"/>
          </w:tblCellMar>
        </w:tblPrEx>
        <w:trPr>
          <w:trHeight w:val="455"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left"/>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行政许可</w:t>
            </w:r>
          </w:p>
        </w:tc>
        <w:tc>
          <w:tcPr>
            <w:tcW w:w="2112"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hint="eastAsia" w:asciiTheme="minorEastAsia" w:hAnsiTheme="minorEastAsia" w:eastAsiaTheme="minorEastAsia" w:cstheme="minorEastAsia"/>
                <w:color w:val="auto"/>
                <w:kern w:val="0"/>
                <w:sz w:val="24"/>
                <w:lang w:val="en-US" w:eastAsia="zh-CN"/>
              </w:rPr>
            </w:pPr>
            <w:r>
              <w:rPr>
                <w:rFonts w:hint="eastAsia" w:asciiTheme="minorEastAsia" w:hAnsiTheme="minorEastAsia" w:cstheme="minorEastAsia"/>
                <w:color w:val="auto"/>
                <w:kern w:val="0"/>
                <w:sz w:val="24"/>
              </w:rPr>
              <w:t>　</w:t>
            </w:r>
            <w:r>
              <w:rPr>
                <w:rFonts w:hint="eastAsia" w:asciiTheme="minorEastAsia" w:hAnsiTheme="minorEastAsia" w:cstheme="minorEastAsia"/>
                <w:color w:val="auto"/>
                <w:kern w:val="0"/>
                <w:sz w:val="24"/>
                <w:lang w:val="en-US" w:eastAsia="zh-CN"/>
              </w:rPr>
              <w:t>0</w:t>
            </w:r>
          </w:p>
        </w:tc>
        <w:tc>
          <w:tcPr>
            <w:tcW w:w="1505"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lang w:val="en-US" w:eastAsia="zh-CN"/>
              </w:rPr>
              <w:t>0</w:t>
            </w:r>
            <w:r>
              <w:rPr>
                <w:rFonts w:hint="eastAsia" w:asciiTheme="minorEastAsia" w:hAnsiTheme="minorEastAsia" w:cstheme="minorEastAsia"/>
                <w:color w:val="auto"/>
                <w:kern w:val="0"/>
                <w:sz w:val="24"/>
              </w:rPr>
              <w:t>　</w:t>
            </w:r>
          </w:p>
        </w:tc>
        <w:tc>
          <w:tcPr>
            <w:tcW w:w="2018"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lang w:val="en-US" w:eastAsia="zh-CN"/>
              </w:rPr>
              <w:t>0</w:t>
            </w:r>
            <w:r>
              <w:rPr>
                <w:rFonts w:hint="eastAsia" w:asciiTheme="minorEastAsia" w:hAnsiTheme="minorEastAsia" w:cstheme="minorEastAsia"/>
                <w:color w:val="auto"/>
                <w:kern w:val="0"/>
                <w:sz w:val="24"/>
              </w:rPr>
              <w:t>　</w:t>
            </w:r>
          </w:p>
        </w:tc>
      </w:tr>
      <w:tr>
        <w:tblPrEx>
          <w:tblLayout w:type="fixed"/>
          <w:tblCellMar>
            <w:top w:w="0" w:type="dxa"/>
            <w:left w:w="0" w:type="dxa"/>
            <w:bottom w:w="0" w:type="dxa"/>
            <w:right w:w="0" w:type="dxa"/>
          </w:tblCellMar>
        </w:tblPrEx>
        <w:trPr>
          <w:trHeight w:val="550"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left"/>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其他对外管理服务事项</w:t>
            </w:r>
          </w:p>
        </w:tc>
        <w:tc>
          <w:tcPr>
            <w:tcW w:w="2112"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hint="eastAsia" w:asciiTheme="minorEastAsia" w:hAnsiTheme="minorEastAsia" w:eastAsiaTheme="minorEastAsia" w:cstheme="minorEastAsia"/>
                <w:color w:val="auto"/>
                <w:kern w:val="0"/>
                <w:sz w:val="24"/>
                <w:lang w:val="en-US" w:eastAsia="zh-CN"/>
              </w:rPr>
            </w:pPr>
            <w:r>
              <w:rPr>
                <w:rFonts w:hint="eastAsia" w:asciiTheme="minorEastAsia" w:hAnsiTheme="minorEastAsia" w:cstheme="minorEastAsia"/>
                <w:color w:val="auto"/>
                <w:kern w:val="0"/>
                <w:sz w:val="24"/>
              </w:rPr>
              <w:t>　</w:t>
            </w:r>
            <w:r>
              <w:rPr>
                <w:rFonts w:hint="eastAsia" w:asciiTheme="minorEastAsia" w:hAnsiTheme="minorEastAsia" w:cstheme="minorEastAsia"/>
                <w:color w:val="auto"/>
                <w:kern w:val="0"/>
                <w:sz w:val="24"/>
                <w:lang w:val="en-US" w:eastAsia="zh-CN"/>
              </w:rPr>
              <w:t>0</w:t>
            </w:r>
          </w:p>
        </w:tc>
        <w:tc>
          <w:tcPr>
            <w:tcW w:w="1505"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lang w:val="en-US" w:eastAsia="zh-CN"/>
              </w:rPr>
              <w:t>0</w:t>
            </w:r>
            <w:r>
              <w:rPr>
                <w:rFonts w:hint="eastAsia" w:asciiTheme="minorEastAsia" w:hAnsiTheme="minorEastAsia" w:cstheme="minorEastAsia"/>
                <w:color w:val="auto"/>
                <w:kern w:val="0"/>
                <w:sz w:val="24"/>
              </w:rPr>
              <w:t>　</w:t>
            </w:r>
          </w:p>
        </w:tc>
        <w:tc>
          <w:tcPr>
            <w:tcW w:w="2018"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lang w:val="en-US" w:eastAsia="zh-CN"/>
              </w:rPr>
              <w:t>0</w:t>
            </w:r>
            <w:r>
              <w:rPr>
                <w:rFonts w:hint="eastAsia" w:asciiTheme="minorEastAsia" w:hAnsiTheme="minorEastAsia" w:cstheme="minorEastAsia"/>
                <w:color w:val="auto"/>
                <w:kern w:val="0"/>
                <w:sz w:val="24"/>
              </w:rPr>
              <w:t>　</w:t>
            </w:r>
          </w:p>
        </w:tc>
      </w:tr>
      <w:tr>
        <w:tblPrEx>
          <w:tblLayout w:type="fixed"/>
          <w:tblCellMar>
            <w:top w:w="0" w:type="dxa"/>
            <w:left w:w="0" w:type="dxa"/>
            <w:bottom w:w="0" w:type="dxa"/>
            <w:right w:w="0" w:type="dxa"/>
          </w:tblCellMar>
        </w:tblPrEx>
        <w:trPr>
          <w:trHeight w:val="497" w:hRule="atLeast"/>
          <w:jc w:val="center"/>
        </w:trPr>
        <w:tc>
          <w:tcPr>
            <w:tcW w:w="8708" w:type="dxa"/>
            <w:gridSpan w:val="5"/>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第二十条第（六）项</w:t>
            </w:r>
          </w:p>
        </w:tc>
      </w:tr>
      <w:tr>
        <w:tblPrEx>
          <w:tblLayout w:type="fixed"/>
          <w:tblCellMar>
            <w:top w:w="0" w:type="dxa"/>
            <w:left w:w="0" w:type="dxa"/>
            <w:bottom w:w="0" w:type="dxa"/>
            <w:right w:w="0" w:type="dxa"/>
          </w:tblCellMar>
        </w:tblPrEx>
        <w:trPr>
          <w:trHeight w:val="547"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信息内容</w:t>
            </w:r>
          </w:p>
        </w:tc>
        <w:tc>
          <w:tcPr>
            <w:tcW w:w="2112" w:type="dxa"/>
            <w:gridSpan w:val="2"/>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上一年项目数量</w:t>
            </w:r>
          </w:p>
        </w:tc>
        <w:tc>
          <w:tcPr>
            <w:tcW w:w="1505"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本年增/减</w:t>
            </w:r>
          </w:p>
        </w:tc>
        <w:tc>
          <w:tcPr>
            <w:tcW w:w="2018"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处理决定数量</w:t>
            </w:r>
          </w:p>
        </w:tc>
      </w:tr>
      <w:tr>
        <w:tblPrEx>
          <w:tblLayout w:type="fixed"/>
          <w:tblCellMar>
            <w:top w:w="0" w:type="dxa"/>
            <w:left w:w="0" w:type="dxa"/>
            <w:bottom w:w="0" w:type="dxa"/>
            <w:right w:w="0" w:type="dxa"/>
          </w:tblCellMar>
        </w:tblPrEx>
        <w:trPr>
          <w:trHeight w:val="430"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left"/>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行政处罚</w:t>
            </w:r>
          </w:p>
        </w:tc>
        <w:tc>
          <w:tcPr>
            <w:tcW w:w="2112"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lang w:val="en-US" w:eastAsia="zh-CN"/>
              </w:rPr>
              <w:t>0</w:t>
            </w:r>
            <w:r>
              <w:rPr>
                <w:rFonts w:hint="eastAsia" w:asciiTheme="minorEastAsia" w:hAnsiTheme="minorEastAsia" w:cstheme="minorEastAsia"/>
                <w:color w:val="auto"/>
                <w:kern w:val="0"/>
                <w:sz w:val="24"/>
              </w:rPr>
              <w:t>　</w:t>
            </w:r>
          </w:p>
        </w:tc>
        <w:tc>
          <w:tcPr>
            <w:tcW w:w="1505"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lang w:val="en-US" w:eastAsia="zh-CN"/>
              </w:rPr>
              <w:t>0</w:t>
            </w:r>
            <w:r>
              <w:rPr>
                <w:rFonts w:hint="eastAsia" w:asciiTheme="minorEastAsia" w:hAnsiTheme="minorEastAsia" w:cstheme="minorEastAsia"/>
                <w:color w:val="auto"/>
                <w:kern w:val="0"/>
                <w:sz w:val="24"/>
              </w:rPr>
              <w:t>　</w:t>
            </w:r>
          </w:p>
        </w:tc>
        <w:tc>
          <w:tcPr>
            <w:tcW w:w="2018"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lang w:val="en-US" w:eastAsia="zh-CN"/>
              </w:rPr>
              <w:t>0</w:t>
            </w:r>
            <w:r>
              <w:rPr>
                <w:rFonts w:hint="eastAsia" w:asciiTheme="minorEastAsia" w:hAnsiTheme="minorEastAsia" w:cstheme="minorEastAsia"/>
                <w:color w:val="auto"/>
                <w:kern w:val="0"/>
                <w:sz w:val="24"/>
              </w:rPr>
              <w:t>　</w:t>
            </w:r>
          </w:p>
        </w:tc>
      </w:tr>
      <w:tr>
        <w:tblPrEx>
          <w:tblLayout w:type="fixed"/>
          <w:tblCellMar>
            <w:top w:w="0" w:type="dxa"/>
            <w:left w:w="0" w:type="dxa"/>
            <w:bottom w:w="0" w:type="dxa"/>
            <w:right w:w="0" w:type="dxa"/>
          </w:tblCellMar>
        </w:tblPrEx>
        <w:trPr>
          <w:trHeight w:val="409"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left"/>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行政强制</w:t>
            </w:r>
          </w:p>
        </w:tc>
        <w:tc>
          <w:tcPr>
            <w:tcW w:w="2112"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hint="eastAsia" w:asciiTheme="minorEastAsia" w:hAnsiTheme="minorEastAsia" w:eastAsiaTheme="minorEastAsia" w:cstheme="minorEastAsia"/>
                <w:color w:val="auto"/>
                <w:kern w:val="0"/>
                <w:sz w:val="24"/>
                <w:lang w:val="en-US" w:eastAsia="zh-CN"/>
              </w:rPr>
            </w:pPr>
            <w:r>
              <w:rPr>
                <w:rFonts w:hint="eastAsia" w:asciiTheme="minorEastAsia" w:hAnsiTheme="minorEastAsia" w:cstheme="minorEastAsia"/>
                <w:color w:val="auto"/>
                <w:kern w:val="0"/>
                <w:sz w:val="24"/>
                <w:lang w:val="en-US" w:eastAsia="zh-CN"/>
              </w:rPr>
              <w:t>0</w:t>
            </w:r>
          </w:p>
        </w:tc>
        <w:tc>
          <w:tcPr>
            <w:tcW w:w="1505"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lang w:val="en-US" w:eastAsia="zh-CN"/>
              </w:rPr>
              <w:t>0</w:t>
            </w:r>
            <w:r>
              <w:rPr>
                <w:rFonts w:hint="eastAsia" w:asciiTheme="minorEastAsia" w:hAnsiTheme="minorEastAsia" w:cstheme="minorEastAsia"/>
                <w:color w:val="auto"/>
                <w:kern w:val="0"/>
                <w:sz w:val="24"/>
              </w:rPr>
              <w:t>　</w:t>
            </w:r>
          </w:p>
        </w:tc>
        <w:tc>
          <w:tcPr>
            <w:tcW w:w="2018"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lang w:val="en-US" w:eastAsia="zh-CN"/>
              </w:rPr>
              <w:t>0</w:t>
            </w:r>
            <w:r>
              <w:rPr>
                <w:rFonts w:hint="eastAsia" w:asciiTheme="minorEastAsia" w:hAnsiTheme="minorEastAsia" w:cstheme="minorEastAsia"/>
                <w:color w:val="auto"/>
                <w:kern w:val="0"/>
                <w:sz w:val="24"/>
              </w:rPr>
              <w:t>　</w:t>
            </w:r>
          </w:p>
        </w:tc>
      </w:tr>
      <w:tr>
        <w:tblPrEx>
          <w:tblLayout w:type="fixed"/>
          <w:tblCellMar>
            <w:top w:w="0" w:type="dxa"/>
            <w:left w:w="0" w:type="dxa"/>
            <w:bottom w:w="0" w:type="dxa"/>
            <w:right w:w="0" w:type="dxa"/>
          </w:tblCellMar>
        </w:tblPrEx>
        <w:trPr>
          <w:trHeight w:val="474" w:hRule="atLeast"/>
          <w:jc w:val="center"/>
        </w:trPr>
        <w:tc>
          <w:tcPr>
            <w:tcW w:w="8708" w:type="dxa"/>
            <w:gridSpan w:val="5"/>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第二十条第（八）项</w:t>
            </w:r>
          </w:p>
        </w:tc>
      </w:tr>
      <w:tr>
        <w:tblPrEx>
          <w:tblLayout w:type="fixed"/>
          <w:tblCellMar>
            <w:top w:w="0" w:type="dxa"/>
            <w:left w:w="0" w:type="dxa"/>
            <w:bottom w:w="0" w:type="dxa"/>
            <w:right w:w="0"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信息内容</w:t>
            </w:r>
          </w:p>
        </w:tc>
        <w:tc>
          <w:tcPr>
            <w:tcW w:w="2112"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left"/>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上一年项目数量</w:t>
            </w:r>
          </w:p>
        </w:tc>
        <w:tc>
          <w:tcPr>
            <w:tcW w:w="3523" w:type="dxa"/>
            <w:gridSpan w:val="2"/>
            <w:tcBorders>
              <w:top w:val="single" w:color="auto" w:sz="8" w:space="0"/>
              <w:left w:val="nil"/>
              <w:bottom w:val="single" w:color="auto" w:sz="8" w:space="0"/>
              <w:right w:val="single" w:color="000000"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本年增/减</w:t>
            </w:r>
          </w:p>
        </w:tc>
      </w:tr>
      <w:tr>
        <w:tblPrEx>
          <w:tblLayout w:type="fixed"/>
          <w:tblCellMar>
            <w:top w:w="0" w:type="dxa"/>
            <w:left w:w="0" w:type="dxa"/>
            <w:bottom w:w="0" w:type="dxa"/>
            <w:right w:w="0"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left"/>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行政事业性收费</w:t>
            </w:r>
          </w:p>
        </w:tc>
        <w:tc>
          <w:tcPr>
            <w:tcW w:w="2112"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hint="eastAsia" w:asciiTheme="minorEastAsia" w:hAnsiTheme="minorEastAsia" w:eastAsiaTheme="minorEastAsia" w:cstheme="minorEastAsia"/>
                <w:color w:val="auto"/>
                <w:kern w:val="0"/>
                <w:sz w:val="24"/>
                <w:lang w:val="en-US" w:eastAsia="zh-CN"/>
              </w:rPr>
            </w:pPr>
            <w:r>
              <w:rPr>
                <w:rFonts w:hint="eastAsia" w:asciiTheme="minorEastAsia" w:hAnsiTheme="minorEastAsia" w:cstheme="minorEastAsia"/>
                <w:color w:val="auto"/>
                <w:kern w:val="0"/>
                <w:sz w:val="24"/>
              </w:rPr>
              <w:t>　</w:t>
            </w:r>
            <w:r>
              <w:rPr>
                <w:rFonts w:hint="eastAsia" w:asciiTheme="minorEastAsia" w:hAnsiTheme="minorEastAsia" w:cstheme="minorEastAsia"/>
                <w:color w:val="auto"/>
                <w:kern w:val="0"/>
                <w:sz w:val="24"/>
                <w:lang w:val="en-US" w:eastAsia="zh-CN"/>
              </w:rPr>
              <w:t>0</w:t>
            </w:r>
          </w:p>
        </w:tc>
        <w:tc>
          <w:tcPr>
            <w:tcW w:w="3523" w:type="dxa"/>
            <w:gridSpan w:val="2"/>
            <w:tcBorders>
              <w:top w:val="nil"/>
              <w:left w:val="nil"/>
              <w:bottom w:val="single" w:color="auto" w:sz="8" w:space="0"/>
              <w:right w:val="single" w:color="000000" w:sz="8" w:space="0"/>
            </w:tcBorders>
            <w:shd w:val="clear" w:color="auto" w:fill="FFFFFF" w:themeFill="background1"/>
            <w:tcMar>
              <w:left w:w="108" w:type="dxa"/>
              <w:right w:w="108" w:type="dxa"/>
            </w:tcMar>
            <w:vAlign w:val="center"/>
          </w:tcPr>
          <w:p>
            <w:pPr>
              <w:widowControl/>
              <w:jc w:val="center"/>
              <w:rPr>
                <w:rFonts w:hint="eastAsia" w:asciiTheme="minorEastAsia" w:hAnsiTheme="minorEastAsia" w:eastAsiaTheme="minorEastAsia" w:cstheme="minorEastAsia"/>
                <w:color w:val="auto"/>
                <w:kern w:val="0"/>
                <w:sz w:val="24"/>
                <w:lang w:val="en-US" w:eastAsia="zh-CN"/>
              </w:rPr>
            </w:pPr>
            <w:r>
              <w:rPr>
                <w:rFonts w:hint="eastAsia" w:asciiTheme="minorEastAsia" w:hAnsiTheme="minorEastAsia" w:cstheme="minorEastAsia"/>
                <w:color w:val="auto"/>
                <w:kern w:val="0"/>
                <w:sz w:val="24"/>
              </w:rPr>
              <w:t> </w:t>
            </w:r>
            <w:r>
              <w:rPr>
                <w:rFonts w:hint="eastAsia" w:asciiTheme="minorEastAsia" w:hAnsiTheme="minorEastAsia" w:cstheme="minorEastAsia"/>
                <w:color w:val="auto"/>
                <w:kern w:val="0"/>
                <w:sz w:val="24"/>
                <w:lang w:val="en-US" w:eastAsia="zh-CN"/>
              </w:rPr>
              <w:t>0</w:t>
            </w:r>
          </w:p>
        </w:tc>
      </w:tr>
      <w:tr>
        <w:tblPrEx>
          <w:tblLayout w:type="fixed"/>
          <w:tblCellMar>
            <w:top w:w="0" w:type="dxa"/>
            <w:left w:w="0" w:type="dxa"/>
            <w:bottom w:w="0" w:type="dxa"/>
            <w:right w:w="0" w:type="dxa"/>
          </w:tblCellMar>
        </w:tblPrEx>
        <w:trPr>
          <w:trHeight w:val="476" w:hRule="atLeast"/>
          <w:jc w:val="center"/>
        </w:trPr>
        <w:tc>
          <w:tcPr>
            <w:tcW w:w="8708" w:type="dxa"/>
            <w:gridSpan w:val="5"/>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第二十条第（九）项</w:t>
            </w:r>
          </w:p>
        </w:tc>
      </w:tr>
      <w:tr>
        <w:tblPrEx>
          <w:tblLayout w:type="fixed"/>
          <w:tblCellMar>
            <w:top w:w="0" w:type="dxa"/>
            <w:left w:w="0" w:type="dxa"/>
            <w:bottom w:w="0" w:type="dxa"/>
            <w:right w:w="0" w:type="dxa"/>
          </w:tblCellMar>
        </w:tblPrEx>
        <w:trPr>
          <w:trHeight w:val="427" w:hRule="atLeast"/>
          <w:jc w:val="center"/>
        </w:trPr>
        <w:tc>
          <w:tcPr>
            <w:tcW w:w="3090" w:type="dxa"/>
            <w:gridSpan w:val="2"/>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信息内容</w:t>
            </w:r>
          </w:p>
        </w:tc>
        <w:tc>
          <w:tcPr>
            <w:tcW w:w="2095"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采购项目数量</w:t>
            </w:r>
          </w:p>
        </w:tc>
        <w:tc>
          <w:tcPr>
            <w:tcW w:w="3523" w:type="dxa"/>
            <w:gridSpan w:val="2"/>
            <w:tcBorders>
              <w:top w:val="single" w:color="auto" w:sz="8" w:space="0"/>
              <w:left w:val="nil"/>
              <w:bottom w:val="single" w:color="auto" w:sz="8" w:space="0"/>
              <w:right w:val="single" w:color="000000"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采购总金额</w:t>
            </w:r>
          </w:p>
        </w:tc>
      </w:tr>
      <w:tr>
        <w:tblPrEx>
          <w:tblLayout w:type="fixed"/>
          <w:tblCellMar>
            <w:top w:w="0" w:type="dxa"/>
            <w:left w:w="0" w:type="dxa"/>
            <w:bottom w:w="0" w:type="dxa"/>
            <w:right w:w="0" w:type="dxa"/>
          </w:tblCellMar>
        </w:tblPrEx>
        <w:trPr>
          <w:trHeight w:val="469" w:hRule="atLeast"/>
          <w:jc w:val="center"/>
        </w:trPr>
        <w:tc>
          <w:tcPr>
            <w:tcW w:w="3090" w:type="dxa"/>
            <w:gridSpan w:val="2"/>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jc w:val="left"/>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政府集中采购</w:t>
            </w:r>
          </w:p>
        </w:tc>
        <w:tc>
          <w:tcPr>
            <w:tcW w:w="2095"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lang w:val="en-US" w:eastAsia="zh-CN"/>
              </w:rPr>
              <w:t>0</w:t>
            </w:r>
            <w:r>
              <w:rPr>
                <w:rFonts w:hint="eastAsia" w:asciiTheme="minorEastAsia" w:hAnsiTheme="minorEastAsia" w:cstheme="minorEastAsia"/>
                <w:color w:val="auto"/>
                <w:kern w:val="0"/>
                <w:sz w:val="24"/>
              </w:rPr>
              <w:t>　</w:t>
            </w:r>
          </w:p>
        </w:tc>
        <w:tc>
          <w:tcPr>
            <w:tcW w:w="3523" w:type="dxa"/>
            <w:gridSpan w:val="2"/>
            <w:tcBorders>
              <w:top w:val="nil"/>
              <w:left w:val="nil"/>
              <w:bottom w:val="single" w:color="auto" w:sz="8" w:space="0"/>
              <w:right w:val="single" w:color="000000" w:sz="8" w:space="0"/>
            </w:tcBorders>
            <w:shd w:val="clear" w:color="auto" w:fill="FFFFFF" w:themeFill="background1"/>
            <w:tcMar>
              <w:left w:w="108" w:type="dxa"/>
              <w:right w:w="108" w:type="dxa"/>
            </w:tcMar>
            <w:vAlign w:val="center"/>
          </w:tcPr>
          <w:p>
            <w:pPr>
              <w:jc w:val="center"/>
              <w:rPr>
                <w:rFonts w:hint="eastAsia" w:asciiTheme="minorEastAsia" w:hAnsiTheme="minorEastAsia" w:eastAsiaTheme="minorEastAsia" w:cstheme="minorEastAsia"/>
                <w:color w:val="auto"/>
                <w:kern w:val="0"/>
                <w:sz w:val="24"/>
                <w:lang w:val="en-US" w:eastAsia="zh-CN"/>
              </w:rPr>
            </w:pPr>
            <w:r>
              <w:rPr>
                <w:rFonts w:hint="eastAsia" w:asciiTheme="minorEastAsia" w:hAnsiTheme="minorEastAsia" w:cstheme="minorEastAsia"/>
                <w:color w:val="auto"/>
                <w:kern w:val="0"/>
                <w:sz w:val="24"/>
                <w:lang w:val="en-US" w:eastAsia="zh-CN"/>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i w:val="0"/>
          <w:caps w:val="0"/>
          <w:color w:val="000000"/>
          <w:spacing w:val="0"/>
          <w:sz w:val="24"/>
          <w:szCs w:val="2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i w:val="0"/>
          <w:caps w:val="0"/>
          <w:color w:val="000000"/>
          <w:spacing w:val="0"/>
          <w:sz w:val="24"/>
          <w:szCs w:val="2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i w:val="0"/>
          <w:caps w:val="0"/>
          <w:color w:val="000000"/>
          <w:spacing w:val="0"/>
          <w:sz w:val="24"/>
          <w:szCs w:val="24"/>
          <w:shd w:val="clear" w:fill="FFFFFF"/>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黑体" w:hAnsi="黑体" w:eastAsia="黑体" w:cs="黑体"/>
          <w:i w:val="0"/>
          <w:caps w:val="0"/>
          <w:color w:val="000000"/>
          <w:spacing w:val="0"/>
          <w:sz w:val="32"/>
          <w:szCs w:val="32"/>
          <w:shd w:val="clear" w:fill="FFFFFF"/>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黑体" w:hAnsi="黑体" w:eastAsia="黑体" w:cs="黑体"/>
          <w:i w:val="0"/>
          <w:caps w:val="0"/>
          <w:color w:val="000000"/>
          <w:spacing w:val="0"/>
          <w:sz w:val="32"/>
          <w:szCs w:val="32"/>
          <w:shd w:val="clear" w:fill="FFFFFF"/>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黑体" w:hAnsi="黑体" w:eastAsia="黑体" w:cs="黑体"/>
          <w:i w:val="0"/>
          <w:caps w:val="0"/>
          <w:color w:val="000000"/>
          <w:spacing w:val="0"/>
          <w:sz w:val="32"/>
          <w:szCs w:val="32"/>
          <w:shd w:val="clear" w:fill="FFFFFF"/>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600" w:lineRule="exact"/>
        <w:ind w:right="0" w:rightChars="0" w:firstLine="640" w:firstLineChars="200"/>
        <w:jc w:val="both"/>
        <w:textAlignment w:val="auto"/>
        <w:rPr>
          <w:rFonts w:hint="eastAsia" w:ascii="黑体" w:hAnsi="黑体" w:eastAsia="黑体" w:cs="黑体"/>
          <w:i w:val="0"/>
          <w:caps w:val="0"/>
          <w:color w:val="000000"/>
          <w:spacing w:val="0"/>
          <w:sz w:val="32"/>
          <w:szCs w:val="32"/>
          <w:shd w:val="clear" w:fill="FFFFFF"/>
          <w:lang w:val="en-US" w:eastAsia="zh-CN"/>
        </w:rPr>
      </w:pPr>
      <w:r>
        <w:rPr>
          <w:rFonts w:hint="eastAsia" w:ascii="黑体" w:hAnsi="黑体" w:eastAsia="黑体" w:cs="黑体"/>
          <w:i w:val="0"/>
          <w:caps w:val="0"/>
          <w:color w:val="000000"/>
          <w:spacing w:val="0"/>
          <w:sz w:val="32"/>
          <w:szCs w:val="32"/>
          <w:shd w:val="clear" w:fill="FFFFFF"/>
          <w:lang w:val="en-US" w:eastAsia="zh-CN"/>
        </w:rPr>
        <w:t>三、收到和处理政府信息公开申请情况</w:t>
      </w:r>
    </w:p>
    <w:tbl>
      <w:tblPr>
        <w:tblStyle w:val="6"/>
        <w:tblW w:w="9071"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25"/>
        <w:gridCol w:w="1418"/>
        <w:gridCol w:w="2835"/>
        <w:gridCol w:w="850"/>
        <w:gridCol w:w="567"/>
        <w:gridCol w:w="567"/>
        <w:gridCol w:w="567"/>
        <w:gridCol w:w="567"/>
        <w:gridCol w:w="540"/>
        <w:gridCol w:w="63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13" w:hRule="atLeast"/>
          <w:jc w:val="center"/>
        </w:trPr>
        <w:tc>
          <w:tcPr>
            <w:tcW w:w="4778"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（本列数据的勾稽关系为：第一项加第二项之和，</w:t>
            </w:r>
          </w:p>
          <w:p>
            <w:pPr>
              <w:widowControl/>
              <w:jc w:val="center"/>
              <w:rPr>
                <w:color w:val="auto"/>
              </w:rPr>
            </w:pPr>
            <w:r>
              <w:rPr>
                <w:rFonts w:hint="eastAsia" w:ascii="宋体" w:hAnsi="宋体" w:eastAsia="宋体" w:cs="宋体"/>
                <w:color w:val="auto"/>
                <w:kern w:val="0"/>
                <w:sz w:val="20"/>
                <w:szCs w:val="20"/>
              </w:rPr>
              <w:t>等于第三项加第四项之和）</w:t>
            </w:r>
          </w:p>
        </w:tc>
        <w:tc>
          <w:tcPr>
            <w:tcW w:w="4293"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color w:val="auto"/>
              </w:rPr>
            </w:pPr>
            <w:r>
              <w:rPr>
                <w:rFonts w:hint="eastAsia" w:ascii="宋体" w:hAnsi="宋体" w:eastAsia="宋体" w:cs="宋体"/>
                <w:color w:val="auto"/>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25"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color w:val="auto"/>
                <w:sz w:val="24"/>
              </w:rPr>
            </w:pPr>
          </w:p>
        </w:tc>
        <w:tc>
          <w:tcPr>
            <w:tcW w:w="85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自然人</w:t>
            </w:r>
          </w:p>
        </w:tc>
        <w:tc>
          <w:tcPr>
            <w:tcW w:w="2808"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color w:val="auto"/>
              </w:rPr>
            </w:pPr>
            <w:r>
              <w:rPr>
                <w:rFonts w:hint="eastAsia" w:ascii="宋体" w:hAnsi="宋体" w:eastAsia="宋体" w:cs="宋体"/>
                <w:color w:val="auto"/>
                <w:kern w:val="0"/>
                <w:sz w:val="20"/>
                <w:szCs w:val="20"/>
              </w:rPr>
              <w:t>法人或其他组织</w:t>
            </w:r>
          </w:p>
        </w:tc>
        <w:tc>
          <w:tcPr>
            <w:tcW w:w="63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27"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color w:val="auto"/>
                <w:sz w:val="24"/>
              </w:rPr>
            </w:pPr>
          </w:p>
        </w:tc>
        <w:tc>
          <w:tcPr>
            <w:tcW w:w="85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宋体"/>
                <w:color w:val="auto"/>
                <w:sz w:val="24"/>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ind w:left="-106" w:leftChars="-51" w:right="-107" w:rightChars="-51" w:hanging="1"/>
              <w:jc w:val="center"/>
              <w:rPr>
                <w:color w:val="auto"/>
              </w:rPr>
            </w:pPr>
            <w:r>
              <w:rPr>
                <w:rFonts w:hint="eastAsia" w:ascii="宋体" w:hAnsi="宋体" w:eastAsia="宋体" w:cs="宋体"/>
                <w:color w:val="auto"/>
                <w:kern w:val="0"/>
                <w:sz w:val="20"/>
                <w:szCs w:val="20"/>
              </w:rPr>
              <w:t>商业企业</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ind w:left="-107" w:leftChars="-51" w:right="-107" w:rightChars="-51"/>
              <w:jc w:val="center"/>
              <w:rPr>
                <w:color w:val="auto"/>
              </w:rPr>
            </w:pPr>
            <w:r>
              <w:rPr>
                <w:rFonts w:hint="eastAsia" w:ascii="宋体" w:hAnsi="宋体" w:eastAsia="宋体" w:cs="宋体"/>
                <w:color w:val="auto"/>
                <w:kern w:val="0"/>
                <w:sz w:val="20"/>
                <w:szCs w:val="20"/>
              </w:rPr>
              <w:t>科研机构</w:t>
            </w:r>
          </w:p>
        </w:tc>
        <w:tc>
          <w:tcPr>
            <w:tcW w:w="56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ind w:left="-107" w:leftChars="-51" w:right="-107" w:rightChars="-51"/>
              <w:jc w:val="center"/>
              <w:rPr>
                <w:color w:val="auto"/>
              </w:rPr>
            </w:pPr>
            <w:r>
              <w:rPr>
                <w:rFonts w:hint="eastAsia" w:ascii="宋体" w:hAnsi="宋体" w:eastAsia="宋体" w:cs="宋体"/>
                <w:color w:val="auto"/>
                <w:kern w:val="0"/>
                <w:sz w:val="20"/>
                <w:szCs w:val="20"/>
              </w:rPr>
              <w:t>社会公益组织</w:t>
            </w:r>
          </w:p>
        </w:tc>
        <w:tc>
          <w:tcPr>
            <w:tcW w:w="56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ind w:left="-106" w:leftChars="-51" w:right="-107" w:rightChars="-51" w:hanging="1"/>
              <w:jc w:val="center"/>
              <w:rPr>
                <w:color w:val="auto"/>
              </w:rPr>
            </w:pPr>
            <w:r>
              <w:rPr>
                <w:rFonts w:hint="eastAsia" w:ascii="宋体" w:hAnsi="宋体" w:eastAsia="宋体" w:cs="宋体"/>
                <w:color w:val="auto"/>
                <w:kern w:val="0"/>
                <w:sz w:val="20"/>
                <w:szCs w:val="20"/>
              </w:rPr>
              <w:t>法律服务机构</w:t>
            </w:r>
          </w:p>
        </w:tc>
        <w:tc>
          <w:tcPr>
            <w:tcW w:w="54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60" w:lineRule="exact"/>
              <w:ind w:left="-63" w:leftChars="-30" w:right="-134" w:rightChars="-64"/>
              <w:jc w:val="center"/>
              <w:rPr>
                <w:color w:val="auto"/>
              </w:rPr>
            </w:pPr>
            <w:r>
              <w:rPr>
                <w:rFonts w:hint="eastAsia" w:ascii="宋体" w:hAnsi="宋体" w:eastAsia="宋体" w:cs="宋体"/>
                <w:color w:val="auto"/>
                <w:kern w:val="0"/>
                <w:sz w:val="20"/>
                <w:szCs w:val="20"/>
              </w:rPr>
              <w:t>其他</w:t>
            </w:r>
          </w:p>
        </w:tc>
        <w:tc>
          <w:tcPr>
            <w:tcW w:w="63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宋体"/>
                <w:color w:val="auto"/>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color w:val="auto"/>
              </w:rPr>
            </w:pPr>
            <w:r>
              <w:rPr>
                <w:rFonts w:hint="eastAsia" w:ascii="宋体" w:hAnsi="宋体" w:eastAsia="宋体" w:cs="宋体"/>
                <w:color w:val="auto"/>
                <w:kern w:val="0"/>
                <w:sz w:val="20"/>
                <w:szCs w:val="20"/>
              </w:rPr>
              <w:t>一、本年新收政府信息公开申请数量</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color w:val="auto"/>
              </w:rPr>
            </w:pPr>
            <w:r>
              <w:rPr>
                <w:rFonts w:hint="eastAsia" w:ascii="宋体" w:hAnsi="宋体" w:eastAsia="宋体" w:cs="宋体"/>
                <w:color w:val="auto"/>
                <w:kern w:val="0"/>
                <w:sz w:val="20"/>
                <w:szCs w:val="20"/>
              </w:rPr>
              <w:t>二、上年结转政府信息公开申请数量</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25"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rPr>
                <w:color w:val="auto"/>
              </w:rPr>
            </w:pPr>
            <w:r>
              <w:rPr>
                <w:rFonts w:hint="eastAsia" w:ascii="宋体" w:hAnsi="宋体" w:eastAsia="宋体" w:cs="宋体"/>
                <w:color w:val="auto"/>
                <w:kern w:val="0"/>
                <w:sz w:val="20"/>
                <w:szCs w:val="20"/>
              </w:rPr>
              <w:t>三、本年度办理结果</w:t>
            </w:r>
          </w:p>
        </w:tc>
        <w:tc>
          <w:tcPr>
            <w:tcW w:w="42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rPr>
                <w:color w:val="auto"/>
              </w:rPr>
            </w:pPr>
            <w:r>
              <w:rPr>
                <w:rFonts w:hint="eastAsia" w:asciiTheme="minorEastAsia" w:hAnsiTheme="minorEastAsia" w:cstheme="minorEastAsia"/>
                <w:color w:val="auto"/>
                <w:sz w:val="21"/>
                <w:szCs w:val="21"/>
                <w:lang w:val="en-US" w:eastAsia="zh-CN"/>
              </w:rPr>
              <w:t>0</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6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color w:val="auto"/>
                <w:sz w:val="24"/>
              </w:rPr>
            </w:pPr>
          </w:p>
        </w:tc>
        <w:tc>
          <w:tcPr>
            <w:tcW w:w="42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rPr>
                <w:color w:val="auto"/>
              </w:rPr>
            </w:pPr>
            <w:r>
              <w:rPr>
                <w:rFonts w:hint="eastAsia" w:ascii="楷体" w:hAnsi="楷体" w:eastAsia="楷体" w:cs="楷体"/>
                <w:color w:val="auto"/>
                <w:kern w:val="0"/>
                <w:sz w:val="20"/>
                <w:szCs w:val="20"/>
              </w:rPr>
              <w:t>（二）部分公开（区分处理的，只计这一情形，不计其他情形）</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color w:val="auto"/>
                <w:sz w:val="24"/>
              </w:rPr>
            </w:pPr>
          </w:p>
        </w:tc>
        <w:tc>
          <w:tcPr>
            <w:tcW w:w="14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ind w:left="-107" w:leftChars="-51"/>
              <w:rPr>
                <w:color w:val="auto"/>
              </w:rPr>
            </w:pPr>
            <w:r>
              <w:rPr>
                <w:rFonts w:hint="eastAsia" w:ascii="楷体" w:hAnsi="楷体" w:eastAsia="楷体" w:cs="楷体"/>
                <w:color w:val="auto"/>
                <w:kern w:val="0"/>
                <w:sz w:val="20"/>
                <w:szCs w:val="20"/>
              </w:rPr>
              <w:t>（三）不予公开</w:t>
            </w: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color w:val="auto"/>
                <w:kern w:val="0"/>
                <w:sz w:val="20"/>
                <w:szCs w:val="20"/>
              </w:rPr>
            </w:pPr>
            <w:r>
              <w:rPr>
                <w:rFonts w:hint="eastAsia" w:ascii="楷体" w:hAnsi="楷体" w:eastAsia="楷体" w:cs="楷体"/>
                <w:color w:val="auto"/>
                <w:kern w:val="0"/>
                <w:sz w:val="20"/>
                <w:szCs w:val="20"/>
              </w:rPr>
              <w:t>1.属于国家秘密</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6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color w:val="auto"/>
                <w:sz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color w:val="auto"/>
                <w:sz w:val="24"/>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color w:val="auto"/>
                <w:kern w:val="0"/>
                <w:sz w:val="20"/>
                <w:szCs w:val="20"/>
              </w:rPr>
            </w:pPr>
            <w:r>
              <w:rPr>
                <w:rFonts w:hint="eastAsia" w:ascii="楷体" w:hAnsi="楷体" w:eastAsia="楷体" w:cs="楷体"/>
                <w:color w:val="auto"/>
                <w:kern w:val="0"/>
                <w:sz w:val="20"/>
                <w:szCs w:val="20"/>
              </w:rPr>
              <w:t>2.其他法律行政法规禁止公开</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color w:val="auto"/>
                <w:sz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color w:val="auto"/>
                <w:sz w:val="24"/>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color w:val="auto"/>
                <w:kern w:val="0"/>
                <w:sz w:val="20"/>
                <w:szCs w:val="20"/>
              </w:rPr>
            </w:pPr>
            <w:r>
              <w:rPr>
                <w:rFonts w:hint="eastAsia" w:ascii="楷体" w:hAnsi="楷体" w:eastAsia="楷体" w:cs="楷体"/>
                <w:color w:val="auto"/>
                <w:kern w:val="0"/>
                <w:sz w:val="20"/>
                <w:szCs w:val="20"/>
              </w:rPr>
              <w:t>3.危及“三安全一稳定”</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color w:val="auto"/>
                <w:sz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color w:val="auto"/>
                <w:sz w:val="24"/>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color w:val="auto"/>
                <w:kern w:val="0"/>
                <w:sz w:val="20"/>
                <w:szCs w:val="20"/>
              </w:rPr>
            </w:pPr>
            <w:r>
              <w:rPr>
                <w:rFonts w:hint="eastAsia" w:ascii="楷体" w:hAnsi="楷体" w:eastAsia="楷体" w:cs="楷体"/>
                <w:color w:val="auto"/>
                <w:kern w:val="0"/>
                <w:sz w:val="20"/>
                <w:szCs w:val="20"/>
              </w:rPr>
              <w:t>4.保护第三方合法权益</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color w:val="auto"/>
                <w:sz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color w:val="auto"/>
                <w:sz w:val="24"/>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color w:val="auto"/>
                <w:kern w:val="0"/>
                <w:sz w:val="20"/>
                <w:szCs w:val="20"/>
              </w:rPr>
            </w:pPr>
            <w:r>
              <w:rPr>
                <w:rFonts w:hint="eastAsia" w:ascii="楷体" w:hAnsi="楷体" w:eastAsia="楷体" w:cs="楷体"/>
                <w:color w:val="auto"/>
                <w:kern w:val="0"/>
                <w:sz w:val="20"/>
                <w:szCs w:val="20"/>
              </w:rPr>
              <w:t>5.属于三类内部事务信息</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color w:val="auto"/>
                <w:sz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color w:val="auto"/>
                <w:sz w:val="24"/>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color w:val="auto"/>
                <w:kern w:val="0"/>
                <w:sz w:val="20"/>
                <w:szCs w:val="20"/>
              </w:rPr>
            </w:pPr>
            <w:r>
              <w:rPr>
                <w:rFonts w:hint="eastAsia" w:ascii="楷体" w:hAnsi="楷体" w:eastAsia="楷体" w:cs="楷体"/>
                <w:color w:val="auto"/>
                <w:kern w:val="0"/>
                <w:sz w:val="20"/>
                <w:szCs w:val="20"/>
              </w:rPr>
              <w:t>6.属于四类过程性信息</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color w:val="auto"/>
                <w:sz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color w:val="auto"/>
                <w:sz w:val="24"/>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color w:val="auto"/>
                <w:kern w:val="0"/>
                <w:sz w:val="20"/>
                <w:szCs w:val="20"/>
              </w:rPr>
            </w:pPr>
            <w:r>
              <w:rPr>
                <w:rFonts w:hint="eastAsia" w:ascii="楷体" w:hAnsi="楷体" w:eastAsia="楷体" w:cs="楷体"/>
                <w:color w:val="auto"/>
                <w:kern w:val="0"/>
                <w:sz w:val="20"/>
                <w:szCs w:val="20"/>
              </w:rPr>
              <w:t>7.属于行政执法案卷</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color w:val="auto"/>
                <w:sz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color w:val="auto"/>
                <w:sz w:val="24"/>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color w:val="auto"/>
                <w:kern w:val="0"/>
                <w:sz w:val="20"/>
                <w:szCs w:val="20"/>
              </w:rPr>
            </w:pPr>
            <w:r>
              <w:rPr>
                <w:rFonts w:hint="eastAsia" w:ascii="楷体" w:hAnsi="楷体" w:eastAsia="楷体" w:cs="楷体"/>
                <w:color w:val="auto"/>
                <w:kern w:val="0"/>
                <w:sz w:val="20"/>
                <w:szCs w:val="20"/>
              </w:rPr>
              <w:t>8.属于行政查询事项</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color w:val="auto"/>
                <w:sz w:val="24"/>
              </w:rPr>
            </w:pPr>
          </w:p>
        </w:tc>
        <w:tc>
          <w:tcPr>
            <w:tcW w:w="14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ind w:left="-107" w:leftChars="-51"/>
              <w:rPr>
                <w:color w:val="auto"/>
              </w:rPr>
            </w:pPr>
            <w:r>
              <w:rPr>
                <w:rFonts w:hint="eastAsia" w:ascii="楷体" w:hAnsi="楷体" w:eastAsia="楷体" w:cs="楷体"/>
                <w:color w:val="auto"/>
                <w:kern w:val="0"/>
                <w:sz w:val="20"/>
                <w:szCs w:val="20"/>
              </w:rPr>
              <w:t>（四）无法提供</w:t>
            </w: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color w:val="auto"/>
                <w:kern w:val="0"/>
                <w:sz w:val="20"/>
                <w:szCs w:val="20"/>
              </w:rPr>
            </w:pPr>
            <w:r>
              <w:rPr>
                <w:rFonts w:hint="eastAsia" w:ascii="楷体" w:hAnsi="楷体" w:eastAsia="楷体" w:cs="楷体"/>
                <w:color w:val="auto"/>
                <w:kern w:val="0"/>
                <w:sz w:val="20"/>
                <w:szCs w:val="20"/>
              </w:rPr>
              <w:t>1.本机关不掌握相关政府信息</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color w:val="auto"/>
                <w:sz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ind w:left="-107" w:leftChars="-51"/>
              <w:rPr>
                <w:rFonts w:ascii="宋体"/>
                <w:color w:val="auto"/>
                <w:sz w:val="24"/>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color w:val="auto"/>
                <w:kern w:val="0"/>
                <w:sz w:val="20"/>
                <w:szCs w:val="20"/>
              </w:rPr>
            </w:pPr>
            <w:r>
              <w:rPr>
                <w:rFonts w:hint="eastAsia" w:ascii="楷体" w:hAnsi="楷体" w:eastAsia="楷体" w:cs="楷体"/>
                <w:color w:val="auto"/>
                <w:kern w:val="0"/>
                <w:sz w:val="20"/>
                <w:szCs w:val="20"/>
              </w:rPr>
              <w:t>2.没有现成信息需要另行制作</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color w:val="auto"/>
                <w:sz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ind w:left="-107" w:leftChars="-51"/>
              <w:rPr>
                <w:rFonts w:ascii="宋体"/>
                <w:color w:val="auto"/>
                <w:sz w:val="24"/>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color w:val="auto"/>
                <w:kern w:val="0"/>
                <w:sz w:val="20"/>
                <w:szCs w:val="20"/>
              </w:rPr>
            </w:pPr>
            <w:r>
              <w:rPr>
                <w:rFonts w:hint="eastAsia" w:ascii="楷体" w:hAnsi="楷体" w:eastAsia="楷体" w:cs="楷体"/>
                <w:color w:val="auto"/>
                <w:kern w:val="0"/>
                <w:sz w:val="20"/>
                <w:szCs w:val="20"/>
              </w:rPr>
              <w:t>3.补正后申请内容仍不明确</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color w:val="auto"/>
                <w:sz w:val="24"/>
              </w:rPr>
            </w:pPr>
          </w:p>
        </w:tc>
        <w:tc>
          <w:tcPr>
            <w:tcW w:w="14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ind w:left="-107" w:leftChars="-51"/>
              <w:rPr>
                <w:color w:val="auto"/>
              </w:rPr>
            </w:pPr>
            <w:r>
              <w:rPr>
                <w:rFonts w:hint="eastAsia" w:ascii="楷体" w:hAnsi="楷体" w:eastAsia="楷体" w:cs="楷体"/>
                <w:color w:val="auto"/>
                <w:kern w:val="0"/>
                <w:sz w:val="20"/>
                <w:szCs w:val="20"/>
              </w:rPr>
              <w:t>（五）不予处理</w:t>
            </w: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color w:val="auto"/>
                <w:kern w:val="0"/>
                <w:sz w:val="20"/>
                <w:szCs w:val="20"/>
              </w:rPr>
            </w:pPr>
            <w:r>
              <w:rPr>
                <w:rFonts w:hint="eastAsia" w:ascii="楷体" w:hAnsi="楷体" w:eastAsia="楷体" w:cs="楷体"/>
                <w:color w:val="auto"/>
                <w:kern w:val="0"/>
                <w:sz w:val="20"/>
                <w:szCs w:val="20"/>
              </w:rPr>
              <w:t>1.信访举报投诉类申请</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color w:val="auto"/>
                <w:sz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color w:val="auto"/>
                <w:sz w:val="24"/>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rFonts w:ascii="楷体" w:hAnsi="楷体" w:eastAsia="楷体" w:cs="楷体"/>
                <w:color w:val="auto"/>
                <w:kern w:val="0"/>
                <w:sz w:val="20"/>
                <w:szCs w:val="20"/>
              </w:rPr>
            </w:pPr>
            <w:r>
              <w:rPr>
                <w:rFonts w:hint="eastAsia" w:ascii="楷体" w:hAnsi="楷体" w:eastAsia="楷体" w:cs="楷体"/>
                <w:color w:val="auto"/>
                <w:kern w:val="0"/>
                <w:sz w:val="20"/>
                <w:szCs w:val="20"/>
              </w:rPr>
              <w:t>2.重复申请</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color w:val="auto"/>
                <w:sz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color w:val="auto"/>
                <w:sz w:val="24"/>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color w:val="auto"/>
              </w:rPr>
            </w:pPr>
            <w:r>
              <w:rPr>
                <w:rFonts w:hint="eastAsia" w:ascii="楷体" w:hAnsi="楷体" w:eastAsia="楷体" w:cs="楷体"/>
                <w:color w:val="auto"/>
                <w:kern w:val="0"/>
                <w:sz w:val="20"/>
                <w:szCs w:val="20"/>
              </w:rPr>
              <w:t>3.要求提供公开出版物</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color w:val="auto"/>
                <w:sz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color w:val="auto"/>
                <w:sz w:val="24"/>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color w:val="auto"/>
              </w:rPr>
            </w:pPr>
            <w:r>
              <w:rPr>
                <w:rFonts w:hint="eastAsia" w:ascii="楷体" w:hAnsi="楷体" w:eastAsia="楷体" w:cs="楷体"/>
                <w:color w:val="auto"/>
                <w:kern w:val="0"/>
                <w:sz w:val="20"/>
                <w:szCs w:val="20"/>
              </w:rPr>
              <w:t>4.无正当理由大量反复申请</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color w:val="auto"/>
                <w:sz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200" w:lineRule="exact"/>
              <w:rPr>
                <w:rFonts w:ascii="宋体"/>
                <w:color w:val="auto"/>
                <w:sz w:val="24"/>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rPr>
                <w:rFonts w:hint="eastAsia" w:ascii="楷体" w:hAnsi="楷体" w:eastAsia="楷体" w:cs="楷体"/>
                <w:color w:val="auto"/>
                <w:kern w:val="0"/>
                <w:sz w:val="20"/>
                <w:szCs w:val="20"/>
              </w:rPr>
            </w:pPr>
            <w:r>
              <w:rPr>
                <w:rFonts w:hint="eastAsia" w:ascii="楷体" w:hAnsi="楷体" w:eastAsia="楷体" w:cs="楷体"/>
                <w:color w:val="auto"/>
                <w:kern w:val="0"/>
                <w:sz w:val="20"/>
                <w:szCs w:val="20"/>
              </w:rPr>
              <w:t>5.要求行政机关确认或重新</w:t>
            </w:r>
          </w:p>
          <w:p>
            <w:pPr>
              <w:widowControl/>
              <w:spacing w:line="300" w:lineRule="exact"/>
              <w:ind w:firstLine="200" w:firstLineChars="100"/>
              <w:rPr>
                <w:color w:val="auto"/>
              </w:rPr>
            </w:pPr>
            <w:r>
              <w:rPr>
                <w:rFonts w:hint="eastAsia" w:ascii="楷体" w:hAnsi="楷体" w:eastAsia="楷体" w:cs="楷体"/>
                <w:color w:val="auto"/>
                <w:kern w:val="0"/>
                <w:sz w:val="20"/>
                <w:szCs w:val="20"/>
              </w:rPr>
              <w:t>出具已获取信息</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color w:val="auto"/>
                <w:sz w:val="24"/>
              </w:rPr>
            </w:pPr>
          </w:p>
        </w:tc>
        <w:tc>
          <w:tcPr>
            <w:tcW w:w="42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color w:val="auto"/>
              </w:rPr>
            </w:pPr>
            <w:r>
              <w:rPr>
                <w:rFonts w:hint="eastAsia" w:ascii="楷体" w:hAnsi="楷体" w:eastAsia="楷体" w:cs="楷体"/>
                <w:color w:val="auto"/>
                <w:kern w:val="0"/>
                <w:sz w:val="20"/>
                <w:szCs w:val="20"/>
              </w:rPr>
              <w:t>（六）其他处理</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cstheme="minorEastAsia"/>
                <w:color w:val="auto"/>
                <w:sz w:val="21"/>
                <w:szCs w:val="21"/>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cstheme="minorEastAsia"/>
                <w:color w:val="auto"/>
                <w:sz w:val="21"/>
                <w:szCs w:val="21"/>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color w:val="auto"/>
                <w:sz w:val="24"/>
              </w:rPr>
            </w:pPr>
          </w:p>
        </w:tc>
        <w:tc>
          <w:tcPr>
            <w:tcW w:w="42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200" w:lineRule="exact"/>
              <w:rPr>
                <w:color w:val="auto"/>
              </w:rPr>
            </w:pPr>
            <w:r>
              <w:rPr>
                <w:rFonts w:hint="eastAsia" w:ascii="楷体" w:hAnsi="楷体" w:eastAsia="楷体" w:cs="楷体"/>
                <w:color w:val="auto"/>
                <w:kern w:val="0"/>
                <w:sz w:val="20"/>
                <w:szCs w:val="20"/>
              </w:rPr>
              <w:t>（七）总计</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rPr>
                <w:color w:val="auto"/>
              </w:rPr>
            </w:pPr>
            <w:r>
              <w:rPr>
                <w:rFonts w:hint="eastAsia" w:ascii="宋体" w:hAnsi="宋体" w:eastAsia="宋体" w:cs="宋体"/>
                <w:color w:val="auto"/>
                <w:kern w:val="0"/>
                <w:sz w:val="20"/>
                <w:szCs w:val="20"/>
              </w:rPr>
              <w:t>四、结转下年度继续办理</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r>
    </w:tbl>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600" w:lineRule="exact"/>
        <w:ind w:right="0" w:rightChars="0" w:firstLine="640" w:firstLineChars="200"/>
        <w:jc w:val="both"/>
        <w:textAlignment w:val="auto"/>
        <w:rPr>
          <w:rFonts w:hint="eastAsia" w:ascii="黑体" w:hAnsi="黑体" w:eastAsia="黑体" w:cs="黑体"/>
          <w:i w:val="0"/>
          <w:caps w:val="0"/>
          <w:color w:val="000000"/>
          <w:spacing w:val="0"/>
          <w:sz w:val="32"/>
          <w:szCs w:val="32"/>
          <w:shd w:val="clear" w:fill="FFFFFF"/>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600" w:lineRule="exact"/>
        <w:ind w:right="0" w:rightChars="0" w:firstLine="640" w:firstLineChars="200"/>
        <w:jc w:val="both"/>
        <w:textAlignment w:val="auto"/>
        <w:rPr>
          <w:rFonts w:hint="eastAsia" w:ascii="黑体" w:hAnsi="黑体" w:eastAsia="黑体" w:cs="黑体"/>
          <w:i w:val="0"/>
          <w:caps w:val="0"/>
          <w:color w:val="000000"/>
          <w:spacing w:val="0"/>
          <w:sz w:val="32"/>
          <w:szCs w:val="32"/>
          <w:shd w:val="clear" w:fill="FFFFFF"/>
          <w:lang w:val="en-US" w:eastAsia="zh-CN"/>
        </w:rPr>
      </w:pPr>
      <w:r>
        <w:rPr>
          <w:rFonts w:hint="eastAsia" w:ascii="黑体" w:hAnsi="黑体" w:eastAsia="黑体" w:cs="黑体"/>
          <w:i w:val="0"/>
          <w:caps w:val="0"/>
          <w:color w:val="000000"/>
          <w:spacing w:val="0"/>
          <w:sz w:val="32"/>
          <w:szCs w:val="32"/>
          <w:shd w:val="clear" w:fill="FFFFFF"/>
          <w:lang w:val="en-US" w:eastAsia="zh-CN"/>
        </w:rPr>
        <w:t>四、政府信息公开行政复议、行政诉讼情况</w:t>
      </w:r>
    </w:p>
    <w:tbl>
      <w:tblPr>
        <w:tblStyle w:val="6"/>
        <w:tblW w:w="9071"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结果</w:t>
            </w:r>
          </w:p>
          <w:p>
            <w:pPr>
              <w:widowControl/>
              <w:ind w:left="-149" w:leftChars="-71" w:right="-170" w:rightChars="-81"/>
              <w:jc w:val="center"/>
              <w:rPr>
                <w:color w:val="auto"/>
              </w:rPr>
            </w:pPr>
            <w:r>
              <w:rPr>
                <w:rFonts w:hint="eastAsia" w:ascii="宋体" w:hAnsi="宋体" w:eastAsia="宋体" w:cs="宋体"/>
                <w:color w:val="auto"/>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color w:val="auto"/>
              </w:rPr>
            </w:pPr>
            <w:r>
              <w:rPr>
                <w:rFonts w:hint="eastAsia" w:ascii="宋体" w:hAnsi="宋体" w:eastAsia="宋体" w:cs="宋体"/>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color w:val="auto"/>
              </w:rPr>
            </w:pPr>
            <w:r>
              <w:rPr>
                <w:rFonts w:hint="eastAsia" w:ascii="宋体" w:hAnsi="宋体" w:eastAsia="宋体" w:cs="宋体"/>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尚未</w:t>
            </w:r>
          </w:p>
          <w:p>
            <w:pPr>
              <w:widowControl/>
              <w:ind w:left="-118" w:leftChars="-56" w:right="-118" w:rightChars="-56"/>
              <w:jc w:val="center"/>
              <w:rPr>
                <w:color w:val="auto"/>
              </w:rPr>
            </w:pPr>
            <w:r>
              <w:rPr>
                <w:rFonts w:hint="eastAsia" w:ascii="宋体" w:hAnsi="宋体" w:eastAsia="宋体" w:cs="宋体"/>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总</w:t>
            </w:r>
          </w:p>
          <w:p>
            <w:pPr>
              <w:widowControl/>
              <w:spacing w:line="320" w:lineRule="exact"/>
              <w:jc w:val="center"/>
              <w:rPr>
                <w:color w:val="auto"/>
              </w:rPr>
            </w:pPr>
            <w:r>
              <w:rPr>
                <w:rFonts w:hint="eastAsia" w:ascii="宋体" w:hAnsi="宋体" w:eastAsia="宋体" w:cs="宋体"/>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color w:val="auto"/>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宋体"/>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宋体"/>
                <w:color w:val="auto"/>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宋体"/>
                <w:color w:val="auto"/>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color w:val="auto"/>
              </w:rPr>
            </w:pPr>
            <w:r>
              <w:rPr>
                <w:rFonts w:hint="eastAsia" w:ascii="宋体" w:hAnsi="宋体" w:eastAsia="宋体" w:cs="宋体"/>
                <w:color w:val="auto"/>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color w:val="auto"/>
              </w:rPr>
            </w:pPr>
            <w:r>
              <w:rPr>
                <w:rFonts w:hint="eastAsia" w:ascii="宋体" w:hAnsi="宋体" w:eastAsia="宋体" w:cs="宋体"/>
                <w:color w:val="auto"/>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其他</w:t>
            </w:r>
          </w:p>
          <w:p>
            <w:pPr>
              <w:widowControl/>
              <w:ind w:left="-126" w:leftChars="-60" w:right="-136" w:rightChars="-65"/>
              <w:jc w:val="center"/>
              <w:rPr>
                <w:color w:val="auto"/>
              </w:rPr>
            </w:pPr>
            <w:r>
              <w:rPr>
                <w:rFonts w:hint="eastAsia" w:ascii="宋体" w:hAnsi="宋体" w:eastAsia="宋体" w:cs="宋体"/>
                <w:color w:val="auto"/>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尚未</w:t>
            </w:r>
          </w:p>
          <w:p>
            <w:pPr>
              <w:widowControl/>
              <w:ind w:left="-164" w:leftChars="-78" w:right="-153" w:rightChars="-73"/>
              <w:jc w:val="center"/>
              <w:rPr>
                <w:color w:val="auto"/>
              </w:rPr>
            </w:pPr>
            <w:r>
              <w:rPr>
                <w:rFonts w:hint="eastAsia" w:ascii="宋体" w:hAnsi="宋体" w:eastAsia="宋体" w:cs="宋体"/>
                <w:color w:val="auto"/>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color w:val="auto"/>
              </w:rPr>
            </w:pPr>
            <w:r>
              <w:rPr>
                <w:rFonts w:hint="eastAsia" w:ascii="宋体" w:hAnsi="宋体" w:eastAsia="宋体" w:cs="宋体"/>
                <w:color w:val="auto"/>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结果</w:t>
            </w:r>
          </w:p>
          <w:p>
            <w:pPr>
              <w:widowControl/>
              <w:ind w:left="-136" w:leftChars="-65" w:right="-124" w:rightChars="-59"/>
              <w:jc w:val="center"/>
              <w:rPr>
                <w:color w:val="auto"/>
              </w:rPr>
            </w:pPr>
            <w:r>
              <w:rPr>
                <w:rFonts w:hint="eastAsia" w:ascii="宋体" w:hAnsi="宋体" w:eastAsia="宋体" w:cs="宋体"/>
                <w:color w:val="auto"/>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其他</w:t>
            </w:r>
          </w:p>
          <w:p>
            <w:pPr>
              <w:widowControl/>
              <w:ind w:left="-173" w:leftChars="-83" w:right="-134" w:rightChars="-64" w:hanging="1"/>
              <w:jc w:val="center"/>
              <w:rPr>
                <w:color w:val="auto"/>
              </w:rPr>
            </w:pPr>
            <w:r>
              <w:rPr>
                <w:rFonts w:hint="eastAsia" w:ascii="宋体" w:hAnsi="宋体" w:eastAsia="宋体" w:cs="宋体"/>
                <w:color w:val="auto"/>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color w:val="auto"/>
              </w:rPr>
            </w:pPr>
            <w:r>
              <w:rPr>
                <w:rFonts w:hint="eastAsia" w:ascii="宋体" w:hAnsi="宋体" w:eastAsia="宋体" w:cs="宋体"/>
                <w:color w:val="auto"/>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eastAsia="宋体" w:cs="宋体"/>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02" w:hRule="atLeast"/>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 </w:t>
            </w:r>
            <w:r>
              <w:rPr>
                <w:rFonts w:hint="eastAsia" w:ascii="宋体" w:hAnsi="宋体" w:eastAsia="宋体" w:cs="宋体"/>
                <w:color w:val="auto"/>
                <w:kern w:val="0"/>
                <w:sz w:val="21"/>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 </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 </w:t>
            </w:r>
            <w:r>
              <w:rPr>
                <w:rFonts w:hint="eastAsia" w:ascii="宋体" w:hAnsi="宋体" w:eastAsia="宋体" w:cs="宋体"/>
                <w:color w:val="auto"/>
                <w:kern w:val="0"/>
                <w:sz w:val="21"/>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 </w:t>
            </w:r>
            <w:r>
              <w:rPr>
                <w:rFonts w:hint="eastAsia" w:ascii="宋体" w:hAnsi="宋体" w:eastAsia="宋体" w:cs="宋体"/>
                <w:color w:val="auto"/>
                <w:kern w:val="0"/>
                <w:sz w:val="21"/>
                <w:szCs w:val="21"/>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 </w:t>
            </w:r>
            <w:r>
              <w:rPr>
                <w:rFonts w:hint="eastAsia" w:ascii="宋体" w:hAnsi="宋体" w:eastAsia="宋体" w:cs="宋体"/>
                <w:color w:val="auto"/>
                <w:kern w:val="0"/>
                <w:sz w:val="21"/>
                <w:szCs w:val="21"/>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 </w:t>
            </w:r>
            <w:r>
              <w:rPr>
                <w:rFonts w:hint="eastAsia" w:ascii="宋体" w:hAnsi="宋体" w:eastAsia="宋体" w:cs="宋体"/>
                <w:color w:val="auto"/>
                <w:kern w:val="0"/>
                <w:sz w:val="21"/>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 </w:t>
            </w:r>
            <w:r>
              <w:rPr>
                <w:rFonts w:hint="eastAsia" w:ascii="宋体" w:hAnsi="宋体" w:eastAsia="宋体" w:cs="宋体"/>
                <w:color w:val="auto"/>
                <w:kern w:val="0"/>
                <w:sz w:val="21"/>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 </w:t>
            </w:r>
            <w:r>
              <w:rPr>
                <w:rFonts w:hint="eastAsia" w:ascii="宋体" w:hAnsi="宋体" w:eastAsia="宋体" w:cs="宋体"/>
                <w:color w:val="auto"/>
                <w:kern w:val="0"/>
                <w:sz w:val="21"/>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 </w:t>
            </w:r>
            <w:r>
              <w:rPr>
                <w:rFonts w:hint="eastAsia" w:ascii="宋体" w:hAnsi="宋体" w:eastAsia="宋体" w:cs="宋体"/>
                <w:color w:val="auto"/>
                <w:kern w:val="0"/>
                <w:sz w:val="21"/>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 </w:t>
            </w:r>
            <w:r>
              <w:rPr>
                <w:rFonts w:hint="eastAsia" w:ascii="宋体" w:hAnsi="宋体" w:eastAsia="宋体" w:cs="宋体"/>
                <w:color w:val="auto"/>
                <w:kern w:val="0"/>
                <w:sz w:val="21"/>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 </w:t>
            </w:r>
            <w:r>
              <w:rPr>
                <w:rFonts w:hint="eastAsia" w:ascii="宋体" w:hAnsi="宋体" w:eastAsia="宋体" w:cs="宋体"/>
                <w:color w:val="auto"/>
                <w:kern w:val="0"/>
                <w:sz w:val="21"/>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 </w:t>
            </w:r>
            <w:r>
              <w:rPr>
                <w:rFonts w:hint="eastAsia" w:ascii="宋体" w:hAnsi="宋体" w:eastAsia="宋体" w:cs="宋体"/>
                <w:color w:val="auto"/>
                <w:kern w:val="0"/>
                <w:sz w:val="21"/>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 </w:t>
            </w:r>
            <w:r>
              <w:rPr>
                <w:rFonts w:hint="eastAsia" w:ascii="宋体" w:hAnsi="宋体" w:eastAsia="宋体" w:cs="宋体"/>
                <w:color w:val="auto"/>
                <w:kern w:val="0"/>
                <w:sz w:val="21"/>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 </w:t>
            </w:r>
            <w:r>
              <w:rPr>
                <w:rFonts w:hint="eastAsia" w:ascii="宋体" w:hAnsi="宋体" w:eastAsia="宋体" w:cs="宋体"/>
                <w:color w:val="auto"/>
                <w:kern w:val="0"/>
                <w:sz w:val="21"/>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caps w:val="0"/>
          <w:color w:val="000000" w:themeColor="text1"/>
          <w:spacing w:val="0"/>
          <w:sz w:val="32"/>
          <w:szCs w:val="32"/>
          <w:shd w:val="clear" w:fill="FFFFFF"/>
          <w14:textFill>
            <w14:solidFill>
              <w14:schemeClr w14:val="tx1"/>
            </w14:solidFill>
          </w14:textFill>
        </w:rPr>
        <w:t>五、存在的主要问题及改进情况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楷体_GB2312" w:hAnsi="楷体_GB2312" w:eastAsia="楷体_GB2312" w:cs="楷体_GB2312"/>
          <w:b w:val="0"/>
          <w:bCs w:val="0"/>
          <w:i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sz w:val="32"/>
          <w:szCs w:val="32"/>
          <w:shd w:val="clear" w:fill="FFFFFF"/>
          <w14:textFill>
            <w14:solidFill>
              <w14:schemeClr w14:val="tx1"/>
            </w14:solidFill>
          </w14:textFill>
        </w:rPr>
        <w:t>（一）201</w:t>
      </w:r>
      <w:r>
        <w:rPr>
          <w:rFonts w:hint="eastAsia" w:ascii="楷体_GB2312" w:hAnsi="楷体_GB2312" w:eastAsia="楷体_GB2312" w:cs="楷体_GB2312"/>
          <w:b w:val="0"/>
          <w:bCs w:val="0"/>
          <w:i w:val="0"/>
          <w:caps w:val="0"/>
          <w:color w:val="000000" w:themeColor="text1"/>
          <w:spacing w:val="0"/>
          <w:sz w:val="32"/>
          <w:szCs w:val="32"/>
          <w:shd w:val="clear" w:fill="FFFFFF"/>
          <w:lang w:val="en-US" w:eastAsia="zh-CN"/>
          <w14:textFill>
            <w14:solidFill>
              <w14:schemeClr w14:val="tx1"/>
            </w14:solidFill>
          </w14:textFill>
        </w:rPr>
        <w:t>9</w:t>
      </w:r>
      <w:r>
        <w:rPr>
          <w:rFonts w:hint="eastAsia" w:ascii="楷体_GB2312" w:hAnsi="楷体_GB2312" w:eastAsia="楷体_GB2312" w:cs="楷体_GB2312"/>
          <w:b w:val="0"/>
          <w:bCs w:val="0"/>
          <w:i w:val="0"/>
          <w:caps w:val="0"/>
          <w:color w:val="000000" w:themeColor="text1"/>
          <w:spacing w:val="0"/>
          <w:sz w:val="32"/>
          <w:szCs w:val="32"/>
          <w:shd w:val="clear" w:fill="FFFFFF"/>
          <w14:textFill>
            <w14:solidFill>
              <w14:schemeClr w14:val="tx1"/>
            </w14:solidFill>
          </w14:textFill>
        </w:rPr>
        <w:t>年问题整改情况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一是加大培训力度。积极参加上级举办的培训班，不断提升政府信息公开工作人员业务水平。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二是丰富信息公开内容。围绕群众需求，增加了信息公开内容。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楷体_GB2312" w:hAnsi="楷体_GB2312" w:eastAsia="楷体_GB2312" w:cs="楷体_GB2312"/>
          <w:b w:val="0"/>
          <w:bCs w:val="0"/>
          <w:i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sz w:val="32"/>
          <w:szCs w:val="32"/>
          <w:shd w:val="clear" w:fill="FFFFFF"/>
          <w14:textFill>
            <w14:solidFill>
              <w14:schemeClr w14:val="tx1"/>
            </w14:solidFill>
          </w14:textFill>
        </w:rPr>
        <w:t>（二）</w:t>
      </w:r>
      <w:r>
        <w:rPr>
          <w:rFonts w:hint="eastAsia" w:ascii="楷体_GB2312" w:hAnsi="楷体_GB2312" w:eastAsia="楷体_GB2312" w:cs="楷体_GB2312"/>
          <w:b w:val="0"/>
          <w:bCs w:val="0"/>
          <w:i w:val="0"/>
          <w:caps w:val="0"/>
          <w:color w:val="000000" w:themeColor="text1"/>
          <w:spacing w:val="0"/>
          <w:sz w:val="32"/>
          <w:szCs w:val="32"/>
          <w:shd w:val="clear" w:fill="FFFFFF"/>
          <w:lang w:val="en-US" w:eastAsia="zh-CN"/>
          <w14:textFill>
            <w14:solidFill>
              <w14:schemeClr w14:val="tx1"/>
            </w14:solidFill>
          </w14:textFill>
        </w:rPr>
        <w:t>2020</w:t>
      </w:r>
      <w:r>
        <w:rPr>
          <w:rFonts w:hint="eastAsia" w:ascii="楷体_GB2312" w:hAnsi="楷体_GB2312" w:eastAsia="楷体_GB2312" w:cs="楷体_GB2312"/>
          <w:b w:val="0"/>
          <w:bCs w:val="0"/>
          <w:i w:val="0"/>
          <w:caps w:val="0"/>
          <w:color w:val="000000" w:themeColor="text1"/>
          <w:spacing w:val="0"/>
          <w:sz w:val="32"/>
          <w:szCs w:val="32"/>
          <w:shd w:val="clear" w:fill="FFFFFF"/>
          <w14:textFill>
            <w14:solidFill>
              <w14:schemeClr w14:val="tx1"/>
            </w14:solidFill>
          </w14:textFill>
        </w:rPr>
        <w:t>年存在的主要问题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 xml:space="preserve">一是认识有待进一步提高。个别站所对实行政府信息公开的重要意义认识不足，未把政府信息公开工作作为本部门一项日常工作开展，创造性开展工作的主动性不够。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二是公开力度需进一步加大。公开内容不够深化、细化，</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尤其是一些群众关心的热点、难点等重点公开的内容还需进一步拓展和深入。</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三是公开信息形式有待完善。比较重视通过网站和微信公众号公开政府信息，其他的公开形式不够丰富。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楷体_GB2312" w:hAnsi="楷体_GB2312" w:eastAsia="楷体_GB2312" w:cs="楷体_GB2312"/>
          <w:b w:val="0"/>
          <w:bCs w:val="0"/>
          <w:i w:val="0"/>
          <w:caps w:val="0"/>
          <w:color w:val="000000" w:themeColor="text1"/>
          <w:spacing w:val="0"/>
          <w:sz w:val="32"/>
          <w:szCs w:val="32"/>
          <w:shd w:val="clear" w:fill="FFFFFF"/>
          <w:lang w:eastAsia="zh-CN"/>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b w:val="0"/>
          <w:bCs w:val="0"/>
          <w:i w:val="0"/>
          <w:caps w:val="0"/>
          <w:color w:val="000000" w:themeColor="text1"/>
          <w:spacing w:val="0"/>
          <w:sz w:val="32"/>
          <w:szCs w:val="32"/>
          <w:shd w:val="clear" w:fill="FFFFFF"/>
          <w:lang w:val="en-US" w:eastAsia="zh-CN"/>
          <w14:textFill>
            <w14:solidFill>
              <w14:schemeClr w14:val="tx1"/>
            </w14:solidFill>
          </w14:textFill>
        </w:rPr>
        <w:t>三）</w:t>
      </w:r>
      <w:r>
        <w:rPr>
          <w:rFonts w:hint="eastAsia" w:ascii="楷体_GB2312" w:hAnsi="楷体_GB2312" w:eastAsia="楷体_GB2312" w:cs="楷体_GB2312"/>
          <w:b w:val="0"/>
          <w:bCs w:val="0"/>
          <w:i w:val="0"/>
          <w:caps w:val="0"/>
          <w:color w:val="000000" w:themeColor="text1"/>
          <w:spacing w:val="0"/>
          <w:sz w:val="32"/>
          <w:szCs w:val="32"/>
          <w:shd w:val="clear" w:fill="FFFFFF"/>
          <w14:textFill>
            <w14:solidFill>
              <w14:schemeClr w14:val="tx1"/>
            </w14:solidFill>
          </w14:textFill>
        </w:rPr>
        <w:t>改进措施</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b w:val="0"/>
          <w:bCs w:val="0"/>
          <w:i w:val="0"/>
          <w:caps w:val="0"/>
          <w:color w:val="000000" w:themeColor="text1"/>
          <w:spacing w:val="0"/>
          <w:sz w:val="32"/>
          <w:szCs w:val="32"/>
          <w:u w:val="none"/>
          <w:lang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u w:val="none"/>
          <w:shd w:val="clear" w:fill="FFFFFF"/>
          <w:lang w:val="en-US" w:eastAsia="zh-CN"/>
          <w14:textFill>
            <w14:solidFill>
              <w14:schemeClr w14:val="tx1"/>
            </w14:solidFill>
          </w14:textFill>
        </w:rPr>
        <w:t>一是</w:t>
      </w:r>
      <w:r>
        <w:rPr>
          <w:rFonts w:hint="eastAsia" w:ascii="仿宋_GB2312" w:hAnsi="仿宋_GB2312" w:eastAsia="仿宋_GB2312" w:cs="仿宋_GB2312"/>
          <w:b w:val="0"/>
          <w:bCs w:val="0"/>
          <w:i w:val="0"/>
          <w:caps w:val="0"/>
          <w:color w:val="000000" w:themeColor="text1"/>
          <w:spacing w:val="0"/>
          <w:sz w:val="32"/>
          <w:szCs w:val="32"/>
          <w:u w:val="none"/>
          <w:shd w:val="clear" w:fill="FFFFFF"/>
          <w14:textFill>
            <w14:solidFill>
              <w14:schemeClr w14:val="tx1"/>
            </w14:solidFill>
          </w14:textFill>
        </w:rPr>
        <w:t>提高对信息公开工作的重视。坚定不移地做好政府信息公开工作，将其作为服务社会、服务群众的重要途径。做到机构健全、制度完善、责任到人，建立起各负其责、运转协调的信息公开长效机制</w:t>
      </w:r>
      <w:r>
        <w:rPr>
          <w:rFonts w:hint="eastAsia" w:ascii="仿宋_GB2312" w:hAnsi="仿宋_GB2312" w:eastAsia="仿宋_GB2312" w:cs="仿宋_GB2312"/>
          <w:b w:val="0"/>
          <w:bCs w:val="0"/>
          <w:i w:val="0"/>
          <w:caps w:val="0"/>
          <w:color w:val="000000" w:themeColor="text1"/>
          <w:spacing w:val="0"/>
          <w:sz w:val="32"/>
          <w:szCs w:val="32"/>
          <w:u w:val="none"/>
          <w:shd w:val="clear" w:fill="FFFFFF"/>
          <w:lang w:eastAsia="zh-CN"/>
          <w14:textFill>
            <w14:solidFill>
              <w14:schemeClr w14:val="tx1"/>
            </w14:solidFill>
          </w14:textFill>
        </w:rPr>
        <w:t>。</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b w:val="0"/>
          <w:bCs w:val="0"/>
          <w:i w:val="0"/>
          <w:caps w:val="0"/>
          <w:color w:val="000000" w:themeColor="text1"/>
          <w:spacing w:val="0"/>
          <w:sz w:val="32"/>
          <w:szCs w:val="32"/>
          <w:u w:val="none"/>
          <w:lang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u w:val="none"/>
          <w:shd w:val="clear" w:fill="FFFFFF"/>
          <w:lang w:val="en-US" w:eastAsia="zh-CN"/>
          <w14:textFill>
            <w14:solidFill>
              <w14:schemeClr w14:val="tx1"/>
            </w14:solidFill>
          </w14:textFill>
        </w:rPr>
        <w:t>二是</w:t>
      </w:r>
      <w:r>
        <w:rPr>
          <w:rFonts w:hint="eastAsia" w:ascii="仿宋_GB2312" w:hAnsi="仿宋_GB2312" w:eastAsia="仿宋_GB2312" w:cs="仿宋_GB2312"/>
          <w:b w:val="0"/>
          <w:bCs w:val="0"/>
          <w:i w:val="0"/>
          <w:caps w:val="0"/>
          <w:color w:val="000000" w:themeColor="text1"/>
          <w:spacing w:val="0"/>
          <w:sz w:val="32"/>
          <w:szCs w:val="32"/>
          <w:u w:val="none"/>
          <w:shd w:val="clear" w:fill="FFFFFF"/>
          <w14:textFill>
            <w14:solidFill>
              <w14:schemeClr w14:val="tx1"/>
            </w14:solidFill>
          </w14:textFill>
        </w:rPr>
        <w:t>不断提升政府政务信息公开服务质量，进一步完善和拓展政务信息公开的内容及形式，积极探索政府信息公开方式、方法</w:t>
      </w:r>
      <w:r>
        <w:rPr>
          <w:rFonts w:hint="eastAsia" w:ascii="仿宋_GB2312" w:hAnsi="仿宋_GB2312" w:eastAsia="仿宋_GB2312" w:cs="仿宋_GB2312"/>
          <w:b w:val="0"/>
          <w:bCs w:val="0"/>
          <w:i w:val="0"/>
          <w:caps w:val="0"/>
          <w:color w:val="000000" w:themeColor="text1"/>
          <w:spacing w:val="0"/>
          <w:sz w:val="32"/>
          <w:szCs w:val="32"/>
          <w:u w:val="none"/>
          <w:shd w:val="clear" w:fill="FFFFFF"/>
          <w:lang w:eastAsia="zh-CN"/>
          <w14:textFill>
            <w14:solidFill>
              <w14:schemeClr w14:val="tx1"/>
            </w14:solidFill>
          </w14:textFill>
        </w:rPr>
        <w:t>。</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u w:val="none"/>
          <w:shd w:val="clear" w:fill="FFFFFF"/>
          <w:lang w:val="en-US" w:eastAsia="zh-CN"/>
          <w14:textFill>
            <w14:solidFill>
              <w14:schemeClr w14:val="tx1"/>
            </w14:solidFill>
          </w14:textFill>
        </w:rPr>
        <w:t>三是</w:t>
      </w:r>
      <w:r>
        <w:rPr>
          <w:rFonts w:hint="eastAsia" w:ascii="仿宋_GB2312" w:hAnsi="仿宋_GB2312" w:eastAsia="仿宋_GB2312" w:cs="仿宋_GB2312"/>
          <w:b w:val="0"/>
          <w:bCs w:val="0"/>
          <w:i w:val="0"/>
          <w:caps w:val="0"/>
          <w:color w:val="000000" w:themeColor="text1"/>
          <w:spacing w:val="0"/>
          <w:sz w:val="32"/>
          <w:szCs w:val="32"/>
          <w:u w:val="none"/>
          <w:shd w:val="clear" w:fill="FFFFFF"/>
          <w14:textFill>
            <w14:solidFill>
              <w14:schemeClr w14:val="tx1"/>
            </w14:solidFill>
          </w14:textFill>
        </w:rPr>
        <w:t>完善政务公开信息考核机制</w:t>
      </w:r>
      <w:r>
        <w:rPr>
          <w:rFonts w:hint="eastAsia" w:ascii="仿宋_GB2312" w:hAnsi="仿宋_GB2312" w:eastAsia="仿宋_GB2312" w:cs="仿宋_GB2312"/>
          <w:b w:val="0"/>
          <w:bCs w:val="0"/>
          <w:i w:val="0"/>
          <w:caps w:val="0"/>
          <w:color w:val="000000" w:themeColor="text1"/>
          <w:spacing w:val="0"/>
          <w:sz w:val="32"/>
          <w:szCs w:val="32"/>
          <w:u w:val="none"/>
          <w:shd w:val="clear" w:fill="FFFFFF"/>
          <w:lang w:eastAsia="zh-CN"/>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0"/>
          <w:sz w:val="32"/>
          <w:szCs w:val="32"/>
          <w:u w:val="none"/>
          <w:shd w:val="clear" w:fill="FFFFFF"/>
          <w14:textFill>
            <w14:solidFill>
              <w14:schemeClr w14:val="tx1"/>
            </w14:solidFill>
          </w14:textFill>
        </w:rPr>
        <w:t>进一步规范细化政府信息公开工作检查考核制度</w:t>
      </w:r>
      <w:r>
        <w:rPr>
          <w:rFonts w:hint="eastAsia" w:ascii="仿宋_GB2312" w:hAnsi="仿宋_GB2312" w:eastAsia="仿宋_GB2312" w:cs="仿宋_GB2312"/>
          <w:b w:val="0"/>
          <w:bCs w:val="0"/>
          <w:i w:val="0"/>
          <w:caps w:val="0"/>
          <w:color w:val="000000" w:themeColor="text1"/>
          <w:spacing w:val="0"/>
          <w:sz w:val="32"/>
          <w:szCs w:val="32"/>
          <w:u w:val="none"/>
          <w:shd w:val="clear" w:fill="FFFFFF"/>
          <w:lang w:eastAsia="zh-CN"/>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0"/>
          <w:sz w:val="32"/>
          <w:szCs w:val="32"/>
          <w:u w:val="none"/>
          <w:shd w:val="clear" w:fill="FFFFFF"/>
          <w14:textFill>
            <w14:solidFill>
              <w14:schemeClr w14:val="tx1"/>
            </w14:solidFill>
          </w14:textFill>
        </w:rPr>
        <w:t>确保公开信息准确及时。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　　</w:t>
      </w:r>
      <w:r>
        <w:rPr>
          <w:rFonts w:hint="eastAsia" w:ascii="黑体" w:hAnsi="黑体" w:eastAsia="黑体" w:cs="黑体"/>
          <w:b w:val="0"/>
          <w:bCs w:val="0"/>
          <w:i w:val="0"/>
          <w:caps w:val="0"/>
          <w:color w:val="000000" w:themeColor="text1"/>
          <w:spacing w:val="0"/>
          <w:sz w:val="32"/>
          <w:szCs w:val="32"/>
          <w:shd w:val="clear" w:fill="FFFFFF"/>
          <w14:textFill>
            <w14:solidFill>
              <w14:schemeClr w14:val="tx1"/>
            </w14:solidFill>
          </w14:textFill>
        </w:rPr>
        <w:t>六、其他需要报告的事项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i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lang w:val="en-US" w:eastAsia="zh-CN"/>
          <w14:textFill>
            <w14:solidFill>
              <w14:schemeClr w14:val="tx1"/>
            </w14:solidFill>
          </w14:textFill>
        </w:rPr>
        <w:t>无。</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昌乐县人民政府宝都街道办事处</w:t>
      </w:r>
    </w:p>
    <w:p>
      <w:pPr>
        <w:keepNext w:val="0"/>
        <w:keepLines w:val="0"/>
        <w:pageBreakBefore w:val="0"/>
        <w:kinsoku/>
        <w:wordWrap/>
        <w:overflowPunct/>
        <w:topLinePunct w:val="0"/>
        <w:autoSpaceDE/>
        <w:autoSpaceDN/>
        <w:bidi w:val="0"/>
        <w:adjustRightInd/>
        <w:snapToGrid/>
        <w:spacing w:line="600" w:lineRule="exact"/>
        <w:ind w:firstLine="4800" w:firstLineChars="1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2021年1月26日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503A4"/>
    <w:rsid w:val="05EB024F"/>
    <w:rsid w:val="06BB678A"/>
    <w:rsid w:val="072B77C2"/>
    <w:rsid w:val="1A050AEB"/>
    <w:rsid w:val="1E2726EA"/>
    <w:rsid w:val="25C00E17"/>
    <w:rsid w:val="309E2A3B"/>
    <w:rsid w:val="31B54893"/>
    <w:rsid w:val="381300ED"/>
    <w:rsid w:val="38D01917"/>
    <w:rsid w:val="3CD3364C"/>
    <w:rsid w:val="4C1741E9"/>
    <w:rsid w:val="4E5B6D88"/>
    <w:rsid w:val="56EB0052"/>
    <w:rsid w:val="5C5743E0"/>
    <w:rsid w:val="5F3B4937"/>
    <w:rsid w:val="600112C3"/>
    <w:rsid w:val="6E557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2021-01-20T08:39:00Z</dcterms:created>
  <dc:creator>lenovo</dc:creator>
  <cp:lastModifiedBy>Administrator</cp:lastModifiedBy>
  <dcterms:modified xsi:type="dcterms:W3CDTF">2021-02-05T08:59:26Z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