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昌乐县</w:t>
      </w: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  <w:lang w:eastAsia="zh-CN"/>
        </w:rPr>
        <w:t>宝都街道</w:t>
      </w: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2021</w:t>
      </w: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</w:rPr>
        <w:t>年政府信息公开工作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  <w:lang w:eastAsia="zh-CN"/>
        </w:rPr>
        <w:t>年度</w:t>
      </w: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</w:rPr>
        <w:t>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根据《中华人民共和国政府信息公开条例》要求，结合街道实际，编制并向社会公布宝都街道2021年度政府信息公开工作报告。如对本报告有疑问，请联系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宝都街道文化体育广播服务中心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，联系电话：0536-6221823。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黑体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总体情况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宝都街道紧紧围绕上级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关于政府信息公开工作的部署要求，进一步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根据自身工作实际及群众关切的热点问题，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优化公开目录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丰富公开形式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、调整公开内容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，及时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进行政府信息公开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，不断提升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信息公开工作力度和实效。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1232535</wp:posOffset>
            </wp:positionV>
            <wp:extent cx="5272405" cy="2726690"/>
            <wp:effectExtent l="0" t="0" r="4445" b="16510"/>
            <wp:wrapTopAndBottom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年12月31日，主动公开政府信息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条。其中，依托昌乐县政府门户网站共主动公开政府信息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通过微信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（二）依申请公开情况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1.依申请公开情况。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宝都街道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年共收到政府信息公开申请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申请处理情况。共答复政府信息公开申请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申请行政复议、提起行政诉讼情况。全年未发生因政府信息公开被行政复议、提起行政诉讼情况。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（三）政府信息管理情况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政务信息公开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流程。建立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健全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政府信息公开工作全流程管理机制，设置具体经办人员、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站所长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分管领导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审核把关机制，重要信息须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分管负责人把关审签，最大限度保证公开内容经得起审查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二是做好政务信息公开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保密审查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建立健全互联网网站信息发布保密审查机制，严格落实国家秘密法、信息公开条例以及其他法律法规和国家有关规定，按照“先审查、后公开”的原则，确保公开信息依法、及时、全面、准确和合理，严格做好政府信息公开保密审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（四）政府信息公开平台建设情况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宝都街道政府信息公开形式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目前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主要有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线上公开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线下公开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两种形式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：线上公开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主要依托“昌乐宝都”微信公众号、昌乐县政府门户网站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对相关信息进行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电子化公开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；线下公开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主要在街道公开宣传栏张贴纸质化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材料进行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公开。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）监督保障情况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明确责任主体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以网站为依托，明确规定各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站办所、社区任务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，压实各级责任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，确定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宝都街道文化体育广播服务中心负责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信息公开工作资料收集、编制录入、信息更新、统计及维护管理工作。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.强化考核监督。坚持提高站位，将政府信息公开工作，纳入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各部门及个人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年度绩效考核体系，激发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政府信息公开工作积极性和主动性。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加大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培训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力度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。积极参加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政府组织的政府信息公开工作会议和业务培训，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提升工作人员对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政府信息公开工作的认识水平和工作能力。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4.机构建设及人员配置情况。明确政务公开工作分管负责人，具体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2名人员专门负责日常公开工作。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主动公开政府信息情况</w:t>
      </w:r>
    </w:p>
    <w:tbl>
      <w:tblPr>
        <w:tblStyle w:val="5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hd w:val="clear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48"/>
        <w:gridCol w:w="3281"/>
        <w:gridCol w:w="697"/>
        <w:gridCol w:w="697"/>
        <w:gridCol w:w="697"/>
        <w:gridCol w:w="697"/>
        <w:gridCol w:w="697"/>
        <w:gridCol w:w="697"/>
        <w:gridCol w:w="5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4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6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6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7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（一）20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年问题整改情况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一是工作认识水平进一步提高。各社区、站所把政府信息公开工作作为本部门一项日常工作开展，主动增强对此项工作的重视程度。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二是公开内容和形式进一步丰富。围绕群众需求，增加了信息公开内容,丰富了线上+线下公开形式。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年存在的主要问题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一是公开力度需进一步加大。公开内容不够深化、细化，尤其是还需要进一步深入跟踪一些群众关心的热点、难点等内容，并及时予以公开。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二是培训力度需进一步提高。要针对政务信息公开工作举办街道层面专题培训班，不断提升政府信息公开工作人员业务水平。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改进措施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提高对信息公开工作重视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程度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。要坚持问题导向、目标导向、结果导向，以最坚决的态度、最迅速的行动、最有力的措施，聚焦问题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坚定不移地做好政府信息公开工作，将其作为服务社会、服务群众的重要途径。做到机构健全、制度完善、责任到人，建立起各负其责、运转协调的信息公开长效机制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二是加大政府信息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专题培训力度。要针对政务公开举办专题培训，并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积极参加上级举办的培训班，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提高街道全体工作人员的重视程度，熟悉政务公开工作内容、工作细则、工作要求等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，不断提升政府信息公开工作人员业务水平。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提升政府信息公开服务质量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健全政务公开工作机制，及时发布政务信息，将信息公开工作更好地融入日常业务工作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进一步完善和拓展政务信息公开的内容及形式，积极探索政府信息公开方式、方法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（一）收取信息处理费情况。2021年，宝都街道未收取任何政府信息公开信息处理费。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上级年度政务公开工作要点落实情况。根据《宝都街道2021年度政务公开工作实施方案》安排，扎实推动责任事项落实到位，细化政务公开工作任务，推进行政决策公开、执行公开、管理公开、服务公开和结果公开。目前，宝都街道涉及责任事项已全部落实到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（三）人大代表建议和政协提案办理情况。2021年，宝都街道未承办人大代表建议和政协提案。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（四）年度政务公开工作创新情况，组织开展“政府开放月”系列活动，采取多种形式广泛开展政务公开活动，每个活动安排至少1名站所工作人员全程参与指导，打造阳光、透明、开放、服务型政府。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（五）报告数据统计说明。本报告所列数据统计期限为2021年1月1日至2021年12月31日。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（六）本行政机关认为需要报告的其他事项。无。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（七）其他有关文件专门要求报告的事项。无。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仿宋_GB2312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昌乐县宝都街道办事处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2022年1月24日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A3AA8"/>
    <w:multiLevelType w:val="singleLevel"/>
    <w:tmpl w:val="A17A3AA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503A4"/>
    <w:rsid w:val="05EB024F"/>
    <w:rsid w:val="06BB678A"/>
    <w:rsid w:val="06CE0EAF"/>
    <w:rsid w:val="071B7D78"/>
    <w:rsid w:val="07260D33"/>
    <w:rsid w:val="072B77C2"/>
    <w:rsid w:val="07F435F4"/>
    <w:rsid w:val="09F20EFB"/>
    <w:rsid w:val="0BF96C4B"/>
    <w:rsid w:val="0C345C31"/>
    <w:rsid w:val="12A84089"/>
    <w:rsid w:val="1A050AEB"/>
    <w:rsid w:val="1BAD499F"/>
    <w:rsid w:val="1E2726EA"/>
    <w:rsid w:val="24E224F7"/>
    <w:rsid w:val="25C00E17"/>
    <w:rsid w:val="28FE5714"/>
    <w:rsid w:val="2B0C0453"/>
    <w:rsid w:val="2C0C0F51"/>
    <w:rsid w:val="309E2A3B"/>
    <w:rsid w:val="31B54893"/>
    <w:rsid w:val="335C4102"/>
    <w:rsid w:val="380A101D"/>
    <w:rsid w:val="381300ED"/>
    <w:rsid w:val="38D01917"/>
    <w:rsid w:val="39D97955"/>
    <w:rsid w:val="407B105C"/>
    <w:rsid w:val="43621E29"/>
    <w:rsid w:val="44372886"/>
    <w:rsid w:val="477546FB"/>
    <w:rsid w:val="4B0D353F"/>
    <w:rsid w:val="4C1741E9"/>
    <w:rsid w:val="4E4C379B"/>
    <w:rsid w:val="4E5B6D88"/>
    <w:rsid w:val="51EE04C2"/>
    <w:rsid w:val="539F12D7"/>
    <w:rsid w:val="565D4A56"/>
    <w:rsid w:val="56EB0052"/>
    <w:rsid w:val="5740571D"/>
    <w:rsid w:val="5C5743E0"/>
    <w:rsid w:val="5D6D4A61"/>
    <w:rsid w:val="5EA340BB"/>
    <w:rsid w:val="5F3B4937"/>
    <w:rsid w:val="600112C3"/>
    <w:rsid w:val="61CC1411"/>
    <w:rsid w:val="63AD3D63"/>
    <w:rsid w:val="6471774A"/>
    <w:rsid w:val="6A192AFD"/>
    <w:rsid w:val="6E557338"/>
    <w:rsid w:val="72B67FCF"/>
    <w:rsid w:val="745867B6"/>
    <w:rsid w:val="785045A3"/>
    <w:rsid w:val="785845A8"/>
    <w:rsid w:val="7AF2164C"/>
    <w:rsid w:val="7F5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2895</Words>
  <Characters>2989</Characters>
  <Lines>0</Lines>
  <Paragraphs>0</Paragraphs>
  <TotalTime>10</TotalTime>
  <ScaleCrop>false</ScaleCrop>
  <LinksUpToDate>false</LinksUpToDate>
  <CharactersWithSpaces>2989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2021-01-20T08:39:00Z</dcterms:created>
  <dc:creator>lenovo</dc:creator>
  <cp:lastModifiedBy>admin</cp:lastModifiedBy>
  <dcterms:modified xsi:type="dcterms:W3CDTF">2022-03-11T09:17:38Z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B511DBB8A18C497B8DAD3A808F30813E</vt:lpwstr>
  </property>
</Properties>
</file>