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eastAsia="zh-CN"/>
        </w:rPr>
      </w:pP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eastAsia="zh-CN"/>
        </w:rPr>
        <w:t>昌乐县人民政府宝都街道办事处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</w:rPr>
      </w:pP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val="en-US" w:eastAsia="zh-CN"/>
        </w:rPr>
        <w:t>2023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</w:rPr>
        <w:t>年政府信息公开工作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  <w:lang w:eastAsia="zh-CN"/>
        </w:rPr>
        <w:t>年度</w:t>
      </w:r>
      <w:r>
        <w:rPr>
          <w:rFonts w:hint="eastAsia" w:ascii="文星标宋" w:hAnsi="文星标宋" w:eastAsia="文星标宋" w:cs="文星标宋"/>
          <w:b/>
          <w:bCs/>
          <w:color w:val="auto"/>
          <w:sz w:val="44"/>
          <w:szCs w:val="44"/>
          <w:shd w:val="clear" w:color="auto" w:fill="FFFFFF"/>
        </w:rPr>
        <w:t>报告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仿宋_GB2312" w:hAnsi="仿宋_GB2312" w:eastAsia="仿宋_GB2312" w:cs="仿宋_GB2312"/>
          <w:b/>
          <w:bCs/>
          <w:color w:val="auto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，宝都街道认真贯彻落实上级有关部署要求，深化公开内容、加强政策解读、回应社会关切，政府信息公开工作取得积极进展，各项工作透明度得到有效提升。结合街道实际，编制并向社会公布宝都街道2023年度政府信息公开工作报告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黑体" w:cs="仿宋_GB2312"/>
          <w:i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一、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总体情况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2023年，宝都街道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坚持以习近平新时代中国特色社会主义思想为指导，认真贯彻党的二十大精神，大力推进政务运行公开透明，不断提升政务公开质量和水平，持续发挥以公开促落实、强监管、优环境功能，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不断提升街道信息公开工作力度和实效。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持续推动政府信息主动公开目录的动态更新调整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通过门户网站、微信公众号等多种渠道公开重点领域信息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2023年，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宝都街道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291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条。其中，依托昌乐县政府门户网站共主动公开政府信息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通过微信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公众号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268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right="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drawing>
          <wp:inline distT="0" distB="0" distL="114300" distR="114300">
            <wp:extent cx="5269865" cy="3275965"/>
            <wp:effectExtent l="0" t="0" r="6985" b="635"/>
            <wp:docPr id="2" name="图片 2" descr="微信截图_20240105141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截图_2024010514112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275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（二）依申请公开情况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1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依申请公开情况。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宝都街道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20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年共收到政府信息公开申请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申请处理情况。共答复政府信息公开申请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申请行政复议、提起行政诉讼情况。全年未发生因政府信息公开被行政复议、提起行政诉讼情况。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（三）</w:t>
      </w:r>
      <w:bookmarkStart w:id="0" w:name="OLE_LINK1"/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政府信息管理情况</w:t>
      </w:r>
    </w:p>
    <w:bookmarkEnd w:id="0"/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加大政府信息主动公开力度。主动、快速、准确地通过门户网站、微信公众号等多种渠道公开重点领域信息，便于群众及时、全面了解街道相关政策信息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强化政府信息管理工作。按照“公开为常态，不公开为例外”和“谁公开，谁负责”原则，规范信息公开范围及属性、公开流程和公开方式；规范信息公开审发流程，对主动公开的内容，严格落实“三审三校”“先审后发”制度，确保公开的信息内容安全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优化政务公开平台建设。充分发挥政务网站作为政务公开主平台的作用，开通政民互动专栏，积极回应群众关切；充分发挥新闻宣传阵地，利用新媒体的即时性、互动性等特点和优势，全面提升平台传播力、引导力、影响力、公信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（四）政府信息公开平台建设情况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宝都街道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目前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政府信息公开形式主要有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线上公开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线下公开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两种形式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：线上公开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利用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“昌乐宝都”微信公众号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平台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、昌乐县政府门户网站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对相关信息进行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；线下公开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主要在街道公开宣传栏张贴纸质化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eastAsia="zh-CN"/>
        </w:rPr>
        <w:t>材料进行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公开。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（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五</w:t>
      </w:r>
      <w:r>
        <w:rPr>
          <w:rFonts w:hint="eastAsia" w:ascii="楷体_GB2312" w:hAnsi="楷体_GB2312" w:eastAsia="楷体_GB2312" w:cs="楷体_GB2312"/>
          <w:i w:val="0"/>
          <w:caps w:val="0"/>
          <w:color w:val="000000"/>
          <w:spacing w:val="0"/>
          <w:sz w:val="32"/>
          <w:szCs w:val="32"/>
          <w:shd w:val="clear" w:fill="FFFFFF"/>
        </w:rPr>
        <w:t>）监督保障情况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进一步强化指导监督。认真落实政务公开工作要点，完善公开制度规范，督促各社区、各部门按分工推进所负责的工作，并做好政府信息公开的保密审查工作。政务网站及时更新政务公开监督保障渠道，公布投诉举报电话、邮箱等信息，自觉接受公众监督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2、进一步强化评价考核。将政府信息公开工作纳入全年民政工作考核评价体系，组织开展信息宣传员操作培训，加强网站和政务新媒体的维护。主动接受上级部门和社会监督，对发现的问题及时整改。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3.进一步强化工作保障。明确政务公开工作分管负责人，具体2名人员专门负责日常公开工作，做到领导、机构、人员“三到位”，形成了“主要领导亲自抓、分管领导直接抓、处室专人抓落实”的工作机制。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br w:type="page"/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leftChars="0"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二、</w:t>
      </w: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</w:rPr>
        <w:t>主动公开政府信息情况</w:t>
      </w:r>
    </w:p>
    <w:tbl>
      <w:tblPr>
        <w:tblStyle w:val="5"/>
        <w:tblW w:w="9740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br w:type="page"/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2"/>
        <w:gridCol w:w="948"/>
        <w:gridCol w:w="3281"/>
        <w:gridCol w:w="697"/>
        <w:gridCol w:w="697"/>
        <w:gridCol w:w="697"/>
        <w:gridCol w:w="697"/>
        <w:gridCol w:w="697"/>
        <w:gridCol w:w="697"/>
        <w:gridCol w:w="56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4747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自然人</w:t>
            </w:r>
          </w:p>
        </w:tc>
        <w:tc>
          <w:tcPr>
            <w:tcW w:w="348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法人或其他组织</w:t>
            </w:r>
          </w:p>
        </w:tc>
        <w:tc>
          <w:tcPr>
            <w:tcW w:w="565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企业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社会公益组织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法律服务机构</w:t>
            </w:r>
          </w:p>
        </w:tc>
        <w:tc>
          <w:tcPr>
            <w:tcW w:w="6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</w:p>
        </w:tc>
        <w:tc>
          <w:tcPr>
            <w:tcW w:w="565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三、本年度办理结果</w:t>
            </w: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（一）予以公开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kern w:val="0"/>
                <w:sz w:val="20"/>
                <w:szCs w:val="20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（三）不予公开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1.属于国家秘密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2.其他法律行政法规禁止公开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3.危及“三安全一稳定”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4.保护第三方合法权益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5.属于三类内部事务信息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6.属于四类过程性信息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7.属于行政执法案卷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8.属于行政查询事项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（四）无法提供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1.本机关不掌握相关政府信息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2.没有现成信息需要另行制作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3.补正后申请内容仍不明确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（五）不予处理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1.信访举报投诉类申请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3.要求提供公开出版物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4.无正当理由大量反复申请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（六）其他处理</w:t>
            </w: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948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3.其他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72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22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（七）总计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5001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四、结转下年度继续办理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 w:ascii="Calibri" w:hAnsi="Calibri" w:cs="Calibri"/>
                <w:kern w:val="0"/>
                <w:sz w:val="20"/>
                <w:szCs w:val="20"/>
                <w:lang w:val="en-US" w:eastAsia="zh-CN" w:bidi="ar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56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宋体"/>
                <w:sz w:val="24"/>
                <w:szCs w:val="24"/>
                <w:lang w:val="en-US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157" w:afterLines="50" w:afterAutospacing="0" w:line="600" w:lineRule="exact"/>
        <w:ind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2"/>
        <w:gridCol w:w="642"/>
        <w:gridCol w:w="642"/>
        <w:gridCol w:w="642"/>
        <w:gridCol w:w="642"/>
        <w:gridCol w:w="642"/>
        <w:gridCol w:w="642"/>
        <w:gridCol w:w="643"/>
        <w:gridCol w:w="643"/>
        <w:gridCol w:w="643"/>
        <w:gridCol w:w="643"/>
        <w:gridCol w:w="643"/>
        <w:gridCol w:w="643"/>
        <w:gridCol w:w="643"/>
        <w:gridCol w:w="75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653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642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21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332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7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6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75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宋体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五、存在的主要问题及改进情况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（一）20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年问题整改情况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一是政务公开制度进一步完善。街道层面专门举办针对政务信息公开工作的专题培训班，要求每个部门负责政务公开工作人员参加，增强理论知识，进一步健全和完善政务公开制度，统一规范公开内容，提高公开质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二是公开内容和形式进一步丰富。公开内容自选动作增加，内容进一步拓展和深入。增加了公开信息的形式，通过召开新闻发布会的方式进一步公开信息。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2023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年存在的主要问题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一是政务公开的深度和广度不够，公开内容不全面、不及时，流于形式。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二是政务公开工作进展不平衡，存在“两头热、中间冷”、“温差较大”和“时冷时热”等问题。公开频率得不到保障，没有形成规律。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三是政务公开队伍建设有待加强，基层人员变动更新快，缺乏专业人员。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 w:ascii="楷体_GB2312" w:hAnsi="楷体_GB2312" w:eastAsia="楷体_GB2312" w:cs="楷体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改进措施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一是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拓展信息覆盖面，确保实效性。加大对政策文件、行政权力公开透明运行情况、涉及群众切身利益事项等情况的公开力度，适时开展政策解读，加强政策解读，促进政策落地。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二是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加强教育培训。将政务公开与业务学习相结合，进一步加强网站管理人员、信息报送人员的能力素质培养，促进政府信息公开工作更加规范。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三是</w:t>
      </w:r>
      <w:r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增强信息发布主动性、及时性。要求政务公开经办人及时掌握了政务信息公开的日常制度、标准要求等内容，注重把握相关信息发布的时间节点，加强报送信息的主动性、及时性。</w:t>
      </w:r>
    </w:p>
    <w:p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2023年，宝都街道收取年度信息处理费为0元。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（一）收取信息处理费情况。2023年，宝都街道未收取任何政府信息公开信息处理费。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二）上级年度政务公开工作要点落实情况。建立健全政府信息管理动态调整机制，准确把握不予公开的范围，定期对公开和不予公开的政府信息进行评估，对失效、废止的政府信息定期清理。每月定期对网站内容开展自查工作，做到及时整改。目前，宝都街道涉及责任事项已全部落实到位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（三）人大代表建议和政协提案办理情况。2023年，宝都街道承办人大代表建议0件、协办政协委员提案4件。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（四）年度政务公开工作创新情况。宝都街道以政务公开助推南关片区棚改回迁安置分房经验做法被“政务公开看山东”微信公众号刊发。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（五）报告数据统计说明。本报告所列数据统计期限为2023年1月1日至2023年12月31日。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（六）本行政机关认为需要报告的其他事项。无。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（七）其他有关文件专门要求报告的事项。无。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昌乐县人民政府宝都街道办事处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840" w:firstLineChars="1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2024年1月12日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文星标宋">
    <w:panose1 w:val="0201060900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17A3AA8"/>
    <w:multiLevelType w:val="singleLevel"/>
    <w:tmpl w:val="A17A3AA8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0MzlhYTA4MTc2YzA2YzM4NTM2MDg2OWIzZmRlMTcifQ=="/>
  </w:docVars>
  <w:rsids>
    <w:rsidRoot w:val="00000000"/>
    <w:rsid w:val="010178D6"/>
    <w:rsid w:val="01C57F68"/>
    <w:rsid w:val="01E10336"/>
    <w:rsid w:val="049A6738"/>
    <w:rsid w:val="051503A4"/>
    <w:rsid w:val="05EB024F"/>
    <w:rsid w:val="06BB678A"/>
    <w:rsid w:val="06CE0EAF"/>
    <w:rsid w:val="071B7D78"/>
    <w:rsid w:val="072B77C2"/>
    <w:rsid w:val="07F435F4"/>
    <w:rsid w:val="09F20EFB"/>
    <w:rsid w:val="0ECC6E04"/>
    <w:rsid w:val="12A84089"/>
    <w:rsid w:val="19C73835"/>
    <w:rsid w:val="1A050AEB"/>
    <w:rsid w:val="1BAD499F"/>
    <w:rsid w:val="1E2726EA"/>
    <w:rsid w:val="23143D09"/>
    <w:rsid w:val="23990008"/>
    <w:rsid w:val="25C00E17"/>
    <w:rsid w:val="267F4BBC"/>
    <w:rsid w:val="27D41C39"/>
    <w:rsid w:val="28FE5714"/>
    <w:rsid w:val="2B0C0453"/>
    <w:rsid w:val="2C0C0F51"/>
    <w:rsid w:val="309E2A3B"/>
    <w:rsid w:val="31B54893"/>
    <w:rsid w:val="335C4102"/>
    <w:rsid w:val="36901D98"/>
    <w:rsid w:val="37F870B1"/>
    <w:rsid w:val="380A101D"/>
    <w:rsid w:val="381300ED"/>
    <w:rsid w:val="38D01917"/>
    <w:rsid w:val="396924FA"/>
    <w:rsid w:val="39D97955"/>
    <w:rsid w:val="3D4D397F"/>
    <w:rsid w:val="3E103B8D"/>
    <w:rsid w:val="3EA86A07"/>
    <w:rsid w:val="407B105C"/>
    <w:rsid w:val="44372886"/>
    <w:rsid w:val="477546FB"/>
    <w:rsid w:val="4B0D353F"/>
    <w:rsid w:val="4C1741E9"/>
    <w:rsid w:val="4DD34C40"/>
    <w:rsid w:val="4E5B6D88"/>
    <w:rsid w:val="52E14F69"/>
    <w:rsid w:val="53273751"/>
    <w:rsid w:val="539F12D7"/>
    <w:rsid w:val="54AB1DEE"/>
    <w:rsid w:val="565D4A56"/>
    <w:rsid w:val="56EB0052"/>
    <w:rsid w:val="5740571D"/>
    <w:rsid w:val="5C5743E0"/>
    <w:rsid w:val="5D6D4A61"/>
    <w:rsid w:val="5F3B4937"/>
    <w:rsid w:val="600112C3"/>
    <w:rsid w:val="61247905"/>
    <w:rsid w:val="61CC1411"/>
    <w:rsid w:val="6471774A"/>
    <w:rsid w:val="6A192AFD"/>
    <w:rsid w:val="6E557338"/>
    <w:rsid w:val="6F7E7426"/>
    <w:rsid w:val="72B67FCF"/>
    <w:rsid w:val="745867B6"/>
    <w:rsid w:val="785045A3"/>
    <w:rsid w:val="7AF2164C"/>
    <w:rsid w:val="7D823FCB"/>
    <w:rsid w:val="7F57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2021-01-20T08:39:00Z</dcterms:created>
  <dc:creator>lenovo</dc:creator>
  <cp:lastModifiedBy>YUJIE</cp:lastModifiedBy>
  <cp:lastPrinted>2024-01-19T05:57:00Z</cp:lastPrinted>
  <dcterms:modified xsi:type="dcterms:W3CDTF">2024-01-19T06:15:48Z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51E9FF5519DF43CAA0D73ED433332861_13</vt:lpwstr>
  </property>
</Properties>
</file>