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文星标宋" w:hAnsi="文星标宋" w:eastAsia="文星标宋"/>
          <w:b/>
          <w:sz w:val="44"/>
          <w:szCs w:val="44"/>
        </w:rPr>
      </w:pPr>
      <w:r>
        <w:rPr>
          <w:rFonts w:hint="eastAsia" w:ascii="文星标宋" w:hAnsi="文星标宋" w:eastAsia="文星标宋" w:cs="宋体"/>
          <w:b/>
          <w:sz w:val="44"/>
          <w:szCs w:val="44"/>
          <w:lang w:val="en-US" w:eastAsia="zh-CN"/>
        </w:rPr>
        <w:t>昌乐县</w:t>
      </w:r>
      <w:r>
        <w:rPr>
          <w:rFonts w:hint="eastAsia" w:ascii="文星标宋" w:hAnsi="文星标宋" w:eastAsia="文星标宋" w:cs="宋体"/>
          <w:b/>
          <w:sz w:val="44"/>
          <w:szCs w:val="44"/>
        </w:rPr>
        <w:t>鄌郚</w:t>
      </w:r>
      <w:r>
        <w:rPr>
          <w:rFonts w:hint="eastAsia" w:ascii="文星标宋" w:hAnsi="文星标宋" w:eastAsia="文星标宋"/>
          <w:b/>
          <w:sz w:val="44"/>
          <w:szCs w:val="44"/>
        </w:rPr>
        <w:t>镇20</w:t>
      </w:r>
      <w:r>
        <w:rPr>
          <w:rFonts w:hint="eastAsia" w:ascii="文星标宋" w:hAnsi="文星标宋" w:eastAsia="文星标宋"/>
          <w:b/>
          <w:sz w:val="44"/>
          <w:szCs w:val="44"/>
          <w:lang w:val="en-US" w:eastAsia="zh-CN"/>
        </w:rPr>
        <w:t>21</w:t>
      </w:r>
      <w:r>
        <w:rPr>
          <w:rFonts w:hint="eastAsia" w:ascii="文星标宋" w:hAnsi="文星标宋" w:eastAsia="文星标宋"/>
          <w:b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文星标宋" w:hAnsi="文星标宋" w:eastAsia="文星标宋"/>
          <w:b/>
          <w:sz w:val="44"/>
          <w:szCs w:val="44"/>
        </w:rPr>
      </w:pPr>
      <w:r>
        <w:rPr>
          <w:rFonts w:hint="eastAsia" w:ascii="文星标宋" w:hAnsi="文星标宋" w:eastAsia="文星标宋"/>
          <w:b/>
          <w:sz w:val="44"/>
          <w:szCs w:val="44"/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根据《中华人民共和国政府信息公开条例》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及《潍坊市人民政府办公室关于认真做好202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年度政府信息公开年度报告编制发布工作的通知》，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我镇信息公开工作严格按照“公开为原则，不公开为例外”的工作要求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编制并发布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鄌郚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镇政府信息公开年度报告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全文由总体情况、主动公开政府信息情况、收到和处理政府信息公开申请情况、政府信息公开行政复议和行政诉讼情况、存在的主要问题及改进措施以及其他需要报告的事项6部分组成。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如对本报告有任何疑问，请与本单位政府信息公开受理机构联系（地址：昌乐县</w:t>
      </w:r>
      <w:r>
        <w:rPr>
          <w:rFonts w:hint="eastAsia" w:ascii="宋体" w:hAnsi="宋体" w:cs="宋体"/>
          <w:b/>
          <w:sz w:val="32"/>
          <w:szCs w:val="32"/>
        </w:rPr>
        <w:t>鄌郚</w:t>
      </w:r>
      <w:r>
        <w:rPr>
          <w:rFonts w:hint="eastAsia" w:ascii="仿宋_GB2312" w:eastAsia="仿宋_GB2312"/>
          <w:b/>
          <w:sz w:val="32"/>
          <w:szCs w:val="32"/>
        </w:rPr>
        <w:t>镇人民政府，邮编：26240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2"/>
        </w:rPr>
        <w:t>，电话：0536-6611106）。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196"/>
        <w:textAlignment w:val="auto"/>
        <w:outlineLvl w:val="9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</w:rPr>
        <w:t>一、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196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2"/>
        </w:rPr>
        <w:t>年，在县委、县政府的正确领导下，鄌郚镇党委、政府高度重视政府信息公开工作，坚持以习近平新时代中国特色社会主义思想和党的十九大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及历次全会</w:t>
      </w:r>
      <w:r>
        <w:rPr>
          <w:rFonts w:hint="eastAsia" w:ascii="仿宋_GB2312" w:eastAsia="仿宋_GB2312"/>
          <w:b/>
          <w:sz w:val="32"/>
          <w:szCs w:val="32"/>
        </w:rPr>
        <w:t>精神为指导，深入推进政府信息公开工作，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深入推进政府信息公开，使政府信息公开内容不断更新，系统功能日益完善，工作开展规范秩序。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196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主动公开情况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截止20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21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年12月31日，主动公开政府信息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283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条。其中，通过政府信息公开专栏主动公开政府信息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19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条，通过微信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公众号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主动公开政府信息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264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1.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及时公开鄌郚镇机构设置和主要职责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sz w:val="32"/>
          <w:szCs w:val="32"/>
          <w:lang w:val="en-US" w:eastAsia="zh-CN"/>
        </w:rPr>
        <w:drawing>
          <wp:inline distT="0" distB="0" distL="114300" distR="114300">
            <wp:extent cx="5610860" cy="2699385"/>
            <wp:effectExtent l="0" t="0" r="8890" b="5715"/>
            <wp:docPr id="5" name="图片 5" descr="FDOL9PPL(V~GQZNZSN0[D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DOL9PPL(V~GQZNZSN0[DN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2.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及时公开鄌郚镇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突发事件总体应急方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textAlignment w:val="auto"/>
        <w:outlineLvl w:val="9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sz w:val="32"/>
          <w:szCs w:val="32"/>
          <w:lang w:val="en-US" w:eastAsia="zh-CN"/>
        </w:rPr>
        <w:drawing>
          <wp:inline distT="0" distB="0" distL="114300" distR="114300">
            <wp:extent cx="5608320" cy="2670810"/>
            <wp:effectExtent l="0" t="0" r="11430" b="15240"/>
            <wp:docPr id="7" name="图片 7" descr="EX%JQH2M]GU8DN@]9OM6X)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X%JQH2M]GU8DN@]9OM6X)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1" w:firstLineChars="100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3.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及时公开鄌郚镇202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年度政务公开工作实施方案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drawing>
          <wp:inline distT="0" distB="0" distL="114300" distR="114300">
            <wp:extent cx="5609590" cy="2251710"/>
            <wp:effectExtent l="0" t="0" r="10160" b="15240"/>
            <wp:docPr id="6" name="图片 6" descr="Q6$[{VP@5GIE9CQ14{B4O~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6$[{VP@5GIE9CQ14{B4O~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4.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及时公开鄌郚镇202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年政府信息主动公开基本目录（含重点领域）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sz w:val="32"/>
          <w:szCs w:val="32"/>
          <w:lang w:val="en-US" w:eastAsia="zh-CN"/>
        </w:rPr>
        <w:drawing>
          <wp:inline distT="0" distB="0" distL="114300" distR="114300">
            <wp:extent cx="5608320" cy="2713990"/>
            <wp:effectExtent l="0" t="0" r="11430" b="10160"/>
            <wp:docPr id="3" name="图片 3" descr="~{0]))QZE5HUI(9G(4V[)3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~{0]))QZE5HUI(9G(4V[)3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（二）依申请公开情况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Verdana" w:eastAsia="仿宋_GB2312"/>
          <w:b/>
          <w:color w:val="020202"/>
          <w:sz w:val="21"/>
          <w:szCs w:val="21"/>
        </w:rPr>
      </w:pPr>
      <w:r>
        <w:rPr>
          <w:rFonts w:hint="eastAsia" w:ascii="仿宋_GB2312" w:hAnsi="仿宋" w:eastAsia="仿宋_GB2312"/>
          <w:b/>
          <w:color w:val="020202"/>
          <w:sz w:val="32"/>
          <w:szCs w:val="32"/>
          <w:lang w:val="en-US" w:eastAsia="zh-CN"/>
        </w:rPr>
        <w:t>2021</w:t>
      </w:r>
      <w:r>
        <w:rPr>
          <w:rFonts w:hint="eastAsia" w:ascii="仿宋_GB2312" w:hAnsi="仿宋" w:eastAsia="仿宋_GB2312"/>
          <w:b/>
          <w:color w:val="020202"/>
          <w:sz w:val="32"/>
          <w:szCs w:val="32"/>
        </w:rPr>
        <w:t>年度，我镇未接到提出公开政府信息的申请。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（三）政府信息管理情况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一是完善信息公开管理流程。建立政府信息公开工作全流程管理机制，重要信息须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镇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分管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领导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把关审签，最大限度保证公开内容经得起审查。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二是严格做好公开信息保密审查。</w:t>
      </w:r>
      <w:r>
        <w:rPr>
          <w:rFonts w:hint="eastAsia" w:ascii="仿宋_GB2312" w:eastAsia="仿宋_GB2312"/>
          <w:b/>
          <w:sz w:val="32"/>
          <w:szCs w:val="32"/>
        </w:rPr>
        <w:t>严格执行信息公开保密审查制度，对拟公开的政府信息进行了保密审查，形成保密审查登记表，严防泄密事件发生。本年度，未发生过政府信息公开失密、泄密情况。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(四)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政府信息公开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平台建设情况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" w:eastAsia="仿宋_GB2312"/>
          <w:b/>
          <w:color w:val="02020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20202"/>
          <w:sz w:val="32"/>
          <w:szCs w:val="32"/>
        </w:rPr>
        <w:t>1</w:t>
      </w:r>
      <w:r>
        <w:rPr>
          <w:rFonts w:hint="eastAsia" w:ascii="仿宋_GB2312" w:hAnsi="仿宋" w:eastAsia="仿宋_GB2312"/>
          <w:b/>
          <w:bCs/>
          <w:color w:val="02020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b/>
          <w:bCs/>
          <w:color w:val="020202"/>
          <w:sz w:val="32"/>
          <w:szCs w:val="32"/>
        </w:rPr>
        <w:t>构建政务提升服务网</w:t>
      </w:r>
      <w:r>
        <w:rPr>
          <w:rFonts w:hint="eastAsia" w:ascii="仿宋_GB2312" w:hAnsi="仿宋" w:eastAsia="仿宋_GB2312"/>
          <w:b/>
          <w:color w:val="020202"/>
          <w:sz w:val="32"/>
          <w:szCs w:val="32"/>
        </w:rPr>
        <w:t>。我镇</w:t>
      </w:r>
      <w:r>
        <w:rPr>
          <w:rFonts w:hint="eastAsia" w:ascii="仿宋_GB2312" w:hAnsi="仿宋" w:eastAsia="仿宋_GB2312"/>
          <w:b/>
          <w:bCs/>
          <w:color w:val="020202"/>
          <w:sz w:val="32"/>
          <w:szCs w:val="32"/>
          <w:lang w:eastAsia="zh-CN"/>
        </w:rPr>
        <w:t>政府信息公开平台全面、准确公开政府权力清单、责任清单和负面清单，实现政府信息公开平台政务服务事项100%“一键”可查、可办、可监督。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Verdana" w:eastAsia="仿宋_GB2312"/>
          <w:b/>
          <w:color w:val="02020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20202"/>
          <w:sz w:val="32"/>
          <w:szCs w:val="32"/>
        </w:rPr>
        <w:t>2</w:t>
      </w:r>
      <w:r>
        <w:rPr>
          <w:rFonts w:hint="eastAsia" w:ascii="仿宋_GB2312" w:hAnsi="仿宋" w:eastAsia="仿宋_GB2312"/>
          <w:b/>
          <w:bCs/>
          <w:color w:val="020202"/>
          <w:sz w:val="32"/>
          <w:szCs w:val="32"/>
          <w:lang w:val="en-US" w:eastAsia="zh-CN"/>
        </w:rPr>
        <w:t>.拓宽信息发布渠道</w:t>
      </w:r>
      <w:r>
        <w:rPr>
          <w:rFonts w:hint="eastAsia" w:ascii="仿宋_GB2312" w:hAnsi="仿宋" w:eastAsia="仿宋_GB2312"/>
          <w:b/>
          <w:bCs/>
          <w:color w:val="020202"/>
          <w:sz w:val="32"/>
          <w:szCs w:val="32"/>
        </w:rPr>
        <w:t>。</w:t>
      </w:r>
      <w:r>
        <w:rPr>
          <w:rFonts w:hint="eastAsia"/>
          <w:b/>
          <w:color w:val="020202"/>
          <w:sz w:val="32"/>
          <w:szCs w:val="32"/>
        </w:rPr>
        <w:t>鄌郚</w:t>
      </w:r>
      <w:r>
        <w:rPr>
          <w:rFonts w:hint="eastAsia" w:ascii="仿宋_GB2312" w:hAnsi="仿宋" w:eastAsia="仿宋_GB2312"/>
          <w:b/>
          <w:color w:val="020202"/>
          <w:sz w:val="32"/>
          <w:szCs w:val="32"/>
        </w:rPr>
        <w:t>镇充分利用</w:t>
      </w:r>
      <w:r>
        <w:rPr>
          <w:rFonts w:hint="eastAsia" w:ascii="仿宋_GB2312" w:hAnsi="仿宋" w:eastAsia="仿宋_GB2312"/>
          <w:b/>
          <w:color w:val="020202"/>
          <w:sz w:val="32"/>
          <w:szCs w:val="32"/>
          <w:lang w:eastAsia="zh-CN"/>
        </w:rPr>
        <w:t>新媒体，报纸、官方微信、政务信息公示栏等渠道，及时发布</w:t>
      </w:r>
      <w:r>
        <w:rPr>
          <w:rFonts w:hint="eastAsia" w:ascii="仿宋_GB2312" w:hAnsi="仿宋" w:eastAsia="仿宋_GB2312"/>
          <w:b/>
          <w:bCs/>
          <w:color w:val="020202"/>
          <w:sz w:val="32"/>
          <w:szCs w:val="32"/>
          <w:lang w:val="en-US" w:eastAsia="zh-CN"/>
        </w:rPr>
        <w:t>政府信息，</w:t>
      </w:r>
      <w:r>
        <w:rPr>
          <w:rFonts w:hint="eastAsia" w:ascii="仿宋_GB2312" w:hAnsi="仿宋" w:eastAsia="仿宋_GB2312"/>
          <w:b/>
          <w:color w:val="020202"/>
          <w:sz w:val="32"/>
          <w:szCs w:val="32"/>
          <w:lang w:eastAsia="zh-CN"/>
        </w:rPr>
        <w:t>建立健全例行信息发布制度，</w:t>
      </w:r>
      <w:r>
        <w:rPr>
          <w:rFonts w:hint="eastAsia" w:ascii="仿宋_GB2312" w:hAnsi="仿宋" w:eastAsia="仿宋_GB2312"/>
          <w:b/>
          <w:color w:val="020202"/>
          <w:sz w:val="32"/>
          <w:szCs w:val="32"/>
        </w:rPr>
        <w:t>努力满足人民群众获取和利用公共信息资源的需求。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/>
        </w:rPr>
        <w:t>监督保障情况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Times New Roman" w:eastAsia="仿宋_GB2312" w:cs="Times New Roman"/>
          <w:b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/>
        </w:rPr>
        <w:t>1.健全工作机构。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</w:rPr>
        <w:t>为确保信息公开工作落到实处，成立了鄌郚镇政府信息公开领导小组，下设办公室，设在镇党政办公室，并指定专门人员管理此项工作，保证工作的顺利开展。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Times New Roman" w:eastAsia="仿宋_GB2312" w:cs="Times New Roman"/>
          <w:b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</w:rPr>
        <w:t>严格工作制度。结合实际完善各项信息公开工作相关制度,对新进或新调整工作人员进行培训，要求按照信息公开工作流程办事，确保政府信息公开工作有效开展。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sz w:val="32"/>
          <w:szCs w:val="32"/>
        </w:rPr>
        <w:t>强化督查。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2"/>
        </w:rPr>
        <w:t>年度，组织了网上督查4次，检查了全镇网上公开情况，并将检查结果计入目标绩效考核。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二、主动公开政府信息情况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521"/>
        <w:gridCol w:w="2009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52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本年新制发件数</w:t>
            </w:r>
          </w:p>
        </w:tc>
        <w:tc>
          <w:tcPr>
            <w:tcW w:w="20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规章</w:t>
            </w:r>
          </w:p>
        </w:tc>
        <w:tc>
          <w:tcPr>
            <w:tcW w:w="252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0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52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0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7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本年度处理决定数量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7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7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本年度收费金额（单元：万元）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7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196"/>
        <w:textAlignment w:val="auto"/>
        <w:outlineLvl w:val="9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906"/>
        <w:gridCol w:w="1572"/>
        <w:gridCol w:w="770"/>
        <w:gridCol w:w="820"/>
        <w:gridCol w:w="818"/>
        <w:gridCol w:w="801"/>
        <w:gridCol w:w="1040"/>
        <w:gridCol w:w="750"/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0" w:hRule="atLeast"/>
        </w:trPr>
        <w:tc>
          <w:tcPr>
            <w:tcW w:w="3384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（本列数据的勾稽关系为：第一项加第二项之和等于第三项加第四项之和</w:t>
            </w:r>
          </w:p>
        </w:tc>
        <w:tc>
          <w:tcPr>
            <w:tcW w:w="5676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384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</w:pPr>
          </w:p>
        </w:tc>
        <w:tc>
          <w:tcPr>
            <w:tcW w:w="770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自然人</w:t>
            </w:r>
          </w:p>
        </w:tc>
        <w:tc>
          <w:tcPr>
            <w:tcW w:w="4229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677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384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67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一、本年新收政府信息公开申请数量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二、上年转结政府信息公开申请数量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三、本年度办理结果</w:t>
            </w:r>
          </w:p>
        </w:tc>
        <w:tc>
          <w:tcPr>
            <w:tcW w:w="24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  <w:vertAlign w:val="baseline"/>
                <w:lang w:val="en-US" w:eastAsia="zh-CN"/>
              </w:rPr>
              <w:t>（一）予以公开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  <w:vertAlign w:val="baseline"/>
                <w:lang w:val="en-US" w:eastAsia="zh-CN"/>
              </w:rPr>
              <w:t>（二）部分公开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  <w:vertAlign w:val="baseline"/>
                <w:lang w:val="en-US" w:eastAsia="zh-CN"/>
              </w:rPr>
              <w:t>（三）不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  <w:vertAlign w:val="baseline"/>
                <w:lang w:val="en-US" w:eastAsia="zh-CN"/>
              </w:rPr>
              <w:t>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  <w:vertAlign w:val="baseline"/>
                <w:lang w:val="en-US" w:eastAsia="zh-CN"/>
              </w:rPr>
              <w:t>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  <w:vertAlign w:val="baseline"/>
                <w:lang w:val="en-US" w:eastAsia="zh-CN"/>
              </w:rPr>
              <w:t>开</w:t>
            </w: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4.保护第三方合法权益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5.属于三类内部事业信息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  <w:vertAlign w:val="baseline"/>
                <w:lang w:val="en-US" w:eastAsia="zh-CN"/>
              </w:rPr>
              <w:t>（四）无法提供</w:t>
            </w: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2.没有现成信息需要另行制作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  <w:vertAlign w:val="baseline"/>
                <w:lang w:val="en-US" w:eastAsia="zh-CN"/>
              </w:rPr>
              <w:t>（五）不予处理</w:t>
            </w: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  <w:vertAlign w:val="baseline"/>
                <w:lang w:val="en-US" w:eastAsia="zh-CN"/>
              </w:rPr>
              <w:t>（六）其他处理</w:t>
            </w: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2.申请人逾期未按收费通知要求缴纳费用、行政机关不再处理政府信息公开申请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vertAlign w:val="baseline"/>
                <w:lang w:val="en-US" w:eastAsia="zh-CN"/>
              </w:rPr>
              <w:t>3.其他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  <w:vertAlign w:val="baseline"/>
                <w:lang w:val="en-US" w:eastAsia="zh-CN"/>
              </w:rPr>
              <w:t>（七）总计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四、转结下年度继续办理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196"/>
        <w:textAlignment w:val="auto"/>
        <w:outlineLvl w:val="9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6040" w:type="dxa"/>
            <w:gridSpan w:val="10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3020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3020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60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五、</w:t>
      </w:r>
      <w:r>
        <w:rPr>
          <w:rFonts w:hint="eastAsia" w:ascii="黑体" w:eastAsia="黑体"/>
          <w:b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2020年问题整改情况。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优化政府信息公开专栏。进一步优化、规范县政府门户网站政府信息公开专栏，持续提升行政决策、执行、管理、服务和结果公开工作水平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将政府信息公开纳入个人年度考核成绩，充分调动工作人员积极性和主动性。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21年存在的主要问题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一是公开常态化的意识需进一步提升。与先进地区相比，在公开的及时性、全面性方面存在欠缺。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是对公开的新要求学习不够深入。《政府信息公开条例》修订后，对政府信息公开工作提出了新要求。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60606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三是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公开的内部不够丰富；网站服务不够完善</w:t>
      </w: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一是强化学习培训。通过全县范围培训、小范围座谈培训、岗位轮训等多种方式，组织加强对全县公开人员的培训力度。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进一步梳理、规范和细化各类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信息，明确公开的责任单位，保证主动公开信息的及时公开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是加强载体建设，拓宽公开渠道。按照及时便民原则，进一步加强信息公开载体建设，通过网络、新闻媒体、举办培训班、在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服务厅张贴公告等形式，及时发布最新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政府信息公开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政策、积极为公众提供及时、便捷、优质的信息服务。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是整合各类资源，优化网站服务。进一步整合网站信息资源和服务资源，方便公众查询提高网上服务效率。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196"/>
        <w:textAlignment w:val="auto"/>
        <w:outlineLvl w:val="9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六、其他</w:t>
      </w:r>
      <w:r>
        <w:rPr>
          <w:rFonts w:hint="eastAsia" w:ascii="黑体" w:eastAsia="黑体"/>
          <w:b/>
          <w:sz w:val="32"/>
          <w:szCs w:val="32"/>
        </w:rPr>
        <w:t>需要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报告</w:t>
      </w:r>
      <w:r>
        <w:rPr>
          <w:rFonts w:hint="eastAsia" w:ascii="黑体" w:eastAsia="黑体"/>
          <w:b/>
          <w:sz w:val="32"/>
          <w:szCs w:val="32"/>
        </w:rPr>
        <w:t>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b/>
          <w:bCs/>
        </w:rPr>
      </w:pPr>
      <w:r>
        <w:rPr>
          <w:rFonts w:ascii="楷体_GB2312" w:eastAsia="楷体_GB2312" w:cs="楷体_GB2312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（一）收取信息处理费情况。</w:t>
      </w:r>
      <w:r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eastAsia" w:ascii="仿宋_GB2312" w:eastAsia="仿宋_GB2312" w:cs="仿宋_GB2312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21年，鄌郚镇政府未收取任何政府信息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公开</w:t>
      </w:r>
      <w:r>
        <w:rPr>
          <w:rFonts w:hint="eastAsia" w:ascii="仿宋_GB2312" w:eastAsia="仿宋_GB2312" w:cs="仿宋_GB2312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信息处理费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b/>
          <w:bCs/>
        </w:rPr>
      </w:pPr>
      <w:r>
        <w:rPr>
          <w:rFonts w:hint="eastAsia" w:ascii="楷体_GB2312" w:hAnsi="Times New Roman" w:eastAsia="楷体_GB2312" w:cs="楷体_GB2312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（二</w:t>
      </w:r>
      <w:r>
        <w:rPr>
          <w:rFonts w:hint="eastAsia" w:ascii="楷体_GB2312" w:hAnsi="Times New Roman" w:eastAsia="楷体_GB2312" w:cs="楷体_GB2312"/>
          <w:b/>
          <w:bCs/>
          <w:kern w:val="0"/>
          <w:sz w:val="32"/>
          <w:szCs w:val="32"/>
          <w:lang w:val="en-US" w:eastAsia="zh-CN" w:bidi="ar"/>
        </w:rPr>
        <w:t>）上级年度政务公开工作要点落实情况。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  <w:lang w:val="en-US" w:eastAsia="zh-CN" w:bidi="ar"/>
        </w:rPr>
        <w:t>根据《2021年昌乐县政务公开重点工作任务分工》安排，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认真做好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  <w:lang w:val="en-US" w:eastAsia="zh-CN" w:bidi="ar"/>
        </w:rPr>
        <w:t>责任事项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的落实。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  <w:lang w:val="en-US" w:eastAsia="zh-CN" w:bidi="ar"/>
        </w:rPr>
        <w:t>目前，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鄌郚镇政府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  <w:lang w:val="en-US" w:eastAsia="zh-CN" w:bidi="ar"/>
        </w:rPr>
        <w:t>涉及责任事项已全部落实到位。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both"/>
        <w:rPr>
          <w:b/>
          <w:bCs/>
        </w:rPr>
      </w:pPr>
      <w:r>
        <w:rPr>
          <w:rFonts w:hint="eastAsia" w:ascii="楷体_GB2312" w:hAnsi="Times New Roman" w:eastAsia="楷体_GB2312" w:cs="楷体_GB2312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（三）人大代表建议和政协提案办理情况。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  <w:lang w:val="en-US" w:eastAsia="zh-CN" w:bidi="ar"/>
        </w:rPr>
        <w:t>2021年，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鄌郚镇政府</w:t>
      </w:r>
      <w:r>
        <w:rPr>
          <w:rFonts w:hint="eastAsia" w:ascii="仿宋_GB2312" w:hAnsi="Times New Roman" w:eastAsia="仿宋_GB2312" w:cs="仿宋_GB2312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未承办人大代表建议和政协提案。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rFonts w:hint="default" w:ascii="楷体_GB2312" w:hAnsi="Times New Roman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b/>
          <w:bCs/>
          <w:kern w:val="0"/>
          <w:sz w:val="32"/>
          <w:szCs w:val="32"/>
          <w:lang w:val="en-US" w:eastAsia="zh-CN" w:bidi="ar"/>
        </w:rPr>
        <w:t>（四）年度政务公开工作创新情况。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  <w:lang w:val="en-US" w:eastAsia="zh-CN" w:bidi="ar"/>
        </w:rPr>
        <w:t>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b/>
          <w:bCs/>
        </w:rPr>
      </w:pPr>
      <w:r>
        <w:rPr>
          <w:rFonts w:hint="eastAsia" w:ascii="楷体_GB2312" w:hAnsi="Times New Roman" w:eastAsia="楷体_GB2312" w:cs="楷体_GB2312"/>
          <w:b/>
          <w:bCs/>
          <w:kern w:val="0"/>
          <w:sz w:val="32"/>
          <w:szCs w:val="32"/>
          <w:lang w:val="en-US" w:eastAsia="zh-CN" w:bidi="ar"/>
        </w:rPr>
        <w:t>（五）报告数据统计说明。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  <w:lang w:val="en-US" w:eastAsia="zh-CN" w:bidi="ar"/>
        </w:rPr>
        <w:t>本报告所列数据统计期限为2021年1月1日至2021年12月31日。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b/>
          <w:bCs/>
        </w:rPr>
      </w:pPr>
      <w:r>
        <w:rPr>
          <w:rFonts w:hint="eastAsia" w:ascii="楷体_GB2312" w:hAnsi="Times New Roman" w:eastAsia="楷体_GB2312" w:cs="楷体_GB2312"/>
          <w:b/>
          <w:bCs/>
          <w:kern w:val="0"/>
          <w:sz w:val="32"/>
          <w:szCs w:val="32"/>
          <w:lang w:val="en-US" w:eastAsia="zh-CN" w:bidi="ar"/>
        </w:rPr>
        <w:t>（六）本行政机关认为需要报告的其他事项。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  <w:lang w:val="en-US" w:eastAsia="zh-CN" w:bidi="ar"/>
        </w:rPr>
        <w:t>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b/>
          <w:bCs/>
        </w:rPr>
      </w:pPr>
      <w:r>
        <w:rPr>
          <w:rFonts w:hint="eastAsia" w:ascii="楷体_GB2312" w:hAnsi="Times New Roman" w:eastAsia="楷体_GB2312" w:cs="楷体_GB2312"/>
          <w:b/>
          <w:bCs/>
          <w:kern w:val="0"/>
          <w:sz w:val="32"/>
          <w:szCs w:val="32"/>
          <w:lang w:val="en-US" w:eastAsia="zh-CN" w:bidi="ar"/>
        </w:rPr>
        <w:t>（七）其他有关文件专门要求报告的事项。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  <w:lang w:val="en-US" w:eastAsia="zh-CN" w:bidi="ar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right"/>
        <w:textAlignment w:val="auto"/>
        <w:outlineLvl w:val="9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昌乐县鄌郚镇人民政府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right"/>
        <w:textAlignment w:val="auto"/>
        <w:outlineLvl w:val="9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2022年1月18日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196"/>
        <w:textAlignment w:val="auto"/>
        <w:outlineLvl w:val="9"/>
        <w:rPr>
          <w:rFonts w:hint="eastAsia"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Arial"/>
          <w:b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</w:pPr>
    </w:p>
    <w:sectPr>
      <w:footerReference r:id="rId3" w:type="default"/>
      <w:pgSz w:w="11906" w:h="16838"/>
      <w:pgMar w:top="1361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06B2A6"/>
    <w:multiLevelType w:val="singleLevel"/>
    <w:tmpl w:val="3F06B2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7E46"/>
    <w:rsid w:val="009D40CC"/>
    <w:rsid w:val="00C37DC1"/>
    <w:rsid w:val="06FF4C4E"/>
    <w:rsid w:val="08620D8A"/>
    <w:rsid w:val="0AAA32FC"/>
    <w:rsid w:val="0AC36EAB"/>
    <w:rsid w:val="0F467566"/>
    <w:rsid w:val="1063375A"/>
    <w:rsid w:val="149973F7"/>
    <w:rsid w:val="150F7ADF"/>
    <w:rsid w:val="15CD646F"/>
    <w:rsid w:val="186074C5"/>
    <w:rsid w:val="192430E3"/>
    <w:rsid w:val="1C2A60A0"/>
    <w:rsid w:val="236E1035"/>
    <w:rsid w:val="273B3DF1"/>
    <w:rsid w:val="29A435AD"/>
    <w:rsid w:val="2C967751"/>
    <w:rsid w:val="2E7D7911"/>
    <w:rsid w:val="33ED2D8D"/>
    <w:rsid w:val="34C223E9"/>
    <w:rsid w:val="361E4D98"/>
    <w:rsid w:val="3B6D1D31"/>
    <w:rsid w:val="3B8A4436"/>
    <w:rsid w:val="3EF528F9"/>
    <w:rsid w:val="3F2F4774"/>
    <w:rsid w:val="41473F63"/>
    <w:rsid w:val="42A557CB"/>
    <w:rsid w:val="45244CE0"/>
    <w:rsid w:val="46011C1C"/>
    <w:rsid w:val="48742566"/>
    <w:rsid w:val="49A5128D"/>
    <w:rsid w:val="49BD5BE5"/>
    <w:rsid w:val="4CEA771B"/>
    <w:rsid w:val="4F0569B3"/>
    <w:rsid w:val="506C758C"/>
    <w:rsid w:val="52060C59"/>
    <w:rsid w:val="542E2B91"/>
    <w:rsid w:val="548679A4"/>
    <w:rsid w:val="55F15C83"/>
    <w:rsid w:val="57940B2A"/>
    <w:rsid w:val="57E97ED4"/>
    <w:rsid w:val="5B385036"/>
    <w:rsid w:val="5B64564A"/>
    <w:rsid w:val="5DA06327"/>
    <w:rsid w:val="5E051499"/>
    <w:rsid w:val="5ECB4730"/>
    <w:rsid w:val="65A06F30"/>
    <w:rsid w:val="6A1A4272"/>
    <w:rsid w:val="6BA954D1"/>
    <w:rsid w:val="6D0930BB"/>
    <w:rsid w:val="6FAF09BA"/>
    <w:rsid w:val="704F58B2"/>
    <w:rsid w:val="72211C4A"/>
    <w:rsid w:val="724F723E"/>
    <w:rsid w:val="767E04A0"/>
    <w:rsid w:val="77101459"/>
    <w:rsid w:val="7973799D"/>
    <w:rsid w:val="7A1A6F1F"/>
    <w:rsid w:val="7B286F30"/>
    <w:rsid w:val="7C681F6D"/>
    <w:rsid w:val="7FB9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880" w:firstLineChars="200"/>
      <w:outlineLvl w:val="1"/>
    </w:pPr>
    <w:rPr>
      <w:rFonts w:ascii="黑体" w:hAnsi="黑体" w:eastAsia="黑体" w:cs="MT Extra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selec"/>
    <w:basedOn w:val="7"/>
    <w:qFormat/>
    <w:uiPriority w:val="0"/>
  </w:style>
  <w:style w:type="character" w:customStyle="1" w:styleId="12">
    <w:name w:val="folder"/>
    <w:basedOn w:val="7"/>
    <w:qFormat/>
    <w:uiPriority w:val="0"/>
  </w:style>
  <w:style w:type="character" w:customStyle="1" w:styleId="13">
    <w:name w:val="folder1"/>
    <w:basedOn w:val="7"/>
    <w:qFormat/>
    <w:uiPriority w:val="0"/>
  </w:style>
  <w:style w:type="character" w:customStyle="1" w:styleId="14">
    <w:name w:val="file"/>
    <w:basedOn w:val="7"/>
    <w:qFormat/>
    <w:uiPriority w:val="0"/>
  </w:style>
  <w:style w:type="character" w:customStyle="1" w:styleId="15">
    <w:name w:val="span33"/>
    <w:basedOn w:val="7"/>
    <w:qFormat/>
    <w:uiPriority w:val="0"/>
    <w:rPr>
      <w:rFonts w:ascii="微软雅黑" w:hAnsi="微软雅黑" w:eastAsia="微软雅黑" w:cs="微软雅黑"/>
    </w:rPr>
  </w:style>
  <w:style w:type="character" w:customStyle="1" w:styleId="16">
    <w:name w:val="span2"/>
    <w:basedOn w:val="7"/>
    <w:qFormat/>
    <w:uiPriority w:val="0"/>
  </w:style>
  <w:style w:type="character" w:customStyle="1" w:styleId="17">
    <w:name w:val="span1"/>
    <w:basedOn w:val="7"/>
    <w:qFormat/>
    <w:uiPriority w:val="0"/>
  </w:style>
  <w:style w:type="character" w:customStyle="1" w:styleId="18">
    <w:name w:val="span3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2020-07-08T01:04:00Z</dcterms:created>
  <dc:creator>Administrator</dc:creator>
  <cp:lastModifiedBy>admin</cp:lastModifiedBy>
  <cp:lastPrinted>2021-01-22T08:55:00Z</cp:lastPrinted>
  <dcterms:modified xsi:type="dcterms:W3CDTF">2022-03-04T01:22:07Z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B0970ABE92A54399BCBD22CD08519324</vt:lpwstr>
  </property>
</Properties>
</file>