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93D49">
      <w:pPr>
        <w:spacing w:line="600" w:lineRule="exact"/>
        <w:jc w:val="center"/>
        <w:rPr>
          <w:rFonts w:hint="eastAsia" w:ascii="文星标宋" w:hAnsi="文星标宋" w:eastAsia="文星标宋" w:cs="文星标宋"/>
          <w:b w:val="0"/>
          <w:bCs w:val="0"/>
          <w:sz w:val="44"/>
          <w:szCs w:val="44"/>
          <w:highlight w:val="none"/>
        </w:rPr>
      </w:pPr>
    </w:p>
    <w:p w14:paraId="65922932">
      <w:pPr>
        <w:spacing w:line="600" w:lineRule="exact"/>
        <w:jc w:val="center"/>
        <w:rPr>
          <w:rFonts w:hint="eastAsia" w:ascii="文星标宋" w:hAnsi="文星标宋" w:eastAsia="文星标宋" w:cs="文星标宋"/>
          <w:b w:val="0"/>
          <w:bCs w:val="0"/>
          <w:sz w:val="44"/>
          <w:szCs w:val="44"/>
          <w:highlight w:val="none"/>
        </w:rPr>
      </w:pPr>
      <w:r>
        <w:rPr>
          <w:rFonts w:hint="eastAsia" w:ascii="文星标宋" w:hAnsi="文星标宋" w:eastAsia="文星标宋" w:cs="文星标宋"/>
          <w:b w:val="0"/>
          <w:bCs w:val="0"/>
          <w:sz w:val="44"/>
          <w:szCs w:val="44"/>
          <w:highlight w:val="none"/>
        </w:rPr>
        <w:t>昌乐县</w:t>
      </w:r>
      <w:r>
        <w:rPr>
          <w:rFonts w:hint="eastAsia" w:ascii="文星标宋" w:hAnsi="文星标宋" w:eastAsia="文星标宋" w:cs="文星标宋"/>
          <w:b w:val="0"/>
          <w:bCs w:val="0"/>
          <w:sz w:val="44"/>
          <w:szCs w:val="44"/>
          <w:highlight w:val="none"/>
          <w:lang w:val="en-US" w:eastAsia="zh-CN"/>
        </w:rPr>
        <w:t>鄌郚</w:t>
      </w:r>
      <w:r>
        <w:rPr>
          <w:rFonts w:hint="eastAsia" w:ascii="文星标宋" w:hAnsi="文星标宋" w:eastAsia="文星标宋" w:cs="文星标宋"/>
          <w:b w:val="0"/>
          <w:bCs w:val="0"/>
          <w:sz w:val="44"/>
          <w:szCs w:val="44"/>
          <w:highlight w:val="none"/>
        </w:rPr>
        <w:t>镇人民政府202</w:t>
      </w:r>
      <w:r>
        <w:rPr>
          <w:rFonts w:hint="eastAsia" w:ascii="文星标宋" w:hAnsi="文星标宋" w:eastAsia="文星标宋" w:cs="文星标宋"/>
          <w:b w:val="0"/>
          <w:bCs w:val="0"/>
          <w:sz w:val="44"/>
          <w:szCs w:val="44"/>
          <w:highlight w:val="none"/>
          <w:lang w:val="en-US" w:eastAsia="zh-CN"/>
        </w:rPr>
        <w:t>5</w:t>
      </w:r>
      <w:r>
        <w:rPr>
          <w:rFonts w:hint="eastAsia" w:ascii="文星标宋" w:hAnsi="文星标宋" w:eastAsia="文星标宋" w:cs="文星标宋"/>
          <w:b w:val="0"/>
          <w:bCs w:val="0"/>
          <w:sz w:val="44"/>
          <w:szCs w:val="44"/>
          <w:highlight w:val="none"/>
        </w:rPr>
        <w:t>年政府信息</w:t>
      </w:r>
    </w:p>
    <w:p w14:paraId="31754E37">
      <w:pPr>
        <w:spacing w:line="600" w:lineRule="exact"/>
        <w:jc w:val="center"/>
        <w:rPr>
          <w:rFonts w:hint="eastAsia" w:ascii="文星标宋" w:hAnsi="文星标宋" w:eastAsia="文星标宋" w:cs="文星标宋"/>
          <w:b w:val="0"/>
          <w:bCs w:val="0"/>
          <w:sz w:val="44"/>
          <w:szCs w:val="44"/>
          <w:highlight w:val="none"/>
        </w:rPr>
      </w:pPr>
      <w:r>
        <w:rPr>
          <w:rFonts w:hint="eastAsia" w:ascii="文星标宋" w:hAnsi="文星标宋" w:eastAsia="文星标宋" w:cs="文星标宋"/>
          <w:b w:val="0"/>
          <w:bCs w:val="0"/>
          <w:sz w:val="44"/>
          <w:szCs w:val="44"/>
          <w:highlight w:val="none"/>
        </w:rPr>
        <w:t>公开工作年度报告</w:t>
      </w:r>
    </w:p>
    <w:p w14:paraId="55A3E0E2">
      <w:pPr>
        <w:spacing w:line="600" w:lineRule="exact"/>
        <w:ind w:firstLine="640" w:firstLineChars="200"/>
        <w:rPr>
          <w:rFonts w:hint="eastAsia" w:ascii="仿宋_GB2312" w:eastAsia="仿宋_GB2312"/>
          <w:b w:val="0"/>
          <w:bCs w:val="0"/>
          <w:sz w:val="32"/>
          <w:szCs w:val="32"/>
          <w:highlight w:val="none"/>
        </w:rPr>
      </w:pPr>
    </w:p>
    <w:p w14:paraId="7A3CBF52">
      <w:pPr>
        <w:spacing w:line="600" w:lineRule="exact"/>
        <w:ind w:firstLine="640" w:firstLineChars="200"/>
        <w:rPr>
          <w:rFonts w:hint="eastAsia" w:ascii="仿宋_GB2312" w:hAnsi="微软雅黑" w:eastAsia="仿宋_GB2312" w:cs="仿宋_GB2312"/>
          <w:b w:val="0"/>
          <w:bCs w:val="0"/>
          <w:i w:val="0"/>
          <w:iCs w:val="0"/>
          <w:caps w:val="0"/>
          <w:color w:val="333333"/>
          <w:spacing w:val="0"/>
          <w:sz w:val="32"/>
          <w:szCs w:val="32"/>
          <w:highlight w:val="none"/>
          <w:shd w:val="clear" w:fill="FFFFFF"/>
          <w:lang w:val="en-US" w:eastAsia="zh-CN"/>
        </w:rPr>
      </w:pPr>
      <w:r>
        <w:rPr>
          <w:rFonts w:hint="eastAsia" w:ascii="仿宋_GB2312" w:hAnsi="微软雅黑" w:eastAsia="仿宋_GB2312" w:cs="仿宋_GB2312"/>
          <w:b w:val="0"/>
          <w:bCs w:val="0"/>
          <w:i w:val="0"/>
          <w:iCs w:val="0"/>
          <w:caps w:val="0"/>
          <w:color w:val="333333"/>
          <w:spacing w:val="0"/>
          <w:sz w:val="32"/>
          <w:szCs w:val="32"/>
          <w:highlight w:val="none"/>
          <w:shd w:val="clear" w:fill="FFFFFF"/>
          <w:lang w:val="en-US" w:eastAsia="zh-CN"/>
        </w:rPr>
        <w:t>根据《中华人民共和国政府信息公开条例》（国务院令第711号）、《国务院办公厅政府信息与政务公开办公室关于政府信息公开工作年度报告有关事项的通知》（国办公开办函〔2019〕60号），结合全镇政府信息公开工作实际情况，特编制我镇2025年度政府信息公开工作年度报告。全文由总体情况、主动公开政府信息情况、收到和处理政府信息公开申请情况、政府信息公开行政复议和行政诉讼情况、存在的主要问题及改进措施、其他需要报告的事项6部分组成。</w:t>
      </w:r>
    </w:p>
    <w:p w14:paraId="43F3AF53">
      <w:pPr>
        <w:spacing w:line="60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一、</w:t>
      </w:r>
      <w:r>
        <w:rPr>
          <w:rFonts w:hint="eastAsia" w:ascii="黑体" w:hAnsi="黑体" w:eastAsia="黑体" w:cs="黑体"/>
          <w:b w:val="0"/>
          <w:bCs w:val="0"/>
          <w:sz w:val="32"/>
          <w:szCs w:val="32"/>
          <w:highlight w:val="none"/>
        </w:rPr>
        <w:t>总体情况</w:t>
      </w:r>
    </w:p>
    <w:p w14:paraId="414D4C87">
      <w:pPr>
        <w:spacing w:line="600" w:lineRule="exact"/>
        <w:ind w:firstLine="640" w:firstLineChars="200"/>
        <w:rPr>
          <w:rFonts w:hint="eastAsia" w:ascii="仿宋_GB2312" w:hAnsi="微软雅黑" w:eastAsia="仿宋_GB2312" w:cs="仿宋_GB2312"/>
          <w:b w:val="0"/>
          <w:bCs w:val="0"/>
          <w:i w:val="0"/>
          <w:iCs w:val="0"/>
          <w:caps w:val="0"/>
          <w:color w:val="333333"/>
          <w:spacing w:val="0"/>
          <w:sz w:val="32"/>
          <w:szCs w:val="32"/>
          <w:highlight w:val="none"/>
          <w:shd w:val="clear" w:fill="FFFFFF"/>
          <w:lang w:val="en-US" w:eastAsia="zh-CN"/>
        </w:rPr>
      </w:pPr>
      <w:r>
        <w:rPr>
          <w:rFonts w:hint="eastAsia" w:ascii="仿宋_GB2312" w:hAnsi="微软雅黑" w:eastAsia="仿宋_GB2312" w:cs="仿宋_GB2312"/>
          <w:b w:val="0"/>
          <w:bCs w:val="0"/>
          <w:i w:val="0"/>
          <w:iCs w:val="0"/>
          <w:caps w:val="0"/>
          <w:color w:val="333333"/>
          <w:spacing w:val="0"/>
          <w:sz w:val="32"/>
          <w:szCs w:val="32"/>
          <w:highlight w:val="none"/>
          <w:shd w:val="clear" w:fill="FFFFFF"/>
          <w:lang w:val="en-US" w:eastAsia="zh-CN"/>
        </w:rPr>
        <w:t>2025年，在县委、县政府的正确领导下，鄌郚镇党委、政府严格按照《中华人民共和国政府信息公开条例》有关要求，不断增强政务信息公开化、透明化，加强政府信息发布、解读和回应工作，强化广大群众的知情权、表达权、监督权，全力打造公开透明的政务公开平台，推动政府信息公开工作不断走深走实。</w:t>
      </w:r>
    </w:p>
    <w:p w14:paraId="557DF358">
      <w:pPr>
        <w:spacing w:line="600" w:lineRule="exact"/>
        <w:ind w:firstLine="640" w:firstLineChars="200"/>
        <w:rPr>
          <w:rFonts w:hint="eastAsia" w:ascii="楷体_GB2312" w:hAnsi="楷体_GB2312" w:eastAsia="楷体_GB2312" w:cs="楷体_GB2312"/>
          <w:b w:val="0"/>
          <w:bCs w:val="0"/>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333333"/>
          <w:spacing w:val="0"/>
          <w:sz w:val="32"/>
          <w:szCs w:val="32"/>
          <w:highlight w:val="none"/>
          <w:shd w:val="clear" w:fill="FFFFFF"/>
          <w:lang w:val="en-US" w:eastAsia="zh-CN"/>
        </w:rPr>
        <w:t>（一）主动公开情况</w:t>
      </w:r>
    </w:p>
    <w:p w14:paraId="1487F260">
      <w:pPr>
        <w:spacing w:line="600" w:lineRule="exact"/>
        <w:ind w:firstLine="640" w:firstLineChars="200"/>
        <w:rPr>
          <w:rFonts w:hint="eastAsia" w:ascii="仿宋_GB2312" w:hAnsi="微软雅黑" w:eastAsia="仿宋_GB2312" w:cs="仿宋_GB2312"/>
          <w:b w:val="0"/>
          <w:bCs w:val="0"/>
          <w:i w:val="0"/>
          <w:iCs w:val="0"/>
          <w:caps w:val="0"/>
          <w:color w:val="333333"/>
          <w:spacing w:val="0"/>
          <w:sz w:val="32"/>
          <w:szCs w:val="32"/>
          <w:highlight w:val="none"/>
          <w:shd w:val="clear" w:fill="FFFFFF"/>
          <w:lang w:val="en-US" w:eastAsia="zh-CN"/>
        </w:rPr>
      </w:pPr>
      <w:r>
        <w:rPr>
          <w:rFonts w:hint="eastAsia" w:ascii="仿宋_GB2312" w:hAnsi="微软雅黑" w:eastAsia="仿宋_GB2312" w:cs="仿宋_GB2312"/>
          <w:b w:val="0"/>
          <w:bCs w:val="0"/>
          <w:i w:val="0"/>
          <w:iCs w:val="0"/>
          <w:caps w:val="0"/>
          <w:color w:val="333333"/>
          <w:spacing w:val="0"/>
          <w:sz w:val="32"/>
          <w:szCs w:val="32"/>
          <w:highlight w:val="none"/>
          <w:shd w:val="clear" w:fill="FFFFFF"/>
          <w:lang w:val="en-US" w:eastAsia="zh-CN"/>
        </w:rPr>
        <w:t>2025年，鄌郚镇依托政府门户网站、微信公众号、爱昌乐APP等多元公开平台，累计主动公开政府信息245条。其中，通过政府信息公开专栏发布政务信息9条，借助微信公众号、爱昌乐APP推送政务信息236条，公开内容涵盖镇领导班子信息、年度工作规划、法治政府建设进展等关键领域，全面展现镇政府工作动态。</w:t>
      </w:r>
    </w:p>
    <w:p w14:paraId="48D582F5">
      <w:pPr>
        <w:spacing w:line="600" w:lineRule="exact"/>
        <w:ind w:firstLine="640" w:firstLineChars="200"/>
        <w:rPr>
          <w:rFonts w:hint="eastAsia" w:ascii="楷体_GB2312" w:hAnsi="楷体_GB2312" w:eastAsia="楷体_GB2312" w:cs="楷体_GB2312"/>
          <w:b w:val="0"/>
          <w:bCs w:val="0"/>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333333"/>
          <w:spacing w:val="0"/>
          <w:sz w:val="32"/>
          <w:szCs w:val="32"/>
          <w:highlight w:val="none"/>
          <w:shd w:val="clear" w:fill="FFFFFF"/>
          <w:lang w:val="en-US" w:eastAsia="zh-CN"/>
        </w:rPr>
        <w:t>（二）依申请公开情况</w:t>
      </w:r>
    </w:p>
    <w:p w14:paraId="0ED14496">
      <w:pPr>
        <w:spacing w:line="600" w:lineRule="exact"/>
        <w:ind w:firstLine="640" w:firstLineChars="200"/>
        <w:rPr>
          <w:rFonts w:hint="default" w:ascii="仿宋_GB2312" w:hAnsi="仿宋_GB2312" w:eastAsia="仿宋_GB2312" w:cs="仿宋_GB2312"/>
          <w:b w:val="0"/>
          <w:bCs w:val="0"/>
          <w:i w:val="0"/>
          <w:iCs w:val="0"/>
          <w:caps w:val="0"/>
          <w:color w:val="333333"/>
          <w:spacing w:val="0"/>
          <w:sz w:val="32"/>
          <w:szCs w:val="32"/>
          <w:highlight w:val="none"/>
          <w:shd w:val="clear" w:fill="FFFFFF"/>
          <w:lang w:val="en-US" w:eastAsia="zh-CN"/>
        </w:rPr>
      </w:pPr>
      <w:r>
        <w:rPr>
          <w:rFonts w:hint="default" w:ascii="仿宋_GB2312" w:hAnsi="仿宋_GB2312" w:eastAsia="仿宋_GB2312" w:cs="仿宋_GB2312"/>
          <w:b w:val="0"/>
          <w:bCs w:val="0"/>
          <w:i w:val="0"/>
          <w:iCs w:val="0"/>
          <w:caps w:val="0"/>
          <w:color w:val="333333"/>
          <w:spacing w:val="0"/>
          <w:sz w:val="32"/>
          <w:szCs w:val="32"/>
          <w:highlight w:val="none"/>
          <w:shd w:val="clear" w:fill="FFFFFF"/>
          <w:lang w:val="en-US" w:eastAsia="zh-CN"/>
        </w:rPr>
        <w:t>本年度，鄌郚镇共接收政府信息公开申请2条，均已按照规定程序和时限完成答复工作。全年未出现因政府信息公开引发的行政复议案件，也无相关行政诉讼情况发生，依申请公开工作规范有序。</w:t>
      </w:r>
    </w:p>
    <w:p w14:paraId="21118B84">
      <w:pPr>
        <w:spacing w:line="600" w:lineRule="exact"/>
        <w:ind w:firstLine="640" w:firstLineChars="200"/>
        <w:rPr>
          <w:rFonts w:hint="eastAsia" w:ascii="楷体_GB2312" w:hAnsi="楷体_GB2312" w:eastAsia="楷体_GB2312" w:cs="楷体_GB2312"/>
          <w:b w:val="0"/>
          <w:bCs w:val="0"/>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333333"/>
          <w:spacing w:val="0"/>
          <w:sz w:val="32"/>
          <w:szCs w:val="32"/>
          <w:highlight w:val="none"/>
          <w:shd w:val="clear" w:fill="FFFFFF"/>
          <w:lang w:val="en-US" w:eastAsia="zh-CN"/>
        </w:rPr>
        <w:t>（三）政府信息管理情况</w:t>
      </w:r>
    </w:p>
    <w:p w14:paraId="231B26B2">
      <w:pPr>
        <w:spacing w:line="600" w:lineRule="exact"/>
        <w:ind w:firstLine="640" w:firstLineChars="200"/>
        <w:rPr>
          <w:rFonts w:hint="eastAsia" w:ascii="仿宋_GB2312" w:hAnsi="仿宋_GB2312" w:eastAsia="仿宋_GB2312" w:cs="仿宋_GB2312"/>
          <w:b w:val="0"/>
          <w:bCs w:val="0"/>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highlight w:val="none"/>
          <w:shd w:val="clear" w:fill="FFFFFF"/>
          <w:lang w:val="en-US" w:eastAsia="zh-CN"/>
        </w:rPr>
        <w:t>我镇高度重视政府信息公开工作，加强政府政务公开管理制度，建立主要领导亲自抓，分管领导负责抓，办公室统筹抓，其他所站协调配合做好政务公开工作机制，确保政府信息公开、透明和规范。提出推进政府信息公开工作的若干措施，明确政务信息发布审核流程，严把审查关，严厉杜绝涉密涉敏信息的公开，政府信息公开工作得到有效的贯彻落实。</w:t>
      </w:r>
    </w:p>
    <w:p w14:paraId="76302BA0">
      <w:pPr>
        <w:spacing w:line="600" w:lineRule="exact"/>
        <w:ind w:firstLine="640" w:firstLineChars="200"/>
        <w:rPr>
          <w:rFonts w:hint="eastAsia" w:ascii="楷体_GB2312" w:hAnsi="楷体_GB2312" w:eastAsia="楷体_GB2312" w:cs="楷体_GB2312"/>
          <w:b w:val="0"/>
          <w:bCs w:val="0"/>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333333"/>
          <w:spacing w:val="0"/>
          <w:sz w:val="32"/>
          <w:szCs w:val="32"/>
          <w:highlight w:val="none"/>
          <w:shd w:val="clear" w:fill="FFFFFF"/>
          <w:lang w:val="en-US" w:eastAsia="zh-CN"/>
        </w:rPr>
        <w:t>（四）政府信息平台建设情况</w:t>
      </w:r>
    </w:p>
    <w:p w14:paraId="1F41079B">
      <w:pPr>
        <w:spacing w:line="600" w:lineRule="exact"/>
        <w:ind w:firstLine="640" w:firstLineChars="200"/>
        <w:rPr>
          <w:rFonts w:hint="eastAsia" w:ascii="仿宋_GB2312" w:hAnsi="Times New Roman" w:eastAsia="仿宋_GB2312" w:cs="Times New Roman"/>
          <w:b/>
          <w:kern w:val="2"/>
          <w:sz w:val="32"/>
          <w:szCs w:val="32"/>
          <w:highlight w:val="none"/>
          <w:lang w:eastAsia="zh-CN"/>
        </w:rPr>
      </w:pPr>
      <w:r>
        <w:rPr>
          <w:rFonts w:hint="eastAsia" w:ascii="仿宋_GB2312" w:hAnsi="仿宋_GB2312" w:eastAsia="仿宋_GB2312" w:cs="仿宋_GB2312"/>
          <w:b w:val="0"/>
          <w:bCs w:val="0"/>
          <w:i w:val="0"/>
          <w:iCs w:val="0"/>
          <w:caps w:val="0"/>
          <w:color w:val="333333"/>
          <w:spacing w:val="0"/>
          <w:sz w:val="32"/>
          <w:szCs w:val="32"/>
          <w:highlight w:val="none"/>
          <w:shd w:val="clear" w:fill="FFFFFF"/>
          <w:lang w:val="en-US" w:eastAsia="zh-CN"/>
        </w:rPr>
        <w:t>本年度，我镇努力完善政府信息公开平台建设，将“昌乐县人民政府门户网站”（http://www.changle.gov.cn/）鄌郚镇政府信息公开专栏作为鄌郚镇政府信息公开的第一平台，按照县政府统一部署，及时发布政务信息；同时我镇充分利用现代网络媒体，通过爱昌乐app、微信公众号、“鄌郚宣传”视频号等渠道，开展政务公开、活动报道，及时回应公众关注热点。</w:t>
      </w:r>
    </w:p>
    <w:p w14:paraId="284639EF">
      <w:pPr>
        <w:spacing w:line="600" w:lineRule="exact"/>
        <w:ind w:firstLine="640" w:firstLineChars="200"/>
        <w:rPr>
          <w:rFonts w:hint="eastAsia" w:ascii="楷体_GB2312" w:hAnsi="楷体_GB2312" w:eastAsia="楷体_GB2312" w:cs="楷体_GB2312"/>
          <w:b w:val="0"/>
          <w:bCs w:val="0"/>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333333"/>
          <w:spacing w:val="0"/>
          <w:sz w:val="32"/>
          <w:szCs w:val="32"/>
          <w:highlight w:val="none"/>
          <w:shd w:val="clear" w:fill="FFFFFF"/>
          <w:lang w:val="en-US" w:eastAsia="zh-CN"/>
        </w:rPr>
        <w:t>（五）监督保障情况</w:t>
      </w:r>
    </w:p>
    <w:p w14:paraId="1260E062">
      <w:pPr>
        <w:spacing w:line="600" w:lineRule="exact"/>
        <w:ind w:firstLine="640" w:firstLineChars="200"/>
        <w:rPr>
          <w:rFonts w:hint="default" w:ascii="仿宋_GB2312" w:hAnsi="仿宋_GB2312" w:eastAsia="仿宋_GB2312" w:cs="仿宋_GB2312"/>
          <w:b w:val="0"/>
          <w:bCs w:val="0"/>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highlight w:val="none"/>
          <w:shd w:val="clear" w:fill="FFFFFF"/>
          <w:lang w:val="en-US" w:eastAsia="zh-CN"/>
        </w:rPr>
        <w:t>1.</w:t>
      </w:r>
      <w:r>
        <w:rPr>
          <w:rFonts w:hint="default" w:ascii="仿宋_GB2312" w:hAnsi="仿宋_GB2312" w:eastAsia="仿宋_GB2312" w:cs="仿宋_GB2312"/>
          <w:b w:val="0"/>
          <w:bCs w:val="0"/>
          <w:i w:val="0"/>
          <w:iCs w:val="0"/>
          <w:caps w:val="0"/>
          <w:color w:val="333333"/>
          <w:spacing w:val="0"/>
          <w:sz w:val="32"/>
          <w:szCs w:val="32"/>
          <w:highlight w:val="none"/>
          <w:shd w:val="clear" w:fill="FFFFFF"/>
          <w:lang w:val="en-US" w:eastAsia="zh-CN"/>
        </w:rPr>
        <w:t>完善信息审查流程。严格遵循《中华人民共和国政府信息公开条例》及相关规定，政府信息公开前必须履行审核报批手续，经审核通过后，由专人负责发布。未经审查的信息，任何单位和个人不得擅自通过网站等渠道发布。</w:t>
      </w:r>
    </w:p>
    <w:p w14:paraId="4A204FFF">
      <w:pPr>
        <w:spacing w:line="600" w:lineRule="exact"/>
        <w:ind w:firstLine="640" w:firstLineChars="200"/>
        <w:rPr>
          <w:rFonts w:hint="default" w:ascii="仿宋_GB2312" w:hAnsi="仿宋_GB2312" w:eastAsia="仿宋_GB2312" w:cs="仿宋_GB2312"/>
          <w:b w:val="0"/>
          <w:bCs w:val="0"/>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highlight w:val="none"/>
          <w:shd w:val="clear" w:fill="FFFFFF"/>
          <w:lang w:val="en-US" w:eastAsia="zh-CN"/>
        </w:rPr>
        <w:t>2.</w:t>
      </w:r>
      <w:r>
        <w:rPr>
          <w:rFonts w:hint="default" w:ascii="仿宋_GB2312" w:hAnsi="仿宋_GB2312" w:eastAsia="仿宋_GB2312" w:cs="仿宋_GB2312"/>
          <w:b w:val="0"/>
          <w:bCs w:val="0"/>
          <w:i w:val="0"/>
          <w:iCs w:val="0"/>
          <w:caps w:val="0"/>
          <w:color w:val="333333"/>
          <w:spacing w:val="0"/>
          <w:sz w:val="32"/>
          <w:szCs w:val="32"/>
          <w:highlight w:val="none"/>
          <w:shd w:val="clear" w:fill="FFFFFF"/>
          <w:lang w:val="en-US" w:eastAsia="zh-CN"/>
        </w:rPr>
        <w:t>加大内部督查力度。常态化开展政府信息公开工作专项检查，对排查发现的问题立行立改，形成闭环整改机制；同时，加强对保密法律法规执行情况、信息发布保密管理制度落实情况的监督指导，筑牢信息安全防护防线。</w:t>
      </w:r>
    </w:p>
    <w:p w14:paraId="26690EAE">
      <w:pPr>
        <w:spacing w:line="600" w:lineRule="exact"/>
        <w:ind w:firstLine="640" w:firstLineChars="200"/>
        <w:rPr>
          <w:rFonts w:hint="default" w:ascii="仿宋_GB2312" w:hAnsi="仿宋_GB2312" w:eastAsia="仿宋_GB2312" w:cs="仿宋_GB2312"/>
          <w:b w:val="0"/>
          <w:bCs w:val="0"/>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highlight w:val="none"/>
          <w:shd w:val="clear" w:fill="FFFFFF"/>
          <w:lang w:val="en-US" w:eastAsia="zh-CN"/>
        </w:rPr>
        <w:t>3.</w:t>
      </w:r>
      <w:r>
        <w:rPr>
          <w:rFonts w:hint="default" w:ascii="仿宋_GB2312" w:hAnsi="仿宋_GB2312" w:eastAsia="仿宋_GB2312" w:cs="仿宋_GB2312"/>
          <w:b w:val="0"/>
          <w:bCs w:val="0"/>
          <w:i w:val="0"/>
          <w:iCs w:val="0"/>
          <w:caps w:val="0"/>
          <w:color w:val="333333"/>
          <w:spacing w:val="0"/>
          <w:sz w:val="32"/>
          <w:szCs w:val="32"/>
          <w:highlight w:val="none"/>
          <w:shd w:val="clear" w:fill="FFFFFF"/>
          <w:lang w:val="en-US" w:eastAsia="zh-CN"/>
        </w:rPr>
        <w:t>畅通公众监督渠道。优化监督投诉途径，完善线上线下反馈平台，构建便捷高效的公众监督机制。2025年，未收到公众关于政府信息公开工作的投诉举报。</w:t>
      </w:r>
    </w:p>
    <w:p w14:paraId="7560DE27">
      <w:pPr>
        <w:spacing w:line="600" w:lineRule="exact"/>
        <w:ind w:firstLine="640" w:firstLineChars="200"/>
        <w:rPr>
          <w:rFonts w:ascii="仿宋_GB2312" w:eastAsia="仿宋_GB2312"/>
          <w:b w:val="0"/>
          <w:bCs w:val="0"/>
          <w:sz w:val="32"/>
          <w:szCs w:val="32"/>
          <w:highlight w:val="none"/>
        </w:rPr>
      </w:pPr>
      <w:r>
        <w:rPr>
          <w:rFonts w:hint="eastAsia" w:ascii="黑体" w:hAnsi="黑体" w:eastAsia="黑体" w:cs="黑体"/>
          <w:b w:val="0"/>
          <w:bCs w:val="0"/>
          <w:sz w:val="32"/>
          <w:szCs w:val="32"/>
          <w:highlight w:val="none"/>
        </w:rPr>
        <w:t>二</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rPr>
        <w:t>行政机关主动公开政府信息情况</w:t>
      </w:r>
    </w:p>
    <w:tbl>
      <w:tblPr>
        <w:tblStyle w:val="6"/>
        <w:tblW w:w="5000" w:type="pct"/>
        <w:tblInd w:w="0" w:type="dxa"/>
        <w:shd w:val="clear" w:color="auto" w:fill="auto"/>
        <w:tblLayout w:type="autofit"/>
        <w:tblCellMar>
          <w:top w:w="0" w:type="dxa"/>
          <w:left w:w="108" w:type="dxa"/>
          <w:bottom w:w="0" w:type="dxa"/>
          <w:right w:w="108" w:type="dxa"/>
        </w:tblCellMar>
      </w:tblPr>
      <w:tblGrid>
        <w:gridCol w:w="2211"/>
        <w:gridCol w:w="2211"/>
        <w:gridCol w:w="2211"/>
        <w:gridCol w:w="2211"/>
      </w:tblGrid>
      <w:tr w14:paraId="46D1C2E4">
        <w:tblPrEx>
          <w:shd w:val="clear" w:color="auto" w:fill="auto"/>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22AADC42">
            <w:pPr>
              <w:widowControl/>
              <w:jc w:val="center"/>
              <w:rPr>
                <w:rFonts w:ascii="黑体" w:hAnsi="黑体" w:eastAsia="黑体" w:cs="宋体"/>
                <w:b w:val="0"/>
                <w:bCs w:val="0"/>
                <w:color w:val="000000"/>
                <w:kern w:val="0"/>
                <w:szCs w:val="21"/>
                <w:highlight w:val="none"/>
              </w:rPr>
            </w:pPr>
            <w:r>
              <w:rPr>
                <w:rFonts w:hint="eastAsia" w:ascii="黑体" w:hAnsi="黑体" w:eastAsia="黑体" w:cs="宋体"/>
                <w:b w:val="0"/>
                <w:bCs w:val="0"/>
                <w:color w:val="000000"/>
                <w:kern w:val="0"/>
                <w:szCs w:val="21"/>
                <w:highlight w:val="none"/>
              </w:rPr>
              <w:t>第二十条第（一）项</w:t>
            </w:r>
          </w:p>
        </w:tc>
      </w:tr>
      <w:tr w14:paraId="479F45F4">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0122B05B">
            <w:pPr>
              <w:widowControl/>
              <w:jc w:val="center"/>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信息内容</w:t>
            </w:r>
          </w:p>
        </w:tc>
        <w:tc>
          <w:tcPr>
            <w:tcW w:w="1250" w:type="pct"/>
            <w:tcBorders>
              <w:top w:val="nil"/>
              <w:left w:val="nil"/>
              <w:bottom w:val="single" w:color="auto" w:sz="8" w:space="0"/>
              <w:right w:val="single" w:color="auto" w:sz="8" w:space="0"/>
            </w:tcBorders>
            <w:shd w:val="clear" w:color="auto" w:fill="auto"/>
            <w:vAlign w:val="center"/>
          </w:tcPr>
          <w:p w14:paraId="5A2015E5">
            <w:pPr>
              <w:widowControl/>
              <w:jc w:val="center"/>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本年制发件数</w:t>
            </w:r>
          </w:p>
        </w:tc>
        <w:tc>
          <w:tcPr>
            <w:tcW w:w="1250" w:type="pct"/>
            <w:tcBorders>
              <w:top w:val="nil"/>
              <w:left w:val="nil"/>
              <w:bottom w:val="single" w:color="auto" w:sz="8" w:space="0"/>
              <w:right w:val="single" w:color="auto" w:sz="8" w:space="0"/>
            </w:tcBorders>
            <w:shd w:val="clear" w:color="auto" w:fill="auto"/>
            <w:vAlign w:val="center"/>
          </w:tcPr>
          <w:p w14:paraId="78A48C32">
            <w:pPr>
              <w:widowControl/>
              <w:jc w:val="center"/>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本年废止件数</w:t>
            </w:r>
          </w:p>
        </w:tc>
        <w:tc>
          <w:tcPr>
            <w:tcW w:w="1250" w:type="pct"/>
            <w:tcBorders>
              <w:top w:val="nil"/>
              <w:left w:val="nil"/>
              <w:bottom w:val="single" w:color="auto" w:sz="8" w:space="0"/>
              <w:right w:val="single" w:color="auto" w:sz="8" w:space="0"/>
            </w:tcBorders>
            <w:shd w:val="clear" w:color="auto" w:fill="auto"/>
            <w:vAlign w:val="center"/>
          </w:tcPr>
          <w:p w14:paraId="00319743">
            <w:pPr>
              <w:widowControl/>
              <w:jc w:val="center"/>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现行有效件数</w:t>
            </w:r>
          </w:p>
        </w:tc>
      </w:tr>
      <w:tr w14:paraId="5870F107">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0B2D45FE">
            <w:pPr>
              <w:widowControl/>
              <w:jc w:val="left"/>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规章</w:t>
            </w:r>
          </w:p>
        </w:tc>
        <w:tc>
          <w:tcPr>
            <w:tcW w:w="1250" w:type="pct"/>
            <w:tcBorders>
              <w:top w:val="nil"/>
              <w:left w:val="nil"/>
              <w:bottom w:val="single" w:color="auto" w:sz="8" w:space="0"/>
              <w:right w:val="single" w:color="auto" w:sz="8" w:space="0"/>
            </w:tcBorders>
            <w:shd w:val="clear" w:color="auto" w:fill="auto"/>
            <w:vAlign w:val="center"/>
          </w:tcPr>
          <w:p w14:paraId="6E8EBF90">
            <w:pPr>
              <w:widowControl/>
              <w:jc w:val="left"/>
              <w:rPr>
                <w:rFonts w:hint="eastAsia" w:ascii="仿宋_GB2312" w:hAnsi="宋体" w:eastAsia="仿宋_GB2312" w:cs="宋体"/>
                <w:b w:val="0"/>
                <w:bCs w:val="0"/>
                <w:color w:val="000000"/>
                <w:kern w:val="0"/>
                <w:szCs w:val="21"/>
                <w:highlight w:val="none"/>
                <w:lang w:eastAsia="zh-CN"/>
              </w:rPr>
            </w:pPr>
            <w:r>
              <w:rPr>
                <w:rFonts w:hint="eastAsia" w:ascii="仿宋_GB2312" w:hAnsi="宋体" w:eastAsia="仿宋_GB2312" w:cs="宋体"/>
                <w:b w:val="0"/>
                <w:bCs w:val="0"/>
                <w:color w:val="000000"/>
                <w:kern w:val="0"/>
                <w:szCs w:val="21"/>
                <w:highlight w:val="none"/>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54C4FACE">
            <w:pPr>
              <w:widowControl/>
              <w:jc w:val="left"/>
              <w:rPr>
                <w:rFonts w:hint="eastAsia" w:ascii="仿宋_GB2312" w:hAnsi="宋体" w:eastAsia="仿宋_GB2312" w:cs="宋体"/>
                <w:b w:val="0"/>
                <w:bCs w:val="0"/>
                <w:color w:val="000000"/>
                <w:kern w:val="0"/>
                <w:szCs w:val="21"/>
                <w:highlight w:val="none"/>
                <w:lang w:eastAsia="zh-CN"/>
              </w:rPr>
            </w:pPr>
            <w:r>
              <w:rPr>
                <w:rFonts w:hint="eastAsia" w:ascii="仿宋_GB2312" w:hAnsi="宋体" w:eastAsia="仿宋_GB2312" w:cs="宋体"/>
                <w:b w:val="0"/>
                <w:bCs w:val="0"/>
                <w:color w:val="000000"/>
                <w:kern w:val="0"/>
                <w:szCs w:val="21"/>
                <w:highlight w:val="none"/>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3B162BCA">
            <w:pPr>
              <w:widowControl/>
              <w:jc w:val="left"/>
              <w:rPr>
                <w:rFonts w:hint="eastAsia" w:ascii="仿宋_GB2312" w:hAnsi="Calibri" w:eastAsia="仿宋_GB2312" w:cs="Calibri"/>
                <w:b w:val="0"/>
                <w:bCs w:val="0"/>
                <w:color w:val="000000"/>
                <w:kern w:val="0"/>
                <w:szCs w:val="21"/>
                <w:highlight w:val="none"/>
                <w:lang w:eastAsia="zh-CN"/>
              </w:rPr>
            </w:pPr>
            <w:r>
              <w:rPr>
                <w:rFonts w:hint="eastAsia" w:ascii="仿宋_GB2312" w:hAnsi="Calibri" w:eastAsia="仿宋_GB2312" w:cs="Calibri"/>
                <w:b w:val="0"/>
                <w:bCs w:val="0"/>
                <w:color w:val="000000"/>
                <w:kern w:val="0"/>
                <w:szCs w:val="21"/>
                <w:highlight w:val="none"/>
                <w:lang w:val="en-US" w:eastAsia="zh-CN"/>
              </w:rPr>
              <w:t>0</w:t>
            </w:r>
          </w:p>
        </w:tc>
      </w:tr>
      <w:tr w14:paraId="05BA9614">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CECCB58">
            <w:pPr>
              <w:widowControl/>
              <w:jc w:val="left"/>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0D36F750">
            <w:pPr>
              <w:widowControl/>
              <w:jc w:val="left"/>
              <w:rPr>
                <w:rFonts w:hint="eastAsia" w:ascii="仿宋_GB2312" w:hAnsi="宋体" w:eastAsia="仿宋_GB2312" w:cs="宋体"/>
                <w:b w:val="0"/>
                <w:bCs w:val="0"/>
                <w:color w:val="000000"/>
                <w:kern w:val="0"/>
                <w:szCs w:val="21"/>
                <w:highlight w:val="none"/>
                <w:lang w:eastAsia="zh-CN"/>
              </w:rPr>
            </w:pPr>
            <w:r>
              <w:rPr>
                <w:rFonts w:hint="eastAsia" w:ascii="仿宋_GB2312" w:hAnsi="宋体" w:eastAsia="仿宋_GB2312" w:cs="宋体"/>
                <w:b w:val="0"/>
                <w:bCs w:val="0"/>
                <w:color w:val="000000"/>
                <w:kern w:val="0"/>
                <w:szCs w:val="21"/>
                <w:highlight w:val="none"/>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17896DBA">
            <w:pPr>
              <w:widowControl/>
              <w:jc w:val="left"/>
              <w:rPr>
                <w:rFonts w:hint="eastAsia" w:ascii="仿宋_GB2312" w:hAnsi="宋体" w:eastAsia="仿宋_GB2312" w:cs="宋体"/>
                <w:b w:val="0"/>
                <w:bCs w:val="0"/>
                <w:color w:val="000000"/>
                <w:kern w:val="0"/>
                <w:szCs w:val="21"/>
                <w:highlight w:val="none"/>
                <w:lang w:eastAsia="zh-CN"/>
              </w:rPr>
            </w:pPr>
            <w:r>
              <w:rPr>
                <w:rFonts w:hint="eastAsia" w:ascii="仿宋_GB2312" w:hAnsi="宋体" w:eastAsia="仿宋_GB2312" w:cs="宋体"/>
                <w:b w:val="0"/>
                <w:bCs w:val="0"/>
                <w:color w:val="000000"/>
                <w:kern w:val="0"/>
                <w:szCs w:val="21"/>
                <w:highlight w:val="none"/>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1E486F9C">
            <w:pPr>
              <w:widowControl/>
              <w:jc w:val="left"/>
              <w:rPr>
                <w:rFonts w:hint="eastAsia" w:ascii="仿宋_GB2312" w:hAnsi="Calibri" w:eastAsia="仿宋_GB2312" w:cs="Calibri"/>
                <w:b w:val="0"/>
                <w:bCs w:val="0"/>
                <w:color w:val="000000"/>
                <w:kern w:val="0"/>
                <w:szCs w:val="21"/>
                <w:highlight w:val="none"/>
                <w:lang w:eastAsia="zh-CN"/>
              </w:rPr>
            </w:pPr>
            <w:r>
              <w:rPr>
                <w:rFonts w:hint="eastAsia" w:ascii="仿宋_GB2312" w:hAnsi="Calibri" w:eastAsia="仿宋_GB2312" w:cs="Calibri"/>
                <w:b w:val="0"/>
                <w:bCs w:val="0"/>
                <w:color w:val="000000"/>
                <w:kern w:val="0"/>
                <w:szCs w:val="21"/>
                <w:highlight w:val="none"/>
                <w:lang w:val="en-US" w:eastAsia="zh-CN"/>
              </w:rPr>
              <w:t>0</w:t>
            </w:r>
          </w:p>
        </w:tc>
      </w:tr>
      <w:tr w14:paraId="7F5328C2">
        <w:tblPrEx>
          <w:shd w:val="clear" w:color="auto" w:fill="auto"/>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45333BB9">
            <w:pPr>
              <w:widowControl/>
              <w:jc w:val="center"/>
              <w:rPr>
                <w:rFonts w:ascii="黑体" w:hAnsi="黑体" w:eastAsia="黑体" w:cs="宋体"/>
                <w:b w:val="0"/>
                <w:bCs w:val="0"/>
                <w:color w:val="000000"/>
                <w:kern w:val="0"/>
                <w:szCs w:val="21"/>
                <w:highlight w:val="none"/>
              </w:rPr>
            </w:pPr>
            <w:r>
              <w:rPr>
                <w:rFonts w:hint="eastAsia" w:ascii="黑体" w:hAnsi="黑体" w:eastAsia="黑体" w:cs="宋体"/>
                <w:b w:val="0"/>
                <w:bCs w:val="0"/>
                <w:color w:val="000000"/>
                <w:kern w:val="0"/>
                <w:szCs w:val="21"/>
                <w:highlight w:val="none"/>
              </w:rPr>
              <w:t>第二十条第（五）项</w:t>
            </w:r>
          </w:p>
        </w:tc>
      </w:tr>
      <w:tr w14:paraId="0CD6BBBF">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4D15732">
            <w:pPr>
              <w:widowControl/>
              <w:jc w:val="center"/>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8EDC0B9">
            <w:pPr>
              <w:widowControl/>
              <w:jc w:val="center"/>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本年处理决定数量</w:t>
            </w:r>
          </w:p>
        </w:tc>
      </w:tr>
      <w:tr w14:paraId="70D90E5B">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BE4F3EA">
            <w:pPr>
              <w:widowControl/>
              <w:jc w:val="left"/>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71FEDC6">
            <w:pPr>
              <w:widowControl/>
              <w:jc w:val="left"/>
              <w:rPr>
                <w:rFonts w:hint="eastAsia" w:ascii="仿宋_GB2312" w:hAnsi="Calibri" w:eastAsia="仿宋_GB2312" w:cs="Calibri"/>
                <w:b w:val="0"/>
                <w:bCs w:val="0"/>
                <w:color w:val="000000"/>
                <w:kern w:val="0"/>
                <w:szCs w:val="21"/>
                <w:highlight w:val="none"/>
                <w:lang w:eastAsia="zh-CN"/>
              </w:rPr>
            </w:pPr>
            <w:r>
              <w:rPr>
                <w:rFonts w:hint="eastAsia" w:ascii="仿宋_GB2312" w:hAnsi="Calibri" w:eastAsia="仿宋_GB2312" w:cs="Calibri"/>
                <w:b w:val="0"/>
                <w:bCs w:val="0"/>
                <w:color w:val="000000"/>
                <w:kern w:val="0"/>
                <w:szCs w:val="21"/>
                <w:highlight w:val="none"/>
                <w:lang w:val="en-US" w:eastAsia="zh-CN"/>
              </w:rPr>
              <w:t>0</w:t>
            </w:r>
          </w:p>
        </w:tc>
      </w:tr>
      <w:tr w14:paraId="7E58183A">
        <w:tblPrEx>
          <w:shd w:val="clear" w:color="auto" w:fill="auto"/>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060809DA">
            <w:pPr>
              <w:widowControl/>
              <w:jc w:val="center"/>
              <w:rPr>
                <w:rFonts w:ascii="黑体" w:hAnsi="黑体" w:eastAsia="黑体" w:cs="宋体"/>
                <w:b w:val="0"/>
                <w:bCs w:val="0"/>
                <w:color w:val="000000"/>
                <w:kern w:val="0"/>
                <w:szCs w:val="21"/>
                <w:highlight w:val="none"/>
              </w:rPr>
            </w:pPr>
            <w:r>
              <w:rPr>
                <w:rFonts w:hint="eastAsia" w:ascii="黑体" w:hAnsi="黑体" w:eastAsia="黑体" w:cs="宋体"/>
                <w:b w:val="0"/>
                <w:bCs w:val="0"/>
                <w:color w:val="000000"/>
                <w:kern w:val="0"/>
                <w:szCs w:val="21"/>
                <w:highlight w:val="none"/>
              </w:rPr>
              <w:t>第二十条第（六）项</w:t>
            </w:r>
          </w:p>
        </w:tc>
      </w:tr>
      <w:tr w14:paraId="0254299E">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82FA5A8">
            <w:pPr>
              <w:widowControl/>
              <w:jc w:val="center"/>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7FD6D45">
            <w:pPr>
              <w:widowControl/>
              <w:jc w:val="center"/>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本年处理决定数量</w:t>
            </w:r>
          </w:p>
        </w:tc>
      </w:tr>
      <w:tr w14:paraId="36AECD76">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0DFFEEAD">
            <w:pPr>
              <w:widowControl/>
              <w:jc w:val="left"/>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5B39A931">
            <w:pPr>
              <w:widowControl/>
              <w:jc w:val="left"/>
              <w:rPr>
                <w:rFonts w:hint="eastAsia" w:ascii="仿宋_GB2312" w:hAnsi="宋体" w:eastAsia="仿宋_GB2312" w:cs="宋体"/>
                <w:b w:val="0"/>
                <w:bCs w:val="0"/>
                <w:color w:val="000000"/>
                <w:kern w:val="0"/>
                <w:szCs w:val="21"/>
                <w:highlight w:val="none"/>
                <w:lang w:eastAsia="zh-CN"/>
              </w:rPr>
            </w:pPr>
            <w:r>
              <w:rPr>
                <w:rFonts w:hint="eastAsia" w:ascii="仿宋_GB2312" w:hAnsi="宋体" w:eastAsia="仿宋_GB2312" w:cs="宋体"/>
                <w:b w:val="0"/>
                <w:bCs w:val="0"/>
                <w:color w:val="000000"/>
                <w:kern w:val="0"/>
                <w:szCs w:val="21"/>
                <w:highlight w:val="none"/>
                <w:lang w:val="en-US" w:eastAsia="zh-CN"/>
              </w:rPr>
              <w:t>0</w:t>
            </w:r>
          </w:p>
        </w:tc>
      </w:tr>
      <w:tr w14:paraId="237F6A5E">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E9BC9D5">
            <w:pPr>
              <w:widowControl/>
              <w:jc w:val="left"/>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55B5328">
            <w:pPr>
              <w:widowControl/>
              <w:jc w:val="left"/>
              <w:rPr>
                <w:rFonts w:hint="eastAsia" w:ascii="仿宋_GB2312" w:hAnsi="宋体" w:eastAsia="仿宋_GB2312" w:cs="宋体"/>
                <w:b w:val="0"/>
                <w:bCs w:val="0"/>
                <w:color w:val="000000"/>
                <w:kern w:val="0"/>
                <w:szCs w:val="21"/>
                <w:highlight w:val="none"/>
                <w:lang w:eastAsia="zh-CN"/>
              </w:rPr>
            </w:pPr>
            <w:r>
              <w:rPr>
                <w:rFonts w:hint="eastAsia" w:ascii="仿宋_GB2312" w:hAnsi="宋体" w:eastAsia="仿宋_GB2312" w:cs="宋体"/>
                <w:b w:val="0"/>
                <w:bCs w:val="0"/>
                <w:color w:val="000000"/>
                <w:kern w:val="0"/>
                <w:szCs w:val="21"/>
                <w:highlight w:val="none"/>
                <w:lang w:val="en-US" w:eastAsia="zh-CN"/>
              </w:rPr>
              <w:t>0</w:t>
            </w:r>
          </w:p>
        </w:tc>
      </w:tr>
      <w:tr w14:paraId="379CE987">
        <w:tblPrEx>
          <w:shd w:val="clear" w:color="auto" w:fill="auto"/>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386F4BEA">
            <w:pPr>
              <w:widowControl/>
              <w:jc w:val="center"/>
              <w:rPr>
                <w:rFonts w:ascii="黑体" w:hAnsi="黑体" w:eastAsia="黑体" w:cs="宋体"/>
                <w:b w:val="0"/>
                <w:bCs w:val="0"/>
                <w:color w:val="000000"/>
                <w:kern w:val="0"/>
                <w:szCs w:val="21"/>
                <w:highlight w:val="none"/>
              </w:rPr>
            </w:pPr>
            <w:r>
              <w:rPr>
                <w:rFonts w:hint="eastAsia" w:ascii="黑体" w:hAnsi="黑体" w:eastAsia="黑体" w:cs="宋体"/>
                <w:b w:val="0"/>
                <w:bCs w:val="0"/>
                <w:color w:val="000000"/>
                <w:kern w:val="0"/>
                <w:szCs w:val="21"/>
                <w:highlight w:val="none"/>
              </w:rPr>
              <w:t>第二十条第（八）项</w:t>
            </w:r>
          </w:p>
        </w:tc>
      </w:tr>
      <w:tr w14:paraId="0BA29FB9">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7701D8F">
            <w:pPr>
              <w:widowControl/>
              <w:jc w:val="center"/>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78231CC">
            <w:pPr>
              <w:widowControl/>
              <w:jc w:val="center"/>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本年收费金额（单位：万元）</w:t>
            </w:r>
          </w:p>
        </w:tc>
      </w:tr>
      <w:tr w14:paraId="0F942129">
        <w:tblPrEx>
          <w:shd w:val="clear" w:color="auto" w:fill="auto"/>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2AE248F">
            <w:pPr>
              <w:widowControl/>
              <w:jc w:val="left"/>
              <w:rPr>
                <w:rFonts w:ascii="仿宋_GB2312" w:hAnsi="宋体" w:eastAsia="仿宋_GB2312" w:cs="宋体"/>
                <w:b w:val="0"/>
                <w:bCs w:val="0"/>
                <w:color w:val="000000"/>
                <w:kern w:val="0"/>
                <w:szCs w:val="21"/>
                <w:highlight w:val="none"/>
              </w:rPr>
            </w:pPr>
            <w:r>
              <w:rPr>
                <w:rFonts w:hint="eastAsia" w:ascii="仿宋_GB2312" w:hAnsi="宋体" w:eastAsia="仿宋_GB2312" w:cs="宋体"/>
                <w:b w:val="0"/>
                <w:bCs w:val="0"/>
                <w:color w:val="000000"/>
                <w:kern w:val="0"/>
                <w:szCs w:val="21"/>
                <w:highlight w:val="none"/>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0DF1AF4">
            <w:pPr>
              <w:widowControl/>
              <w:jc w:val="left"/>
              <w:rPr>
                <w:rFonts w:hint="eastAsia" w:ascii="仿宋_GB2312" w:hAnsi="Calibri" w:eastAsia="仿宋_GB2312" w:cs="Calibri"/>
                <w:b w:val="0"/>
                <w:bCs w:val="0"/>
                <w:color w:val="000000"/>
                <w:kern w:val="0"/>
                <w:szCs w:val="21"/>
                <w:highlight w:val="none"/>
                <w:lang w:eastAsia="zh-CN"/>
              </w:rPr>
            </w:pPr>
            <w:r>
              <w:rPr>
                <w:rFonts w:hint="eastAsia" w:ascii="仿宋_GB2312" w:hAnsi="Calibri" w:eastAsia="仿宋_GB2312" w:cs="Calibri"/>
                <w:b w:val="0"/>
                <w:bCs w:val="0"/>
                <w:color w:val="000000"/>
                <w:kern w:val="0"/>
                <w:szCs w:val="21"/>
                <w:highlight w:val="none"/>
                <w:lang w:val="en-US" w:eastAsia="zh-CN"/>
              </w:rPr>
              <w:t>0</w:t>
            </w:r>
          </w:p>
        </w:tc>
      </w:tr>
    </w:tbl>
    <w:p w14:paraId="7C84FE67">
      <w:pPr>
        <w:spacing w:line="60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rPr>
        <w:t>行政机关收到和处理政府信息公开申请情况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0AFE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D78D620">
            <w:pPr>
              <w:widowControl/>
              <w:jc w:val="center"/>
              <w:rPr>
                <w:rFonts w:ascii="楷体_GB2312" w:hAnsi="黑体" w:eastAsia="楷体_GB2312"/>
                <w:b w:val="0"/>
                <w:bCs w:val="0"/>
                <w:kern w:val="0"/>
                <w:szCs w:val="21"/>
                <w:highlight w:val="none"/>
              </w:rPr>
            </w:pPr>
            <w:r>
              <w:rPr>
                <w:rFonts w:hint="eastAsia" w:ascii="楷体_GB2312" w:hAnsi="黑体" w:eastAsia="楷体_GB2312"/>
                <w:b w:val="0"/>
                <w:bCs w:val="0"/>
                <w:kern w:val="0"/>
                <w:szCs w:val="21"/>
                <w:highlight w:val="none"/>
              </w:rPr>
              <w:t>（本列数据的勾稽关系为：第一项加第二项之和，</w:t>
            </w:r>
          </w:p>
          <w:p w14:paraId="35B9BD69">
            <w:pPr>
              <w:widowControl/>
              <w:jc w:val="center"/>
              <w:rPr>
                <w:rFonts w:ascii="仿宋_GB2312" w:hAnsi="Times New Roman" w:eastAsia="仿宋_GB2312"/>
                <w:b w:val="0"/>
                <w:bCs w:val="0"/>
                <w:szCs w:val="21"/>
                <w:highlight w:val="none"/>
              </w:rPr>
            </w:pPr>
            <w:r>
              <w:rPr>
                <w:rFonts w:hint="eastAsia" w:ascii="楷体_GB2312" w:hAnsi="黑体" w:eastAsia="楷体_GB2312"/>
                <w:b w:val="0"/>
                <w:bCs w:val="0"/>
                <w:kern w:val="0"/>
                <w:szCs w:val="21"/>
                <w:highlight w:val="none"/>
              </w:rPr>
              <w:t>等于第三项加第四项之和）</w:t>
            </w:r>
          </w:p>
        </w:tc>
        <w:tc>
          <w:tcPr>
            <w:tcW w:w="4820" w:type="dxa"/>
            <w:gridSpan w:val="7"/>
            <w:shd w:val="clear" w:color="auto" w:fill="auto"/>
            <w:tcMar>
              <w:left w:w="108" w:type="dxa"/>
              <w:right w:w="108" w:type="dxa"/>
            </w:tcMar>
            <w:vAlign w:val="center"/>
          </w:tcPr>
          <w:p w14:paraId="76606416">
            <w:pPr>
              <w:widowControl/>
              <w:spacing w:line="320" w:lineRule="exact"/>
              <w:jc w:val="center"/>
              <w:rPr>
                <w:rFonts w:ascii="黑体" w:hAnsi="黑体" w:eastAsia="黑体"/>
                <w:b w:val="0"/>
                <w:bCs w:val="0"/>
                <w:szCs w:val="21"/>
                <w:highlight w:val="none"/>
              </w:rPr>
            </w:pPr>
            <w:r>
              <w:rPr>
                <w:rFonts w:hint="eastAsia" w:ascii="黑体" w:hAnsi="黑体" w:eastAsia="黑体"/>
                <w:b w:val="0"/>
                <w:bCs w:val="0"/>
                <w:kern w:val="0"/>
                <w:szCs w:val="21"/>
                <w:highlight w:val="none"/>
              </w:rPr>
              <w:t>申请人情况</w:t>
            </w:r>
          </w:p>
        </w:tc>
      </w:tr>
      <w:tr w14:paraId="22280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5C0FF795">
            <w:pPr>
              <w:jc w:val="center"/>
              <w:rPr>
                <w:rFonts w:ascii="仿宋_GB2312" w:hAnsi="Times New Roman" w:eastAsia="仿宋_GB2312"/>
                <w:b w:val="0"/>
                <w:bCs w:val="0"/>
                <w:szCs w:val="21"/>
                <w:highlight w:val="none"/>
              </w:rPr>
            </w:pPr>
          </w:p>
        </w:tc>
        <w:tc>
          <w:tcPr>
            <w:tcW w:w="829" w:type="dxa"/>
            <w:vMerge w:val="restart"/>
            <w:shd w:val="clear" w:color="auto" w:fill="auto"/>
            <w:tcMar>
              <w:left w:w="108" w:type="dxa"/>
              <w:right w:w="108" w:type="dxa"/>
            </w:tcMar>
            <w:vAlign w:val="center"/>
          </w:tcPr>
          <w:p w14:paraId="3F2719EB">
            <w:pPr>
              <w:widowControl/>
              <w:jc w:val="center"/>
              <w:rPr>
                <w:rFonts w:ascii="黑体" w:hAnsi="黑体" w:eastAsia="黑体"/>
                <w:b w:val="0"/>
                <w:bCs w:val="0"/>
                <w:szCs w:val="21"/>
                <w:highlight w:val="none"/>
              </w:rPr>
            </w:pPr>
            <w:r>
              <w:rPr>
                <w:rFonts w:hint="eastAsia" w:ascii="黑体" w:hAnsi="黑体" w:eastAsia="黑体"/>
                <w:b w:val="0"/>
                <w:bCs w:val="0"/>
                <w:kern w:val="0"/>
                <w:szCs w:val="21"/>
                <w:highlight w:val="none"/>
              </w:rPr>
              <w:t>自然人</w:t>
            </w:r>
          </w:p>
        </w:tc>
        <w:tc>
          <w:tcPr>
            <w:tcW w:w="3140" w:type="dxa"/>
            <w:gridSpan w:val="5"/>
            <w:shd w:val="clear" w:color="auto" w:fill="auto"/>
            <w:tcMar>
              <w:left w:w="108" w:type="dxa"/>
              <w:right w:w="108" w:type="dxa"/>
            </w:tcMar>
            <w:vAlign w:val="center"/>
          </w:tcPr>
          <w:p w14:paraId="4241F707">
            <w:pPr>
              <w:widowControl/>
              <w:spacing w:line="320" w:lineRule="exact"/>
              <w:jc w:val="center"/>
              <w:rPr>
                <w:rFonts w:ascii="黑体" w:hAnsi="黑体" w:eastAsia="黑体"/>
                <w:b w:val="0"/>
                <w:bCs w:val="0"/>
                <w:szCs w:val="21"/>
                <w:highlight w:val="none"/>
              </w:rPr>
            </w:pPr>
            <w:r>
              <w:rPr>
                <w:rFonts w:hint="eastAsia" w:ascii="黑体" w:hAnsi="黑体" w:eastAsia="黑体"/>
                <w:b w:val="0"/>
                <w:bCs w:val="0"/>
                <w:kern w:val="0"/>
                <w:szCs w:val="21"/>
                <w:highlight w:val="none"/>
              </w:rPr>
              <w:t>法人或其他组织</w:t>
            </w:r>
          </w:p>
        </w:tc>
        <w:tc>
          <w:tcPr>
            <w:tcW w:w="851" w:type="dxa"/>
            <w:vMerge w:val="restart"/>
            <w:shd w:val="clear" w:color="auto" w:fill="auto"/>
            <w:tcMar>
              <w:left w:w="108" w:type="dxa"/>
              <w:right w:w="108" w:type="dxa"/>
            </w:tcMar>
            <w:vAlign w:val="center"/>
          </w:tcPr>
          <w:p w14:paraId="0D027A5E">
            <w:pPr>
              <w:widowControl/>
              <w:jc w:val="center"/>
              <w:rPr>
                <w:rFonts w:ascii="黑体" w:hAnsi="黑体" w:eastAsia="黑体"/>
                <w:b w:val="0"/>
                <w:bCs w:val="0"/>
                <w:szCs w:val="21"/>
                <w:highlight w:val="none"/>
              </w:rPr>
            </w:pPr>
            <w:r>
              <w:rPr>
                <w:rFonts w:hint="eastAsia" w:ascii="黑体" w:hAnsi="黑体" w:eastAsia="黑体"/>
                <w:b w:val="0"/>
                <w:bCs w:val="0"/>
                <w:kern w:val="0"/>
                <w:szCs w:val="21"/>
                <w:highlight w:val="none"/>
              </w:rPr>
              <w:t>总计</w:t>
            </w:r>
          </w:p>
        </w:tc>
      </w:tr>
      <w:tr w14:paraId="14276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4FCE4055">
            <w:pPr>
              <w:jc w:val="center"/>
              <w:rPr>
                <w:rFonts w:ascii="仿宋_GB2312" w:hAnsi="Times New Roman" w:eastAsia="仿宋_GB2312"/>
                <w:b w:val="0"/>
                <w:bCs w:val="0"/>
                <w:szCs w:val="21"/>
                <w:highlight w:val="none"/>
              </w:rPr>
            </w:pPr>
          </w:p>
        </w:tc>
        <w:tc>
          <w:tcPr>
            <w:tcW w:w="829" w:type="dxa"/>
            <w:vMerge w:val="continue"/>
            <w:shd w:val="clear" w:color="auto" w:fill="auto"/>
            <w:tcMar>
              <w:left w:w="108" w:type="dxa"/>
              <w:right w:w="108" w:type="dxa"/>
            </w:tcMar>
            <w:vAlign w:val="center"/>
          </w:tcPr>
          <w:p w14:paraId="4306E8CB">
            <w:pPr>
              <w:jc w:val="center"/>
              <w:rPr>
                <w:rFonts w:ascii="黑体" w:hAnsi="黑体" w:eastAsia="黑体"/>
                <w:b w:val="0"/>
                <w:bCs w:val="0"/>
                <w:szCs w:val="21"/>
                <w:highlight w:val="none"/>
              </w:rPr>
            </w:pPr>
          </w:p>
        </w:tc>
        <w:tc>
          <w:tcPr>
            <w:tcW w:w="567" w:type="dxa"/>
            <w:shd w:val="clear" w:color="auto" w:fill="auto"/>
            <w:tcMar>
              <w:left w:w="108" w:type="dxa"/>
              <w:right w:w="108" w:type="dxa"/>
            </w:tcMar>
            <w:vAlign w:val="center"/>
          </w:tcPr>
          <w:p w14:paraId="44CE46F5">
            <w:pPr>
              <w:widowControl/>
              <w:spacing w:line="320" w:lineRule="exact"/>
              <w:ind w:left="-106" w:leftChars="-51" w:right="-107" w:rightChars="-51" w:hanging="1"/>
              <w:jc w:val="center"/>
              <w:rPr>
                <w:rFonts w:ascii="黑体" w:hAnsi="黑体" w:eastAsia="黑体"/>
                <w:b w:val="0"/>
                <w:bCs w:val="0"/>
                <w:szCs w:val="21"/>
                <w:highlight w:val="none"/>
              </w:rPr>
            </w:pPr>
            <w:r>
              <w:rPr>
                <w:rFonts w:hint="eastAsia" w:ascii="黑体" w:hAnsi="黑体" w:eastAsia="黑体"/>
                <w:b w:val="0"/>
                <w:bCs w:val="0"/>
                <w:kern w:val="0"/>
                <w:szCs w:val="21"/>
                <w:highlight w:val="none"/>
              </w:rPr>
              <w:t>商业企业</w:t>
            </w:r>
          </w:p>
        </w:tc>
        <w:tc>
          <w:tcPr>
            <w:tcW w:w="567" w:type="dxa"/>
            <w:shd w:val="clear" w:color="auto" w:fill="auto"/>
            <w:tcMar>
              <w:left w:w="108" w:type="dxa"/>
              <w:right w:w="108" w:type="dxa"/>
            </w:tcMar>
            <w:vAlign w:val="center"/>
          </w:tcPr>
          <w:p w14:paraId="53D80646">
            <w:pPr>
              <w:widowControl/>
              <w:spacing w:line="320" w:lineRule="exact"/>
              <w:ind w:left="-107" w:leftChars="-51" w:right="-107" w:rightChars="-51"/>
              <w:jc w:val="center"/>
              <w:rPr>
                <w:rFonts w:ascii="黑体" w:hAnsi="黑体" w:eastAsia="黑体"/>
                <w:b w:val="0"/>
                <w:bCs w:val="0"/>
                <w:szCs w:val="21"/>
                <w:highlight w:val="none"/>
              </w:rPr>
            </w:pPr>
            <w:r>
              <w:rPr>
                <w:rFonts w:hint="eastAsia" w:ascii="黑体" w:hAnsi="黑体" w:eastAsia="黑体"/>
                <w:b w:val="0"/>
                <w:bCs w:val="0"/>
                <w:kern w:val="0"/>
                <w:szCs w:val="21"/>
                <w:highlight w:val="none"/>
              </w:rPr>
              <w:t>科研机构</w:t>
            </w:r>
          </w:p>
        </w:tc>
        <w:tc>
          <w:tcPr>
            <w:tcW w:w="731" w:type="dxa"/>
            <w:shd w:val="clear" w:color="auto" w:fill="auto"/>
            <w:tcMar>
              <w:left w:w="108" w:type="dxa"/>
              <w:right w:w="108" w:type="dxa"/>
            </w:tcMar>
            <w:vAlign w:val="center"/>
          </w:tcPr>
          <w:p w14:paraId="10E89E69">
            <w:pPr>
              <w:widowControl/>
              <w:spacing w:line="320" w:lineRule="exact"/>
              <w:ind w:left="-107" w:leftChars="-51" w:right="-107" w:rightChars="-51"/>
              <w:jc w:val="center"/>
              <w:rPr>
                <w:rFonts w:ascii="黑体" w:hAnsi="黑体" w:eastAsia="黑体"/>
                <w:b w:val="0"/>
                <w:bCs w:val="0"/>
                <w:szCs w:val="21"/>
                <w:highlight w:val="none"/>
              </w:rPr>
            </w:pPr>
            <w:r>
              <w:rPr>
                <w:rFonts w:hint="eastAsia" w:ascii="黑体" w:hAnsi="黑体" w:eastAsia="黑体"/>
                <w:b w:val="0"/>
                <w:bCs w:val="0"/>
                <w:kern w:val="0"/>
                <w:szCs w:val="21"/>
                <w:highlight w:val="none"/>
              </w:rPr>
              <w:t>社会公益组织</w:t>
            </w:r>
          </w:p>
        </w:tc>
        <w:tc>
          <w:tcPr>
            <w:tcW w:w="708" w:type="dxa"/>
            <w:shd w:val="clear" w:color="auto" w:fill="auto"/>
            <w:tcMar>
              <w:left w:w="108" w:type="dxa"/>
              <w:right w:w="108" w:type="dxa"/>
            </w:tcMar>
            <w:vAlign w:val="center"/>
          </w:tcPr>
          <w:p w14:paraId="21F5F37E">
            <w:pPr>
              <w:widowControl/>
              <w:spacing w:line="320" w:lineRule="exact"/>
              <w:ind w:left="-106" w:leftChars="-51" w:right="-107" w:rightChars="-51" w:hanging="1"/>
              <w:jc w:val="center"/>
              <w:rPr>
                <w:rFonts w:ascii="黑体" w:hAnsi="黑体" w:eastAsia="黑体"/>
                <w:b w:val="0"/>
                <w:bCs w:val="0"/>
                <w:szCs w:val="21"/>
                <w:highlight w:val="none"/>
              </w:rPr>
            </w:pPr>
            <w:r>
              <w:rPr>
                <w:rFonts w:hint="eastAsia" w:ascii="黑体" w:hAnsi="黑体" w:eastAsia="黑体"/>
                <w:b w:val="0"/>
                <w:bCs w:val="0"/>
                <w:kern w:val="0"/>
                <w:szCs w:val="21"/>
                <w:highlight w:val="none"/>
              </w:rPr>
              <w:t>法律服务机构</w:t>
            </w:r>
          </w:p>
        </w:tc>
        <w:tc>
          <w:tcPr>
            <w:tcW w:w="567" w:type="dxa"/>
            <w:shd w:val="clear" w:color="auto" w:fill="auto"/>
            <w:tcMar>
              <w:left w:w="108" w:type="dxa"/>
              <w:right w:w="108" w:type="dxa"/>
            </w:tcMar>
            <w:vAlign w:val="center"/>
          </w:tcPr>
          <w:p w14:paraId="1264C395">
            <w:pPr>
              <w:widowControl/>
              <w:spacing w:line="360" w:lineRule="exact"/>
              <w:ind w:left="-63" w:leftChars="-30" w:right="-134" w:rightChars="-64"/>
              <w:jc w:val="center"/>
              <w:rPr>
                <w:rFonts w:ascii="黑体" w:hAnsi="黑体" w:eastAsia="黑体"/>
                <w:b w:val="0"/>
                <w:bCs w:val="0"/>
                <w:szCs w:val="21"/>
                <w:highlight w:val="none"/>
              </w:rPr>
            </w:pPr>
            <w:r>
              <w:rPr>
                <w:rFonts w:hint="eastAsia" w:ascii="黑体" w:hAnsi="黑体" w:eastAsia="黑体"/>
                <w:b w:val="0"/>
                <w:bCs w:val="0"/>
                <w:kern w:val="0"/>
                <w:szCs w:val="21"/>
                <w:highlight w:val="none"/>
              </w:rPr>
              <w:t>其他</w:t>
            </w:r>
          </w:p>
        </w:tc>
        <w:tc>
          <w:tcPr>
            <w:tcW w:w="851" w:type="dxa"/>
            <w:vMerge w:val="continue"/>
            <w:shd w:val="clear" w:color="auto" w:fill="auto"/>
            <w:tcMar>
              <w:left w:w="108" w:type="dxa"/>
              <w:right w:w="108" w:type="dxa"/>
            </w:tcMar>
            <w:vAlign w:val="center"/>
          </w:tcPr>
          <w:p w14:paraId="6C8154BC">
            <w:pPr>
              <w:jc w:val="center"/>
              <w:rPr>
                <w:rFonts w:ascii="仿宋_GB2312" w:hAnsi="Times New Roman" w:eastAsia="仿宋_GB2312"/>
                <w:b w:val="0"/>
                <w:bCs w:val="0"/>
                <w:szCs w:val="21"/>
                <w:highlight w:val="none"/>
              </w:rPr>
            </w:pPr>
          </w:p>
        </w:tc>
      </w:tr>
      <w:tr w14:paraId="4B9F3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213B66AC">
            <w:pPr>
              <w:widowControl/>
              <w:rPr>
                <w:rFonts w:ascii="黑体" w:hAnsi="黑体" w:eastAsia="黑体"/>
                <w:b w:val="0"/>
                <w:bCs w:val="0"/>
                <w:szCs w:val="21"/>
                <w:highlight w:val="none"/>
              </w:rPr>
            </w:pPr>
            <w:r>
              <w:rPr>
                <w:rFonts w:hint="eastAsia" w:ascii="黑体" w:hAnsi="黑体" w:eastAsia="黑体"/>
                <w:b w:val="0"/>
                <w:bCs w:val="0"/>
                <w:kern w:val="0"/>
                <w:szCs w:val="21"/>
                <w:highlight w:val="none"/>
              </w:rPr>
              <w:t>一、</w:t>
            </w:r>
            <w:bookmarkStart w:id="0" w:name="_Hlk66973412"/>
            <w:r>
              <w:rPr>
                <w:rFonts w:hint="eastAsia" w:ascii="黑体" w:hAnsi="黑体" w:eastAsia="黑体"/>
                <w:b w:val="0"/>
                <w:bCs w:val="0"/>
                <w:kern w:val="0"/>
                <w:szCs w:val="21"/>
                <w:highlight w:val="none"/>
              </w:rPr>
              <w:t>本年新收政府信息公开申请数量</w:t>
            </w:r>
            <w:bookmarkEnd w:id="0"/>
          </w:p>
        </w:tc>
        <w:tc>
          <w:tcPr>
            <w:tcW w:w="829" w:type="dxa"/>
            <w:shd w:val="clear" w:color="auto" w:fill="auto"/>
            <w:tcMar>
              <w:left w:w="108" w:type="dxa"/>
              <w:right w:w="108" w:type="dxa"/>
            </w:tcMar>
            <w:vAlign w:val="center"/>
          </w:tcPr>
          <w:p w14:paraId="17CC49FD">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2</w:t>
            </w:r>
          </w:p>
        </w:tc>
        <w:tc>
          <w:tcPr>
            <w:tcW w:w="567" w:type="dxa"/>
            <w:shd w:val="clear" w:color="auto" w:fill="auto"/>
            <w:tcMar>
              <w:left w:w="108" w:type="dxa"/>
              <w:right w:w="108" w:type="dxa"/>
            </w:tcMar>
            <w:vAlign w:val="center"/>
          </w:tcPr>
          <w:p w14:paraId="6EEEC39F">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05D7F089">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2EDF7522">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152DD249">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5F103FC8">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29290CDC">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2</w:t>
            </w:r>
          </w:p>
        </w:tc>
      </w:tr>
      <w:tr w14:paraId="0B3DB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9B64C78">
            <w:pPr>
              <w:widowControl/>
              <w:rPr>
                <w:rFonts w:ascii="黑体" w:hAnsi="黑体" w:eastAsia="黑体"/>
                <w:b w:val="0"/>
                <w:bCs w:val="0"/>
                <w:szCs w:val="21"/>
                <w:highlight w:val="none"/>
              </w:rPr>
            </w:pPr>
            <w:r>
              <w:rPr>
                <w:rFonts w:hint="eastAsia" w:ascii="黑体" w:hAnsi="黑体" w:eastAsia="黑体"/>
                <w:b w:val="0"/>
                <w:bCs w:val="0"/>
                <w:kern w:val="0"/>
                <w:szCs w:val="21"/>
                <w:highlight w:val="none"/>
              </w:rPr>
              <w:t>二、上年结转政府信息公开申请数量</w:t>
            </w:r>
          </w:p>
        </w:tc>
        <w:tc>
          <w:tcPr>
            <w:tcW w:w="829" w:type="dxa"/>
            <w:shd w:val="clear" w:color="auto" w:fill="auto"/>
            <w:tcMar>
              <w:left w:w="108" w:type="dxa"/>
              <w:right w:w="108" w:type="dxa"/>
            </w:tcMar>
            <w:vAlign w:val="center"/>
          </w:tcPr>
          <w:p w14:paraId="75E71AD7">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4B6B1D3A">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56302C96">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1C4D7873">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58B7E861">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440BE4C6">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4F21FA24">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r>
      <w:tr w14:paraId="3D984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E520C5">
            <w:pPr>
              <w:widowControl/>
              <w:spacing w:after="180"/>
              <w:rPr>
                <w:rFonts w:ascii="黑体" w:hAnsi="黑体" w:eastAsia="黑体"/>
                <w:b w:val="0"/>
                <w:bCs w:val="0"/>
                <w:szCs w:val="21"/>
                <w:highlight w:val="none"/>
              </w:rPr>
            </w:pPr>
            <w:r>
              <w:rPr>
                <w:rFonts w:hint="eastAsia" w:ascii="黑体" w:hAnsi="黑体" w:eastAsia="黑体"/>
                <w:b w:val="0"/>
                <w:bCs w:val="0"/>
                <w:kern w:val="0"/>
                <w:szCs w:val="21"/>
                <w:highlight w:val="none"/>
              </w:rPr>
              <w:t>三、本年度办理结果</w:t>
            </w:r>
          </w:p>
        </w:tc>
        <w:tc>
          <w:tcPr>
            <w:tcW w:w="4677" w:type="dxa"/>
            <w:gridSpan w:val="2"/>
            <w:shd w:val="clear" w:color="auto" w:fill="auto"/>
            <w:tcMar>
              <w:left w:w="108" w:type="dxa"/>
              <w:right w:w="108" w:type="dxa"/>
            </w:tcMar>
            <w:vAlign w:val="center"/>
          </w:tcPr>
          <w:p w14:paraId="291A54E0">
            <w:pPr>
              <w:widowControl/>
              <w:rPr>
                <w:rFonts w:ascii="黑体" w:hAnsi="黑体" w:eastAsia="黑体"/>
                <w:b w:val="0"/>
                <w:bCs w:val="0"/>
                <w:szCs w:val="21"/>
                <w:highlight w:val="none"/>
              </w:rPr>
            </w:pPr>
            <w:r>
              <w:rPr>
                <w:rFonts w:hint="eastAsia" w:ascii="黑体" w:hAnsi="黑体" w:eastAsia="黑体"/>
                <w:b w:val="0"/>
                <w:bCs w:val="0"/>
                <w:kern w:val="0"/>
                <w:szCs w:val="21"/>
                <w:highlight w:val="none"/>
              </w:rPr>
              <w:t>（一）予以公开</w:t>
            </w:r>
          </w:p>
        </w:tc>
        <w:tc>
          <w:tcPr>
            <w:tcW w:w="829" w:type="dxa"/>
            <w:shd w:val="clear" w:color="auto" w:fill="auto"/>
            <w:tcMar>
              <w:left w:w="108" w:type="dxa"/>
              <w:right w:w="108" w:type="dxa"/>
            </w:tcMar>
            <w:vAlign w:val="center"/>
          </w:tcPr>
          <w:p w14:paraId="0A1556A8">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37E21504">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678ACA4A">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672776AE">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4B021625">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1A0CBAD8">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67AAF1AF">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r>
      <w:tr w14:paraId="106EBD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80FC7FC">
            <w:pPr>
              <w:rPr>
                <w:rFonts w:ascii="黑体" w:hAnsi="黑体" w:eastAsia="黑体"/>
                <w:b w:val="0"/>
                <w:bCs w:val="0"/>
                <w:szCs w:val="21"/>
                <w:highlight w:val="none"/>
              </w:rPr>
            </w:pPr>
          </w:p>
        </w:tc>
        <w:tc>
          <w:tcPr>
            <w:tcW w:w="4677" w:type="dxa"/>
            <w:gridSpan w:val="2"/>
            <w:shd w:val="clear" w:color="auto" w:fill="auto"/>
            <w:tcMar>
              <w:left w:w="108" w:type="dxa"/>
              <w:right w:w="108" w:type="dxa"/>
            </w:tcMar>
            <w:vAlign w:val="center"/>
          </w:tcPr>
          <w:p w14:paraId="40110CBB">
            <w:pPr>
              <w:widowControl/>
              <w:rPr>
                <w:rFonts w:ascii="黑体" w:hAnsi="黑体" w:eastAsia="黑体"/>
                <w:b w:val="0"/>
                <w:bCs w:val="0"/>
                <w:szCs w:val="21"/>
                <w:highlight w:val="none"/>
              </w:rPr>
            </w:pPr>
            <w:r>
              <w:rPr>
                <w:rFonts w:hint="eastAsia" w:ascii="黑体" w:hAnsi="黑体" w:eastAsia="黑体"/>
                <w:b w:val="0"/>
                <w:bCs w:val="0"/>
                <w:kern w:val="0"/>
                <w:szCs w:val="21"/>
                <w:highlight w:val="none"/>
              </w:rPr>
              <w:t>（二）部分公开（</w:t>
            </w:r>
            <w:bookmarkStart w:id="1" w:name="_Hlk66973981"/>
            <w:r>
              <w:rPr>
                <w:rFonts w:hint="eastAsia" w:ascii="黑体" w:hAnsi="黑体" w:eastAsia="黑体"/>
                <w:b w:val="0"/>
                <w:bCs w:val="0"/>
                <w:kern w:val="0"/>
                <w:szCs w:val="21"/>
                <w:highlight w:val="none"/>
              </w:rPr>
              <w:t>区分处理的，只计这一情形，不计其他情形</w:t>
            </w:r>
            <w:bookmarkEnd w:id="1"/>
            <w:r>
              <w:rPr>
                <w:rFonts w:hint="eastAsia" w:ascii="黑体" w:hAnsi="黑体" w:eastAsia="黑体"/>
                <w:b w:val="0"/>
                <w:bCs w:val="0"/>
                <w:kern w:val="0"/>
                <w:szCs w:val="21"/>
                <w:highlight w:val="none"/>
              </w:rPr>
              <w:t>）</w:t>
            </w:r>
          </w:p>
        </w:tc>
        <w:tc>
          <w:tcPr>
            <w:tcW w:w="829" w:type="dxa"/>
            <w:shd w:val="clear" w:color="auto" w:fill="auto"/>
            <w:tcMar>
              <w:left w:w="108" w:type="dxa"/>
              <w:right w:w="108" w:type="dxa"/>
            </w:tcMar>
            <w:vAlign w:val="center"/>
          </w:tcPr>
          <w:p w14:paraId="60306C00">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265DCA38">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15E5029F">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6A86E040">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42173449">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07F3F3AC">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2E8B88B6">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r>
      <w:tr w14:paraId="0E472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BF0DB6E">
            <w:pPr>
              <w:rPr>
                <w:rFonts w:ascii="黑体" w:hAnsi="黑体" w:eastAsia="黑体"/>
                <w:b w:val="0"/>
                <w:bCs w:val="0"/>
                <w:szCs w:val="21"/>
                <w:highlight w:val="none"/>
              </w:rPr>
            </w:pPr>
          </w:p>
        </w:tc>
        <w:tc>
          <w:tcPr>
            <w:tcW w:w="1701" w:type="dxa"/>
            <w:vMerge w:val="restart"/>
            <w:shd w:val="clear" w:color="auto" w:fill="auto"/>
            <w:tcMar>
              <w:left w:w="108" w:type="dxa"/>
              <w:right w:w="108" w:type="dxa"/>
            </w:tcMar>
            <w:vAlign w:val="center"/>
          </w:tcPr>
          <w:p w14:paraId="4C867C0D">
            <w:pPr>
              <w:widowControl/>
              <w:spacing w:line="200" w:lineRule="exact"/>
              <w:ind w:left="-107" w:leftChars="-51"/>
              <w:rPr>
                <w:rFonts w:ascii="黑体" w:hAnsi="黑体" w:eastAsia="黑体"/>
                <w:b w:val="0"/>
                <w:bCs w:val="0"/>
                <w:szCs w:val="21"/>
                <w:highlight w:val="none"/>
              </w:rPr>
            </w:pPr>
            <w:r>
              <w:rPr>
                <w:rFonts w:hint="eastAsia" w:ascii="黑体" w:hAnsi="黑体" w:eastAsia="黑体"/>
                <w:b w:val="0"/>
                <w:bCs w:val="0"/>
                <w:kern w:val="0"/>
                <w:szCs w:val="21"/>
                <w:highlight w:val="none"/>
              </w:rPr>
              <w:t>（三）不予公开</w:t>
            </w:r>
          </w:p>
        </w:tc>
        <w:tc>
          <w:tcPr>
            <w:tcW w:w="2976" w:type="dxa"/>
            <w:shd w:val="clear" w:color="auto" w:fill="auto"/>
            <w:tcMar>
              <w:left w:w="108" w:type="dxa"/>
              <w:right w:w="108" w:type="dxa"/>
            </w:tcMar>
            <w:vAlign w:val="center"/>
          </w:tcPr>
          <w:p w14:paraId="5893FC1E">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1.属于国家秘密</w:t>
            </w:r>
          </w:p>
        </w:tc>
        <w:tc>
          <w:tcPr>
            <w:tcW w:w="829" w:type="dxa"/>
            <w:shd w:val="clear" w:color="auto" w:fill="auto"/>
            <w:tcMar>
              <w:left w:w="108" w:type="dxa"/>
              <w:right w:w="108" w:type="dxa"/>
            </w:tcMar>
            <w:vAlign w:val="center"/>
          </w:tcPr>
          <w:p w14:paraId="05D509B2">
            <w:pPr>
              <w:widowControl/>
              <w:spacing w:after="180" w:line="200" w:lineRule="exact"/>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71A0FAF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18032AAB">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1BC1A833">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66698FA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615DF354">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2EA3296F">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7EAA7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C4003F0">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245C8F8D">
            <w:pPr>
              <w:spacing w:line="200" w:lineRule="exact"/>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3EEF7ECF">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2.</w:t>
            </w:r>
            <w:bookmarkStart w:id="2" w:name="_Hlk66974104"/>
            <w:r>
              <w:rPr>
                <w:rFonts w:hint="eastAsia" w:ascii="仿宋_GB2312" w:hAnsi="黑体" w:eastAsia="仿宋_GB2312"/>
                <w:b w:val="0"/>
                <w:bCs w:val="0"/>
                <w:kern w:val="0"/>
                <w:szCs w:val="21"/>
                <w:highlight w:val="none"/>
              </w:rPr>
              <w:t>其他法律行政法规禁止公开</w:t>
            </w:r>
            <w:bookmarkEnd w:id="2"/>
          </w:p>
        </w:tc>
        <w:tc>
          <w:tcPr>
            <w:tcW w:w="829" w:type="dxa"/>
            <w:shd w:val="clear" w:color="auto" w:fill="auto"/>
            <w:tcMar>
              <w:left w:w="108" w:type="dxa"/>
              <w:right w:w="108" w:type="dxa"/>
            </w:tcMar>
            <w:vAlign w:val="center"/>
          </w:tcPr>
          <w:p w14:paraId="44888D54">
            <w:pPr>
              <w:widowControl/>
              <w:spacing w:after="180" w:line="200" w:lineRule="exact"/>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2B016794">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127C1C53">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63E2E518">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24718BDC">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5DD2CB67">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60AF2ABA">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55607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14A710B">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11D4DBB3">
            <w:pPr>
              <w:spacing w:line="200" w:lineRule="exact"/>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121B151F">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3.危及“三安全一稳定”</w:t>
            </w:r>
          </w:p>
        </w:tc>
        <w:tc>
          <w:tcPr>
            <w:tcW w:w="829" w:type="dxa"/>
            <w:shd w:val="clear" w:color="auto" w:fill="auto"/>
            <w:tcMar>
              <w:left w:w="108" w:type="dxa"/>
              <w:right w:w="108" w:type="dxa"/>
            </w:tcMar>
            <w:vAlign w:val="center"/>
          </w:tcPr>
          <w:p w14:paraId="63367826">
            <w:pPr>
              <w:widowControl/>
              <w:spacing w:after="180" w:line="200" w:lineRule="exact"/>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4BA1C61C">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492A4B20">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6F04939E">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125FC2A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29B0CC73">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7CFDC102">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1FC02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7AD001">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419BD045">
            <w:pPr>
              <w:spacing w:line="200" w:lineRule="exact"/>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016ECDCE">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4.</w:t>
            </w:r>
            <w:bookmarkStart w:id="3" w:name="_Hlk66974290"/>
            <w:r>
              <w:rPr>
                <w:rFonts w:hint="eastAsia" w:ascii="仿宋_GB2312" w:hAnsi="黑体" w:eastAsia="仿宋_GB2312"/>
                <w:b w:val="0"/>
                <w:bCs w:val="0"/>
                <w:kern w:val="0"/>
                <w:szCs w:val="21"/>
                <w:highlight w:val="none"/>
              </w:rPr>
              <w:t>保护第三方合法权益</w:t>
            </w:r>
            <w:bookmarkEnd w:id="3"/>
          </w:p>
        </w:tc>
        <w:tc>
          <w:tcPr>
            <w:tcW w:w="829" w:type="dxa"/>
            <w:shd w:val="clear" w:color="auto" w:fill="auto"/>
            <w:tcMar>
              <w:left w:w="108" w:type="dxa"/>
              <w:right w:w="108" w:type="dxa"/>
            </w:tcMar>
            <w:vAlign w:val="center"/>
          </w:tcPr>
          <w:p w14:paraId="793FB77F">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3D21F1D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011B5F3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54C51220">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7B8D6B84">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7F453844">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1BCAEC5E">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32DAA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509D62A">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5047D5CB">
            <w:pPr>
              <w:spacing w:line="200" w:lineRule="exact"/>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7F0B8890">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5.属于三类内部事务信息</w:t>
            </w:r>
          </w:p>
        </w:tc>
        <w:tc>
          <w:tcPr>
            <w:tcW w:w="829" w:type="dxa"/>
            <w:shd w:val="clear" w:color="auto" w:fill="auto"/>
            <w:tcMar>
              <w:left w:w="108" w:type="dxa"/>
              <w:right w:w="108" w:type="dxa"/>
            </w:tcMar>
            <w:vAlign w:val="center"/>
          </w:tcPr>
          <w:p w14:paraId="60177118">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7D28E6A0">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5F59536B">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3F436ADC">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52AE99BC">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106828F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62C74305">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6F6C5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BCCBDD">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4F92E40E">
            <w:pPr>
              <w:spacing w:line="200" w:lineRule="exact"/>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7FCF6369">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6.</w:t>
            </w:r>
            <w:bookmarkStart w:id="4" w:name="_Hlk66974555"/>
            <w:r>
              <w:rPr>
                <w:rFonts w:hint="eastAsia" w:ascii="仿宋_GB2312" w:hAnsi="黑体" w:eastAsia="仿宋_GB2312"/>
                <w:b w:val="0"/>
                <w:bCs w:val="0"/>
                <w:kern w:val="0"/>
                <w:szCs w:val="21"/>
                <w:highlight w:val="none"/>
              </w:rPr>
              <w:t>属于四类过程性信息</w:t>
            </w:r>
            <w:bookmarkEnd w:id="4"/>
          </w:p>
        </w:tc>
        <w:tc>
          <w:tcPr>
            <w:tcW w:w="829" w:type="dxa"/>
            <w:shd w:val="clear" w:color="auto" w:fill="auto"/>
            <w:tcMar>
              <w:left w:w="108" w:type="dxa"/>
              <w:right w:w="108" w:type="dxa"/>
            </w:tcMar>
            <w:vAlign w:val="center"/>
          </w:tcPr>
          <w:p w14:paraId="183B3C83">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52031D6C">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1BFA203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3FCF6184">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24FC1649">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288714CB">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1945FCBB">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49026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9817C7">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6E147A8A">
            <w:pPr>
              <w:spacing w:line="200" w:lineRule="exact"/>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1A4112EE">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7.属于行政执法案卷</w:t>
            </w:r>
          </w:p>
        </w:tc>
        <w:tc>
          <w:tcPr>
            <w:tcW w:w="829" w:type="dxa"/>
            <w:shd w:val="clear" w:color="auto" w:fill="auto"/>
            <w:tcMar>
              <w:left w:w="108" w:type="dxa"/>
              <w:right w:w="108" w:type="dxa"/>
            </w:tcMar>
            <w:vAlign w:val="center"/>
          </w:tcPr>
          <w:p w14:paraId="2C72B954">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7DD7EB9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269E525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39D4D8E6">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26EF8BAE">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3F740117">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114798F2">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64CBC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83AB5C0">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25704FA7">
            <w:pPr>
              <w:spacing w:line="200" w:lineRule="exact"/>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6A6A4D58">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8.</w:t>
            </w:r>
            <w:bookmarkStart w:id="5" w:name="_Hlk66975211"/>
            <w:r>
              <w:rPr>
                <w:rFonts w:hint="eastAsia" w:ascii="仿宋_GB2312" w:hAnsi="黑体" w:eastAsia="仿宋_GB2312"/>
                <w:b w:val="0"/>
                <w:bCs w:val="0"/>
                <w:kern w:val="0"/>
                <w:szCs w:val="21"/>
                <w:highlight w:val="none"/>
              </w:rPr>
              <w:t>属于行政查询事项</w:t>
            </w:r>
            <w:bookmarkEnd w:id="5"/>
          </w:p>
        </w:tc>
        <w:tc>
          <w:tcPr>
            <w:tcW w:w="829" w:type="dxa"/>
            <w:shd w:val="clear" w:color="auto" w:fill="auto"/>
            <w:tcMar>
              <w:left w:w="108" w:type="dxa"/>
              <w:right w:w="108" w:type="dxa"/>
            </w:tcMar>
            <w:vAlign w:val="center"/>
          </w:tcPr>
          <w:p w14:paraId="7828613C">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7907F95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57559E4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2E706CF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4BC19A50">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67CAF5E3">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4C70D01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04025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3423319">
            <w:pPr>
              <w:rPr>
                <w:rFonts w:ascii="黑体" w:hAnsi="黑体" w:eastAsia="黑体"/>
                <w:b w:val="0"/>
                <w:bCs w:val="0"/>
                <w:szCs w:val="21"/>
                <w:highlight w:val="none"/>
              </w:rPr>
            </w:pPr>
          </w:p>
        </w:tc>
        <w:tc>
          <w:tcPr>
            <w:tcW w:w="1701" w:type="dxa"/>
            <w:vMerge w:val="restart"/>
            <w:shd w:val="clear" w:color="auto" w:fill="auto"/>
            <w:tcMar>
              <w:left w:w="108" w:type="dxa"/>
              <w:right w:w="108" w:type="dxa"/>
            </w:tcMar>
            <w:vAlign w:val="center"/>
          </w:tcPr>
          <w:p w14:paraId="2CEA41C9">
            <w:pPr>
              <w:widowControl/>
              <w:spacing w:line="200" w:lineRule="exact"/>
              <w:ind w:left="-107" w:leftChars="-51"/>
              <w:rPr>
                <w:rFonts w:ascii="黑体" w:hAnsi="黑体" w:eastAsia="黑体"/>
                <w:b w:val="0"/>
                <w:bCs w:val="0"/>
                <w:szCs w:val="21"/>
                <w:highlight w:val="none"/>
              </w:rPr>
            </w:pPr>
            <w:r>
              <w:rPr>
                <w:rFonts w:hint="eastAsia" w:ascii="黑体" w:hAnsi="黑体" w:eastAsia="黑体"/>
                <w:b w:val="0"/>
                <w:bCs w:val="0"/>
                <w:kern w:val="0"/>
                <w:szCs w:val="21"/>
                <w:highlight w:val="none"/>
              </w:rPr>
              <w:t>（四）无法提供</w:t>
            </w:r>
          </w:p>
        </w:tc>
        <w:tc>
          <w:tcPr>
            <w:tcW w:w="2976" w:type="dxa"/>
            <w:shd w:val="clear" w:color="auto" w:fill="auto"/>
            <w:tcMar>
              <w:left w:w="108" w:type="dxa"/>
              <w:right w:w="108" w:type="dxa"/>
            </w:tcMar>
            <w:vAlign w:val="center"/>
          </w:tcPr>
          <w:p w14:paraId="6D708B1C">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1.本机关不掌握相关政府信息</w:t>
            </w:r>
          </w:p>
        </w:tc>
        <w:tc>
          <w:tcPr>
            <w:tcW w:w="829" w:type="dxa"/>
            <w:shd w:val="clear" w:color="auto" w:fill="auto"/>
            <w:tcMar>
              <w:left w:w="108" w:type="dxa"/>
              <w:right w:w="108" w:type="dxa"/>
            </w:tcMar>
            <w:vAlign w:val="center"/>
          </w:tcPr>
          <w:p w14:paraId="3EC21C12">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2</w:t>
            </w:r>
            <w:bookmarkStart w:id="10" w:name="_GoBack"/>
            <w:bookmarkEnd w:id="10"/>
          </w:p>
        </w:tc>
        <w:tc>
          <w:tcPr>
            <w:tcW w:w="567" w:type="dxa"/>
            <w:shd w:val="clear" w:color="auto" w:fill="auto"/>
            <w:tcMar>
              <w:left w:w="108" w:type="dxa"/>
              <w:right w:w="108" w:type="dxa"/>
            </w:tcMar>
            <w:vAlign w:val="center"/>
          </w:tcPr>
          <w:p w14:paraId="62C72430">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42B1FF99">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33B26C8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2AC5123E">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43887E17">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21B9ABA9">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2</w:t>
            </w:r>
          </w:p>
        </w:tc>
      </w:tr>
      <w:tr w14:paraId="605E0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B90D81C">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02068CB8">
            <w:pPr>
              <w:spacing w:line="200" w:lineRule="exact"/>
              <w:ind w:left="-107" w:leftChars="-51"/>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0F47DEBA">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2.</w:t>
            </w:r>
            <w:bookmarkStart w:id="6" w:name="_Hlk66975392"/>
            <w:r>
              <w:rPr>
                <w:rFonts w:hint="eastAsia" w:ascii="仿宋_GB2312" w:hAnsi="黑体" w:eastAsia="仿宋_GB2312"/>
                <w:b w:val="0"/>
                <w:bCs w:val="0"/>
                <w:kern w:val="0"/>
                <w:szCs w:val="21"/>
                <w:highlight w:val="none"/>
              </w:rPr>
              <w:t>没有现成信息需要另行制作</w:t>
            </w:r>
            <w:bookmarkEnd w:id="6"/>
          </w:p>
        </w:tc>
        <w:tc>
          <w:tcPr>
            <w:tcW w:w="829" w:type="dxa"/>
            <w:shd w:val="clear" w:color="auto" w:fill="auto"/>
            <w:tcMar>
              <w:left w:w="108" w:type="dxa"/>
              <w:right w:w="108" w:type="dxa"/>
            </w:tcMar>
            <w:vAlign w:val="center"/>
          </w:tcPr>
          <w:p w14:paraId="4E90C356">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7A072CA4">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0BD8DD3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3F9AF100">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00C6B657">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763D0B1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63B12E1A">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0CAE6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1CF093A">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339DDDAD">
            <w:pPr>
              <w:spacing w:line="200" w:lineRule="exact"/>
              <w:ind w:left="-107" w:leftChars="-51"/>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2FB9A80B">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3.</w:t>
            </w:r>
            <w:bookmarkStart w:id="7" w:name="_Hlk66975466"/>
            <w:r>
              <w:rPr>
                <w:rFonts w:hint="eastAsia" w:ascii="仿宋_GB2312" w:hAnsi="黑体" w:eastAsia="仿宋_GB2312"/>
                <w:b w:val="0"/>
                <w:bCs w:val="0"/>
                <w:kern w:val="0"/>
                <w:szCs w:val="21"/>
                <w:highlight w:val="none"/>
              </w:rPr>
              <w:t>补正后申请内容仍不明确</w:t>
            </w:r>
            <w:bookmarkEnd w:id="7"/>
          </w:p>
        </w:tc>
        <w:tc>
          <w:tcPr>
            <w:tcW w:w="829" w:type="dxa"/>
            <w:shd w:val="clear" w:color="auto" w:fill="auto"/>
            <w:tcMar>
              <w:left w:w="108" w:type="dxa"/>
              <w:right w:w="108" w:type="dxa"/>
            </w:tcMar>
            <w:vAlign w:val="center"/>
          </w:tcPr>
          <w:p w14:paraId="15B507D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2A0DBA29">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5A928294">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7217D87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1D78A015">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0573AEBF">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2B054EB6">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64090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7AD167">
            <w:pPr>
              <w:rPr>
                <w:rFonts w:ascii="黑体" w:hAnsi="黑体" w:eastAsia="黑体"/>
                <w:b w:val="0"/>
                <w:bCs w:val="0"/>
                <w:szCs w:val="21"/>
                <w:highlight w:val="none"/>
              </w:rPr>
            </w:pPr>
          </w:p>
        </w:tc>
        <w:tc>
          <w:tcPr>
            <w:tcW w:w="1701" w:type="dxa"/>
            <w:vMerge w:val="restart"/>
            <w:shd w:val="clear" w:color="auto" w:fill="auto"/>
            <w:tcMar>
              <w:left w:w="108" w:type="dxa"/>
              <w:right w:w="108" w:type="dxa"/>
            </w:tcMar>
            <w:vAlign w:val="center"/>
          </w:tcPr>
          <w:p w14:paraId="6B85DA80">
            <w:pPr>
              <w:widowControl/>
              <w:spacing w:line="200" w:lineRule="exact"/>
              <w:ind w:left="-107" w:leftChars="-51"/>
              <w:rPr>
                <w:rFonts w:ascii="黑体" w:hAnsi="黑体" w:eastAsia="黑体"/>
                <w:b w:val="0"/>
                <w:bCs w:val="0"/>
                <w:szCs w:val="21"/>
                <w:highlight w:val="none"/>
              </w:rPr>
            </w:pPr>
            <w:r>
              <w:rPr>
                <w:rFonts w:hint="eastAsia" w:ascii="黑体" w:hAnsi="黑体" w:eastAsia="黑体"/>
                <w:b w:val="0"/>
                <w:bCs w:val="0"/>
                <w:kern w:val="0"/>
                <w:szCs w:val="21"/>
                <w:highlight w:val="none"/>
              </w:rPr>
              <w:t>（五）不予处理</w:t>
            </w:r>
          </w:p>
        </w:tc>
        <w:tc>
          <w:tcPr>
            <w:tcW w:w="2976" w:type="dxa"/>
            <w:shd w:val="clear" w:color="auto" w:fill="auto"/>
            <w:tcMar>
              <w:left w:w="108" w:type="dxa"/>
              <w:right w:w="108" w:type="dxa"/>
            </w:tcMar>
            <w:vAlign w:val="center"/>
          </w:tcPr>
          <w:p w14:paraId="6F6AB291">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1.</w:t>
            </w:r>
            <w:bookmarkStart w:id="8" w:name="_Hlk66975537"/>
            <w:r>
              <w:rPr>
                <w:rFonts w:hint="eastAsia" w:ascii="仿宋_GB2312" w:hAnsi="黑体" w:eastAsia="仿宋_GB2312"/>
                <w:b w:val="0"/>
                <w:bCs w:val="0"/>
                <w:kern w:val="0"/>
                <w:szCs w:val="21"/>
                <w:highlight w:val="none"/>
              </w:rPr>
              <w:t>信访举报投诉类申请</w:t>
            </w:r>
            <w:bookmarkEnd w:id="8"/>
          </w:p>
        </w:tc>
        <w:tc>
          <w:tcPr>
            <w:tcW w:w="829" w:type="dxa"/>
            <w:shd w:val="clear" w:color="auto" w:fill="auto"/>
            <w:tcMar>
              <w:left w:w="108" w:type="dxa"/>
              <w:right w:w="108" w:type="dxa"/>
            </w:tcMar>
            <w:vAlign w:val="center"/>
          </w:tcPr>
          <w:p w14:paraId="2874FCA2">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030F4975">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713813BA">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6C701E07">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72BDF37C">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15711215">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559A923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4A968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FA51D16">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68DD3E27">
            <w:pPr>
              <w:spacing w:line="200" w:lineRule="exact"/>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5D37E4C7">
            <w:pPr>
              <w:widowControl/>
              <w:spacing w:line="2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2.重复申请</w:t>
            </w:r>
          </w:p>
        </w:tc>
        <w:tc>
          <w:tcPr>
            <w:tcW w:w="829" w:type="dxa"/>
            <w:shd w:val="clear" w:color="auto" w:fill="auto"/>
            <w:tcMar>
              <w:left w:w="108" w:type="dxa"/>
              <w:right w:w="108" w:type="dxa"/>
            </w:tcMar>
            <w:vAlign w:val="center"/>
          </w:tcPr>
          <w:p w14:paraId="6A232FCF">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23B21304">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7648429C">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54AE6862">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44C75898">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6BD4020A">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75495E29">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44B7E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B5AADB">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5F300E2C">
            <w:pPr>
              <w:spacing w:line="200" w:lineRule="exact"/>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332DBA35">
            <w:pPr>
              <w:widowControl/>
              <w:spacing w:line="200" w:lineRule="exact"/>
              <w:rPr>
                <w:rFonts w:ascii="仿宋_GB2312" w:hAnsi="黑体" w:eastAsia="仿宋_GB2312"/>
                <w:b w:val="0"/>
                <w:bCs w:val="0"/>
                <w:szCs w:val="21"/>
                <w:highlight w:val="none"/>
              </w:rPr>
            </w:pPr>
            <w:r>
              <w:rPr>
                <w:rFonts w:hint="eastAsia" w:ascii="仿宋_GB2312" w:hAnsi="黑体" w:eastAsia="仿宋_GB2312"/>
                <w:b w:val="0"/>
                <w:bCs w:val="0"/>
                <w:kern w:val="0"/>
                <w:szCs w:val="21"/>
                <w:highlight w:val="none"/>
              </w:rPr>
              <w:t>3.要求提供公开出版物</w:t>
            </w:r>
          </w:p>
        </w:tc>
        <w:tc>
          <w:tcPr>
            <w:tcW w:w="829" w:type="dxa"/>
            <w:shd w:val="clear" w:color="auto" w:fill="auto"/>
            <w:tcMar>
              <w:left w:w="108" w:type="dxa"/>
              <w:right w:w="108" w:type="dxa"/>
            </w:tcMar>
            <w:vAlign w:val="center"/>
          </w:tcPr>
          <w:p w14:paraId="5160053F">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4B9233F0">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18F3935B">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493664C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484FB049">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4559CF2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17CE9B3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1CD65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4BA4B6DA">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30F19539">
            <w:pPr>
              <w:spacing w:line="200" w:lineRule="exact"/>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6E73CE82">
            <w:pPr>
              <w:widowControl/>
              <w:spacing w:line="200" w:lineRule="exact"/>
              <w:rPr>
                <w:rFonts w:ascii="仿宋_GB2312" w:hAnsi="黑体" w:eastAsia="仿宋_GB2312"/>
                <w:b w:val="0"/>
                <w:bCs w:val="0"/>
                <w:szCs w:val="21"/>
                <w:highlight w:val="none"/>
              </w:rPr>
            </w:pPr>
            <w:r>
              <w:rPr>
                <w:rFonts w:hint="eastAsia" w:ascii="仿宋_GB2312" w:hAnsi="黑体" w:eastAsia="仿宋_GB2312"/>
                <w:b w:val="0"/>
                <w:bCs w:val="0"/>
                <w:kern w:val="0"/>
                <w:szCs w:val="21"/>
                <w:highlight w:val="none"/>
              </w:rPr>
              <w:t>4.无正当理由大量反复申请</w:t>
            </w:r>
          </w:p>
        </w:tc>
        <w:tc>
          <w:tcPr>
            <w:tcW w:w="829" w:type="dxa"/>
            <w:shd w:val="clear" w:color="auto" w:fill="auto"/>
            <w:tcMar>
              <w:left w:w="108" w:type="dxa"/>
              <w:right w:w="108" w:type="dxa"/>
            </w:tcMar>
            <w:vAlign w:val="center"/>
          </w:tcPr>
          <w:p w14:paraId="302990D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374B5F71">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3841F45B">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177F7126">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0DC8365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27A96810">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63579505">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52CDA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2AE4F0A">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77A9A920">
            <w:pPr>
              <w:spacing w:line="200" w:lineRule="exact"/>
              <w:rPr>
                <w:rFonts w:ascii="黑体" w:hAnsi="黑体" w:eastAsia="黑体"/>
                <w:b w:val="0"/>
                <w:bCs w:val="0"/>
                <w:szCs w:val="21"/>
                <w:highlight w:val="none"/>
              </w:rPr>
            </w:pPr>
          </w:p>
        </w:tc>
        <w:tc>
          <w:tcPr>
            <w:tcW w:w="2976" w:type="dxa"/>
            <w:shd w:val="clear" w:color="auto" w:fill="auto"/>
            <w:tcMar>
              <w:left w:w="108" w:type="dxa"/>
              <w:right w:w="108" w:type="dxa"/>
            </w:tcMar>
            <w:vAlign w:val="center"/>
          </w:tcPr>
          <w:p w14:paraId="1F860B0C">
            <w:pPr>
              <w:widowControl/>
              <w:spacing w:line="300" w:lineRule="exact"/>
              <w:rPr>
                <w:rFonts w:ascii="仿宋_GB2312" w:hAnsi="黑体" w:eastAsia="仿宋_GB2312"/>
                <w:b w:val="0"/>
                <w:bCs w:val="0"/>
                <w:kern w:val="0"/>
                <w:szCs w:val="21"/>
                <w:highlight w:val="none"/>
              </w:rPr>
            </w:pPr>
            <w:r>
              <w:rPr>
                <w:rFonts w:hint="eastAsia" w:ascii="仿宋_GB2312" w:hAnsi="黑体" w:eastAsia="仿宋_GB2312"/>
                <w:b w:val="0"/>
                <w:bCs w:val="0"/>
                <w:kern w:val="0"/>
                <w:szCs w:val="21"/>
                <w:highlight w:val="none"/>
              </w:rPr>
              <w:t>5.要求行政机关确认或重新</w:t>
            </w:r>
          </w:p>
          <w:p w14:paraId="638D8848">
            <w:pPr>
              <w:widowControl/>
              <w:spacing w:line="300" w:lineRule="exact"/>
              <w:ind w:firstLine="210" w:firstLineChars="100"/>
              <w:rPr>
                <w:rFonts w:ascii="仿宋_GB2312" w:hAnsi="黑体" w:eastAsia="仿宋_GB2312"/>
                <w:b w:val="0"/>
                <w:bCs w:val="0"/>
                <w:szCs w:val="21"/>
                <w:highlight w:val="none"/>
              </w:rPr>
            </w:pPr>
            <w:r>
              <w:rPr>
                <w:rFonts w:hint="eastAsia" w:ascii="仿宋_GB2312" w:hAnsi="黑体" w:eastAsia="仿宋_GB2312"/>
                <w:b w:val="0"/>
                <w:bCs w:val="0"/>
                <w:kern w:val="0"/>
                <w:szCs w:val="21"/>
                <w:highlight w:val="none"/>
              </w:rPr>
              <w:t>出具已获取信息</w:t>
            </w:r>
          </w:p>
        </w:tc>
        <w:tc>
          <w:tcPr>
            <w:tcW w:w="829" w:type="dxa"/>
            <w:shd w:val="clear" w:color="auto" w:fill="auto"/>
            <w:tcMar>
              <w:left w:w="108" w:type="dxa"/>
              <w:right w:w="108" w:type="dxa"/>
            </w:tcMar>
            <w:vAlign w:val="center"/>
          </w:tcPr>
          <w:p w14:paraId="4A86A069">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6F388A64">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50AD8026">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7FB72AD0">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330AED32">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79DDC963">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4E22D653">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7AE32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03CE593">
            <w:pPr>
              <w:rPr>
                <w:rFonts w:ascii="黑体" w:hAnsi="黑体" w:eastAsia="黑体"/>
                <w:b w:val="0"/>
                <w:bCs w:val="0"/>
                <w:szCs w:val="21"/>
                <w:highlight w:val="none"/>
              </w:rPr>
            </w:pPr>
          </w:p>
        </w:tc>
        <w:tc>
          <w:tcPr>
            <w:tcW w:w="1701" w:type="dxa"/>
            <w:vMerge w:val="restart"/>
            <w:shd w:val="clear" w:color="auto" w:fill="auto"/>
            <w:tcMar>
              <w:left w:w="108" w:type="dxa"/>
              <w:right w:w="108" w:type="dxa"/>
            </w:tcMar>
            <w:vAlign w:val="center"/>
          </w:tcPr>
          <w:p w14:paraId="3BA41372">
            <w:pPr>
              <w:widowControl/>
              <w:spacing w:line="300" w:lineRule="exact"/>
              <w:rPr>
                <w:rFonts w:ascii="黑体" w:hAnsi="黑体" w:eastAsia="黑体"/>
                <w:b w:val="0"/>
                <w:bCs w:val="0"/>
                <w:kern w:val="0"/>
                <w:szCs w:val="21"/>
                <w:highlight w:val="none"/>
              </w:rPr>
            </w:pPr>
            <w:r>
              <w:rPr>
                <w:rFonts w:hint="eastAsia" w:ascii="黑体" w:hAnsi="黑体" w:eastAsia="黑体"/>
                <w:b w:val="0"/>
                <w:bCs w:val="0"/>
                <w:kern w:val="0"/>
                <w:szCs w:val="21"/>
                <w:highlight w:val="none"/>
              </w:rPr>
              <w:t>（六）其他处理</w:t>
            </w:r>
          </w:p>
        </w:tc>
        <w:tc>
          <w:tcPr>
            <w:tcW w:w="2976" w:type="dxa"/>
            <w:shd w:val="clear" w:color="auto" w:fill="auto"/>
            <w:vAlign w:val="center"/>
          </w:tcPr>
          <w:p w14:paraId="590707E3">
            <w:pPr>
              <w:widowControl/>
              <w:spacing w:line="300" w:lineRule="exact"/>
              <w:rPr>
                <w:rFonts w:ascii="仿宋_GB2312" w:hAnsi="楷体" w:eastAsia="仿宋_GB2312"/>
                <w:b w:val="0"/>
                <w:bCs w:val="0"/>
                <w:highlight w:val="none"/>
              </w:rPr>
            </w:pPr>
            <w:r>
              <w:rPr>
                <w:rFonts w:hint="eastAsia" w:ascii="仿宋_GB2312" w:hAnsi="楷体" w:eastAsia="仿宋_GB2312"/>
                <w:b w:val="0"/>
                <w:bCs w:val="0"/>
                <w:highlight w:val="none"/>
              </w:rPr>
              <w:t>1.申请人无正当理由逾期不补正、行政机关不再处理其政府信息公开申请</w:t>
            </w:r>
          </w:p>
        </w:tc>
        <w:tc>
          <w:tcPr>
            <w:tcW w:w="829" w:type="dxa"/>
            <w:shd w:val="clear" w:color="auto" w:fill="auto"/>
            <w:tcMar>
              <w:left w:w="108" w:type="dxa"/>
              <w:right w:w="108" w:type="dxa"/>
            </w:tcMar>
            <w:vAlign w:val="center"/>
          </w:tcPr>
          <w:p w14:paraId="5AA51497">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17523228">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48972FB4">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6BE7A23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4F88CB0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15261B4E">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2C6A21F5">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0768A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774A623">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70B82818">
            <w:pPr>
              <w:widowControl/>
              <w:spacing w:line="300" w:lineRule="exact"/>
              <w:rPr>
                <w:rFonts w:ascii="黑体" w:hAnsi="黑体" w:eastAsia="黑体"/>
                <w:b w:val="0"/>
                <w:bCs w:val="0"/>
                <w:kern w:val="0"/>
                <w:szCs w:val="21"/>
                <w:highlight w:val="none"/>
              </w:rPr>
            </w:pPr>
          </w:p>
        </w:tc>
        <w:tc>
          <w:tcPr>
            <w:tcW w:w="2976" w:type="dxa"/>
            <w:shd w:val="clear" w:color="auto" w:fill="auto"/>
            <w:vAlign w:val="center"/>
          </w:tcPr>
          <w:p w14:paraId="6571F500">
            <w:pPr>
              <w:widowControl/>
              <w:spacing w:line="300" w:lineRule="exact"/>
              <w:rPr>
                <w:rFonts w:ascii="仿宋_GB2312" w:hAnsi="黑体" w:eastAsia="仿宋_GB2312"/>
                <w:b w:val="0"/>
                <w:bCs w:val="0"/>
                <w:kern w:val="0"/>
                <w:szCs w:val="21"/>
                <w:highlight w:val="none"/>
              </w:rPr>
            </w:pPr>
            <w:r>
              <w:rPr>
                <w:rFonts w:hint="eastAsia" w:ascii="仿宋_GB2312" w:hAnsi="楷体" w:eastAsia="仿宋_GB2312"/>
                <w:b w:val="0"/>
                <w:bCs w:val="0"/>
                <w:highlight w:val="none"/>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66C420A">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46E560EA">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5884144E">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1E866ACD">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0F0C950A">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09BD1F69">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1551CD59">
            <w:pPr>
              <w:widowControl/>
              <w:spacing w:after="180" w:line="200" w:lineRule="exact"/>
              <w:jc w:val="center"/>
              <w:rPr>
                <w:rFonts w:hint="eastAsia" w:ascii="仿宋_GB2312" w:hAnsi="Times New Roman" w:eastAsia="仿宋_GB2312" w:cstheme="minorBidi"/>
                <w:b w:val="0"/>
                <w:bCs w:val="0"/>
                <w:kern w:val="2"/>
                <w:sz w:val="21"/>
                <w:szCs w:val="21"/>
                <w:highlight w:val="none"/>
                <w:lang w:val="en-US" w:eastAsia="zh-CN" w:bidi="ar-SA"/>
              </w:rPr>
            </w:pPr>
            <w:r>
              <w:rPr>
                <w:rFonts w:hint="eastAsia" w:ascii="仿宋_GB2312" w:hAnsi="Times New Roman" w:eastAsia="仿宋_GB2312"/>
                <w:b w:val="0"/>
                <w:bCs w:val="0"/>
                <w:szCs w:val="21"/>
                <w:highlight w:val="none"/>
                <w:lang w:val="en-US" w:eastAsia="zh-CN"/>
              </w:rPr>
              <w:t>0</w:t>
            </w:r>
          </w:p>
        </w:tc>
      </w:tr>
      <w:tr w14:paraId="60FEA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8E95BD1">
            <w:pPr>
              <w:rPr>
                <w:rFonts w:ascii="黑体" w:hAnsi="黑体" w:eastAsia="黑体"/>
                <w:b w:val="0"/>
                <w:bCs w:val="0"/>
                <w:szCs w:val="21"/>
                <w:highlight w:val="none"/>
              </w:rPr>
            </w:pPr>
          </w:p>
        </w:tc>
        <w:tc>
          <w:tcPr>
            <w:tcW w:w="1701" w:type="dxa"/>
            <w:vMerge w:val="continue"/>
            <w:shd w:val="clear" w:color="auto" w:fill="auto"/>
            <w:tcMar>
              <w:left w:w="108" w:type="dxa"/>
              <w:right w:w="108" w:type="dxa"/>
            </w:tcMar>
            <w:vAlign w:val="center"/>
          </w:tcPr>
          <w:p w14:paraId="2481DBA1">
            <w:pPr>
              <w:widowControl/>
              <w:spacing w:line="300" w:lineRule="exact"/>
              <w:rPr>
                <w:rFonts w:ascii="黑体" w:hAnsi="黑体" w:eastAsia="黑体"/>
                <w:b w:val="0"/>
                <w:bCs w:val="0"/>
                <w:kern w:val="0"/>
                <w:szCs w:val="21"/>
                <w:highlight w:val="none"/>
              </w:rPr>
            </w:pPr>
          </w:p>
        </w:tc>
        <w:tc>
          <w:tcPr>
            <w:tcW w:w="2976" w:type="dxa"/>
            <w:shd w:val="clear" w:color="auto" w:fill="auto"/>
            <w:vAlign w:val="center"/>
          </w:tcPr>
          <w:p w14:paraId="205F1AF1">
            <w:pPr>
              <w:widowControl/>
              <w:spacing w:line="300" w:lineRule="exact"/>
              <w:rPr>
                <w:rFonts w:ascii="仿宋_GB2312" w:hAnsi="黑体" w:eastAsia="仿宋_GB2312"/>
                <w:b w:val="0"/>
                <w:bCs w:val="0"/>
                <w:kern w:val="0"/>
                <w:szCs w:val="21"/>
                <w:highlight w:val="none"/>
              </w:rPr>
            </w:pPr>
            <w:r>
              <w:rPr>
                <w:rFonts w:hint="eastAsia" w:ascii="仿宋_GB2312" w:hAnsi="楷体" w:eastAsia="仿宋_GB2312"/>
                <w:b w:val="0"/>
                <w:bCs w:val="0"/>
                <w:highlight w:val="none"/>
              </w:rPr>
              <w:t>3.其他</w:t>
            </w:r>
          </w:p>
        </w:tc>
        <w:tc>
          <w:tcPr>
            <w:tcW w:w="829" w:type="dxa"/>
            <w:shd w:val="clear" w:color="auto" w:fill="auto"/>
            <w:tcMar>
              <w:left w:w="108" w:type="dxa"/>
              <w:right w:w="108" w:type="dxa"/>
            </w:tcMar>
            <w:vAlign w:val="center"/>
          </w:tcPr>
          <w:p w14:paraId="5F8C61E0">
            <w:pPr>
              <w:widowControl/>
              <w:spacing w:after="180" w:line="200" w:lineRule="exact"/>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202CE249">
            <w:pPr>
              <w:widowControl/>
              <w:spacing w:after="180" w:line="200" w:lineRule="exact"/>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7D25B602">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19CC612D">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744C3D88">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2632DD12">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18DBBEC4">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r>
      <w:tr w14:paraId="356E0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606AA2">
            <w:pPr>
              <w:rPr>
                <w:rFonts w:ascii="黑体" w:hAnsi="黑体" w:eastAsia="黑体"/>
                <w:b w:val="0"/>
                <w:bCs w:val="0"/>
                <w:szCs w:val="21"/>
                <w:highlight w:val="none"/>
              </w:rPr>
            </w:pPr>
          </w:p>
        </w:tc>
        <w:tc>
          <w:tcPr>
            <w:tcW w:w="4677" w:type="dxa"/>
            <w:gridSpan w:val="2"/>
            <w:shd w:val="clear" w:color="auto" w:fill="auto"/>
            <w:tcMar>
              <w:left w:w="108" w:type="dxa"/>
              <w:right w:w="108" w:type="dxa"/>
            </w:tcMar>
            <w:vAlign w:val="center"/>
          </w:tcPr>
          <w:p w14:paraId="0A94AC15">
            <w:pPr>
              <w:widowControl/>
              <w:spacing w:line="300" w:lineRule="exact"/>
              <w:rPr>
                <w:rFonts w:ascii="黑体" w:hAnsi="黑体" w:eastAsia="黑体"/>
                <w:b w:val="0"/>
                <w:bCs w:val="0"/>
                <w:kern w:val="0"/>
                <w:szCs w:val="21"/>
                <w:highlight w:val="none"/>
              </w:rPr>
            </w:pPr>
            <w:r>
              <w:rPr>
                <w:rFonts w:hint="eastAsia" w:ascii="黑体" w:hAnsi="黑体" w:eastAsia="黑体"/>
                <w:b w:val="0"/>
                <w:bCs w:val="0"/>
                <w:kern w:val="0"/>
                <w:szCs w:val="21"/>
                <w:highlight w:val="none"/>
              </w:rPr>
              <w:t>（七）总计</w:t>
            </w:r>
          </w:p>
        </w:tc>
        <w:tc>
          <w:tcPr>
            <w:tcW w:w="829" w:type="dxa"/>
            <w:shd w:val="clear" w:color="auto" w:fill="auto"/>
            <w:tcMar>
              <w:left w:w="108" w:type="dxa"/>
              <w:right w:w="108" w:type="dxa"/>
            </w:tcMar>
            <w:vAlign w:val="center"/>
          </w:tcPr>
          <w:p w14:paraId="1B19C06C">
            <w:pPr>
              <w:widowControl/>
              <w:spacing w:after="180" w:line="200" w:lineRule="exact"/>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2</w:t>
            </w:r>
          </w:p>
        </w:tc>
        <w:tc>
          <w:tcPr>
            <w:tcW w:w="567" w:type="dxa"/>
            <w:shd w:val="clear" w:color="auto" w:fill="auto"/>
            <w:tcMar>
              <w:left w:w="108" w:type="dxa"/>
              <w:right w:w="108" w:type="dxa"/>
            </w:tcMar>
            <w:vAlign w:val="center"/>
          </w:tcPr>
          <w:p w14:paraId="2CFE964F">
            <w:pPr>
              <w:widowControl/>
              <w:spacing w:after="180" w:line="200" w:lineRule="exact"/>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528083CB">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532CB528">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73ECB403">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7EEB2612">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147BF3AA">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2</w:t>
            </w:r>
          </w:p>
        </w:tc>
      </w:tr>
      <w:tr w14:paraId="6D805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708DF17F">
            <w:pPr>
              <w:widowControl/>
              <w:spacing w:line="300" w:lineRule="exact"/>
              <w:rPr>
                <w:rFonts w:ascii="黑体" w:hAnsi="黑体" w:eastAsia="黑体"/>
                <w:b w:val="0"/>
                <w:bCs w:val="0"/>
                <w:kern w:val="0"/>
                <w:szCs w:val="21"/>
                <w:highlight w:val="none"/>
              </w:rPr>
            </w:pPr>
            <w:r>
              <w:rPr>
                <w:rFonts w:hint="eastAsia" w:ascii="黑体" w:hAnsi="黑体" w:eastAsia="黑体"/>
                <w:b w:val="0"/>
                <w:bCs w:val="0"/>
                <w:kern w:val="0"/>
                <w:szCs w:val="21"/>
                <w:highlight w:val="none"/>
              </w:rPr>
              <w:t>四、结转下年度继续办理</w:t>
            </w:r>
          </w:p>
        </w:tc>
        <w:tc>
          <w:tcPr>
            <w:tcW w:w="829" w:type="dxa"/>
            <w:shd w:val="clear" w:color="auto" w:fill="auto"/>
            <w:tcMar>
              <w:left w:w="108" w:type="dxa"/>
              <w:right w:w="108" w:type="dxa"/>
            </w:tcMar>
            <w:vAlign w:val="center"/>
          </w:tcPr>
          <w:p w14:paraId="1377FD18">
            <w:pPr>
              <w:widowControl/>
              <w:spacing w:after="180" w:line="200" w:lineRule="exact"/>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3D5528AF">
            <w:pPr>
              <w:widowControl/>
              <w:spacing w:after="180" w:line="200" w:lineRule="exact"/>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3F92E6C1">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31" w:type="dxa"/>
            <w:shd w:val="clear" w:color="auto" w:fill="auto"/>
            <w:tcMar>
              <w:left w:w="108" w:type="dxa"/>
              <w:right w:w="108" w:type="dxa"/>
            </w:tcMar>
            <w:vAlign w:val="center"/>
          </w:tcPr>
          <w:p w14:paraId="2673C4D9">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708" w:type="dxa"/>
            <w:shd w:val="clear" w:color="auto" w:fill="auto"/>
            <w:tcMar>
              <w:left w:w="108" w:type="dxa"/>
              <w:right w:w="108" w:type="dxa"/>
            </w:tcMar>
            <w:vAlign w:val="center"/>
          </w:tcPr>
          <w:p w14:paraId="6861C683">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567" w:type="dxa"/>
            <w:shd w:val="clear" w:color="auto" w:fill="auto"/>
            <w:tcMar>
              <w:left w:w="108" w:type="dxa"/>
              <w:right w:w="108" w:type="dxa"/>
            </w:tcMar>
            <w:vAlign w:val="center"/>
          </w:tcPr>
          <w:p w14:paraId="088C68A8">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c>
          <w:tcPr>
            <w:tcW w:w="851" w:type="dxa"/>
            <w:shd w:val="clear" w:color="auto" w:fill="auto"/>
            <w:tcMar>
              <w:left w:w="108" w:type="dxa"/>
              <w:right w:w="108" w:type="dxa"/>
            </w:tcMar>
            <w:vAlign w:val="center"/>
          </w:tcPr>
          <w:p w14:paraId="0E6E276E">
            <w:pPr>
              <w:widowControl/>
              <w:spacing w:after="180"/>
              <w:jc w:val="center"/>
              <w:rPr>
                <w:rFonts w:hint="eastAsia" w:ascii="仿宋_GB2312" w:hAnsi="Times New Roman" w:eastAsia="仿宋_GB2312"/>
                <w:b w:val="0"/>
                <w:bCs w:val="0"/>
                <w:szCs w:val="21"/>
                <w:highlight w:val="none"/>
                <w:lang w:val="en-US" w:eastAsia="zh-CN"/>
              </w:rPr>
            </w:pPr>
            <w:r>
              <w:rPr>
                <w:rFonts w:hint="eastAsia" w:ascii="仿宋_GB2312" w:hAnsi="Times New Roman" w:eastAsia="仿宋_GB2312"/>
                <w:b w:val="0"/>
                <w:bCs w:val="0"/>
                <w:szCs w:val="21"/>
                <w:highlight w:val="none"/>
                <w:lang w:val="en-US" w:eastAsia="zh-CN"/>
              </w:rPr>
              <w:t>0</w:t>
            </w:r>
          </w:p>
        </w:tc>
      </w:tr>
    </w:tbl>
    <w:p w14:paraId="78B9315F">
      <w:pPr>
        <w:spacing w:line="60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2FED8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65C719">
            <w:pPr>
              <w:widowControl/>
              <w:jc w:val="center"/>
              <w:rPr>
                <w:rFonts w:ascii="黑体" w:hAnsi="黑体" w:eastAsia="黑体"/>
                <w:b w:val="0"/>
                <w:bCs w:val="0"/>
                <w:highlight w:val="none"/>
              </w:rPr>
            </w:pPr>
            <w:r>
              <w:rPr>
                <w:rFonts w:ascii="黑体" w:hAnsi="黑体" w:eastAsia="黑体"/>
                <w:b w:val="0"/>
                <w:bCs w:val="0"/>
                <w:kern w:val="0"/>
                <w:sz w:val="20"/>
                <w:szCs w:val="20"/>
                <w:highlight w:val="none"/>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8C77F4">
            <w:pPr>
              <w:widowControl/>
              <w:jc w:val="center"/>
              <w:rPr>
                <w:rFonts w:ascii="黑体" w:hAnsi="黑体" w:eastAsia="黑体"/>
                <w:b w:val="0"/>
                <w:bCs w:val="0"/>
                <w:highlight w:val="none"/>
              </w:rPr>
            </w:pPr>
            <w:r>
              <w:rPr>
                <w:rFonts w:ascii="黑体" w:hAnsi="黑体" w:eastAsia="黑体"/>
                <w:b w:val="0"/>
                <w:bCs w:val="0"/>
                <w:kern w:val="0"/>
                <w:sz w:val="20"/>
                <w:szCs w:val="20"/>
                <w:highlight w:val="none"/>
              </w:rPr>
              <w:t>行政诉讼</w:t>
            </w:r>
          </w:p>
        </w:tc>
      </w:tr>
      <w:tr w14:paraId="5C7532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EA7646">
            <w:pPr>
              <w:widowControl/>
              <w:ind w:left="-149" w:leftChars="-71" w:right="-170" w:rightChars="-81"/>
              <w:jc w:val="center"/>
              <w:rPr>
                <w:rFonts w:ascii="黑体" w:hAnsi="黑体" w:eastAsia="黑体"/>
                <w:b w:val="0"/>
                <w:bCs w:val="0"/>
                <w:kern w:val="0"/>
                <w:sz w:val="20"/>
                <w:szCs w:val="20"/>
                <w:highlight w:val="none"/>
              </w:rPr>
            </w:pPr>
            <w:r>
              <w:rPr>
                <w:rFonts w:ascii="黑体" w:hAnsi="黑体" w:eastAsia="黑体"/>
                <w:b w:val="0"/>
                <w:bCs w:val="0"/>
                <w:kern w:val="0"/>
                <w:sz w:val="20"/>
                <w:szCs w:val="20"/>
                <w:highlight w:val="none"/>
              </w:rPr>
              <w:t>结果</w:t>
            </w:r>
          </w:p>
          <w:p w14:paraId="6FB6044A">
            <w:pPr>
              <w:widowControl/>
              <w:ind w:left="-149" w:leftChars="-71" w:right="-170" w:rightChars="-81"/>
              <w:jc w:val="center"/>
              <w:rPr>
                <w:rFonts w:ascii="黑体" w:hAnsi="黑体" w:eastAsia="黑体"/>
                <w:b w:val="0"/>
                <w:bCs w:val="0"/>
                <w:highlight w:val="none"/>
              </w:rPr>
            </w:pPr>
            <w:r>
              <w:rPr>
                <w:rFonts w:ascii="黑体" w:hAnsi="黑体" w:eastAsia="黑体"/>
                <w:b w:val="0"/>
                <w:bCs w:val="0"/>
                <w:kern w:val="0"/>
                <w:sz w:val="20"/>
                <w:szCs w:val="20"/>
                <w:highlight w:val="none"/>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A0F7849">
            <w:pPr>
              <w:widowControl/>
              <w:ind w:left="-43" w:leftChars="-21" w:right="-132" w:rightChars="-63" w:hanging="1"/>
              <w:jc w:val="center"/>
              <w:rPr>
                <w:rFonts w:ascii="黑体" w:hAnsi="黑体" w:eastAsia="黑体"/>
                <w:b w:val="0"/>
                <w:bCs w:val="0"/>
                <w:highlight w:val="none"/>
              </w:rPr>
            </w:pPr>
            <w:r>
              <w:rPr>
                <w:rFonts w:ascii="黑体" w:hAnsi="黑体" w:eastAsia="黑体"/>
                <w:b w:val="0"/>
                <w:bCs w:val="0"/>
                <w:kern w:val="0"/>
                <w:sz w:val="20"/>
                <w:szCs w:val="20"/>
                <w:highlight w:val="none"/>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AD15B0">
            <w:pPr>
              <w:widowControl/>
              <w:ind w:left="-82" w:leftChars="-39" w:right="-97" w:rightChars="-46"/>
              <w:jc w:val="center"/>
              <w:rPr>
                <w:rFonts w:ascii="黑体" w:hAnsi="黑体" w:eastAsia="黑体"/>
                <w:b w:val="0"/>
                <w:bCs w:val="0"/>
                <w:highlight w:val="none"/>
              </w:rPr>
            </w:pPr>
            <w:r>
              <w:rPr>
                <w:rFonts w:ascii="黑体" w:hAnsi="黑体" w:eastAsia="黑体"/>
                <w:b w:val="0"/>
                <w:bCs w:val="0"/>
                <w:kern w:val="0"/>
                <w:sz w:val="20"/>
                <w:szCs w:val="20"/>
                <w:highlight w:val="none"/>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3795F5">
            <w:pPr>
              <w:widowControl/>
              <w:ind w:left="-118" w:leftChars="-56" w:right="-118" w:rightChars="-56"/>
              <w:jc w:val="center"/>
              <w:rPr>
                <w:rFonts w:ascii="黑体" w:hAnsi="黑体" w:eastAsia="黑体"/>
                <w:b w:val="0"/>
                <w:bCs w:val="0"/>
                <w:kern w:val="0"/>
                <w:sz w:val="20"/>
                <w:szCs w:val="20"/>
                <w:highlight w:val="none"/>
              </w:rPr>
            </w:pPr>
            <w:r>
              <w:rPr>
                <w:rFonts w:ascii="黑体" w:hAnsi="黑体" w:eastAsia="黑体"/>
                <w:b w:val="0"/>
                <w:bCs w:val="0"/>
                <w:kern w:val="0"/>
                <w:sz w:val="20"/>
                <w:szCs w:val="20"/>
                <w:highlight w:val="none"/>
              </w:rPr>
              <w:t>尚未</w:t>
            </w:r>
          </w:p>
          <w:p w14:paraId="2481E73D">
            <w:pPr>
              <w:widowControl/>
              <w:ind w:left="-118" w:leftChars="-56" w:right="-118" w:rightChars="-56"/>
              <w:jc w:val="center"/>
              <w:rPr>
                <w:rFonts w:ascii="黑体" w:hAnsi="黑体" w:eastAsia="黑体"/>
                <w:b w:val="0"/>
                <w:bCs w:val="0"/>
                <w:highlight w:val="none"/>
              </w:rPr>
            </w:pPr>
            <w:r>
              <w:rPr>
                <w:rFonts w:ascii="黑体" w:hAnsi="黑体" w:eastAsia="黑体"/>
                <w:b w:val="0"/>
                <w:bCs w:val="0"/>
                <w:kern w:val="0"/>
                <w:sz w:val="20"/>
                <w:szCs w:val="20"/>
                <w:highlight w:val="none"/>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A7ABB4">
            <w:pPr>
              <w:widowControl/>
              <w:spacing w:line="320" w:lineRule="exact"/>
              <w:jc w:val="center"/>
              <w:rPr>
                <w:rFonts w:ascii="黑体" w:hAnsi="黑体" w:eastAsia="黑体"/>
                <w:b w:val="0"/>
                <w:bCs w:val="0"/>
                <w:kern w:val="0"/>
                <w:sz w:val="20"/>
                <w:szCs w:val="20"/>
                <w:highlight w:val="none"/>
              </w:rPr>
            </w:pPr>
            <w:r>
              <w:rPr>
                <w:rFonts w:ascii="黑体" w:hAnsi="黑体" w:eastAsia="黑体"/>
                <w:b w:val="0"/>
                <w:bCs w:val="0"/>
                <w:kern w:val="0"/>
                <w:sz w:val="20"/>
                <w:szCs w:val="20"/>
                <w:highlight w:val="none"/>
              </w:rPr>
              <w:t>总</w:t>
            </w:r>
          </w:p>
          <w:p w14:paraId="7D3C90D4">
            <w:pPr>
              <w:widowControl/>
              <w:spacing w:line="320" w:lineRule="exact"/>
              <w:jc w:val="center"/>
              <w:rPr>
                <w:rFonts w:ascii="黑体" w:hAnsi="黑体" w:eastAsia="黑体"/>
                <w:b w:val="0"/>
                <w:bCs w:val="0"/>
                <w:highlight w:val="none"/>
              </w:rPr>
            </w:pPr>
            <w:r>
              <w:rPr>
                <w:rFonts w:ascii="黑体" w:hAnsi="黑体" w:eastAsia="黑体"/>
                <w:b w:val="0"/>
                <w:bCs w:val="0"/>
                <w:kern w:val="0"/>
                <w:sz w:val="20"/>
                <w:szCs w:val="20"/>
                <w:highlight w:val="none"/>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B4E87B">
            <w:pPr>
              <w:widowControl/>
              <w:jc w:val="center"/>
              <w:rPr>
                <w:rFonts w:ascii="黑体" w:hAnsi="黑体" w:eastAsia="黑体"/>
                <w:b w:val="0"/>
                <w:bCs w:val="0"/>
                <w:highlight w:val="none"/>
              </w:rPr>
            </w:pPr>
            <w:r>
              <w:rPr>
                <w:rFonts w:ascii="黑体" w:hAnsi="黑体" w:eastAsia="黑体"/>
                <w:b w:val="0"/>
                <w:bCs w:val="0"/>
                <w:kern w:val="0"/>
                <w:sz w:val="20"/>
                <w:szCs w:val="20"/>
                <w:highlight w:val="none"/>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6934EB">
            <w:pPr>
              <w:widowControl/>
              <w:jc w:val="center"/>
              <w:rPr>
                <w:rFonts w:ascii="黑体" w:hAnsi="黑体" w:eastAsia="黑体"/>
                <w:b w:val="0"/>
                <w:bCs w:val="0"/>
                <w:highlight w:val="none"/>
              </w:rPr>
            </w:pPr>
            <w:bookmarkStart w:id="9" w:name="_Hlk67039688"/>
            <w:r>
              <w:rPr>
                <w:rFonts w:ascii="黑体" w:hAnsi="黑体" w:eastAsia="黑体"/>
                <w:b w:val="0"/>
                <w:bCs w:val="0"/>
                <w:kern w:val="0"/>
                <w:sz w:val="20"/>
                <w:szCs w:val="20"/>
                <w:highlight w:val="none"/>
              </w:rPr>
              <w:t>复议后起诉</w:t>
            </w:r>
            <w:bookmarkEnd w:id="9"/>
          </w:p>
        </w:tc>
      </w:tr>
      <w:tr w14:paraId="1506D9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51DDFC">
            <w:pPr>
              <w:rPr>
                <w:rFonts w:ascii="黑体" w:hAnsi="黑体" w:eastAsia="黑体"/>
                <w:b w:val="0"/>
                <w:bCs w:val="0"/>
                <w:sz w:val="24"/>
                <w:highlight w:val="none"/>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FC1D369">
            <w:pPr>
              <w:rPr>
                <w:rFonts w:ascii="黑体" w:hAnsi="黑体" w:eastAsia="黑体"/>
                <w:b w:val="0"/>
                <w:bCs w:val="0"/>
                <w:sz w:val="24"/>
                <w:highlight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BBD628">
            <w:pPr>
              <w:rPr>
                <w:rFonts w:ascii="黑体" w:hAnsi="黑体" w:eastAsia="黑体"/>
                <w:b w:val="0"/>
                <w:bCs w:val="0"/>
                <w:sz w:val="24"/>
                <w:highlight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2E1A9E">
            <w:pPr>
              <w:rPr>
                <w:rFonts w:ascii="黑体" w:hAnsi="黑体" w:eastAsia="黑体"/>
                <w:b w:val="0"/>
                <w:bCs w:val="0"/>
                <w:sz w:val="24"/>
                <w:highlight w:val="none"/>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7C3436">
            <w:pPr>
              <w:rPr>
                <w:rFonts w:ascii="黑体" w:hAnsi="黑体" w:eastAsia="黑体"/>
                <w:b w:val="0"/>
                <w:bCs w:val="0"/>
                <w:sz w:val="24"/>
                <w:highlight w:val="none"/>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DED6314">
            <w:pPr>
              <w:widowControl/>
              <w:ind w:left="-105" w:leftChars="-50" w:right="-126" w:rightChars="-60"/>
              <w:jc w:val="center"/>
              <w:rPr>
                <w:rFonts w:ascii="黑体" w:hAnsi="黑体" w:eastAsia="黑体"/>
                <w:b w:val="0"/>
                <w:bCs w:val="0"/>
                <w:highlight w:val="none"/>
              </w:rPr>
            </w:pPr>
            <w:r>
              <w:rPr>
                <w:rFonts w:ascii="黑体" w:hAnsi="黑体" w:eastAsia="黑体"/>
                <w:b w:val="0"/>
                <w:bCs w:val="0"/>
                <w:kern w:val="0"/>
                <w:sz w:val="20"/>
                <w:szCs w:val="20"/>
                <w:highlight w:val="none"/>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E277DCE">
            <w:pPr>
              <w:widowControl/>
              <w:ind w:left="-86" w:leftChars="-41" w:right="-88" w:rightChars="-42"/>
              <w:jc w:val="center"/>
              <w:rPr>
                <w:rFonts w:ascii="黑体" w:hAnsi="黑体" w:eastAsia="黑体"/>
                <w:b w:val="0"/>
                <w:bCs w:val="0"/>
                <w:highlight w:val="none"/>
              </w:rPr>
            </w:pPr>
            <w:r>
              <w:rPr>
                <w:rFonts w:ascii="黑体" w:hAnsi="黑体" w:eastAsia="黑体"/>
                <w:b w:val="0"/>
                <w:bCs w:val="0"/>
                <w:kern w:val="0"/>
                <w:sz w:val="20"/>
                <w:szCs w:val="20"/>
                <w:highlight w:val="none"/>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CDE17E">
            <w:pPr>
              <w:widowControl/>
              <w:ind w:left="-126" w:leftChars="-60" w:right="-136" w:rightChars="-65"/>
              <w:jc w:val="center"/>
              <w:rPr>
                <w:rFonts w:ascii="黑体" w:hAnsi="黑体" w:eastAsia="黑体"/>
                <w:b w:val="0"/>
                <w:bCs w:val="0"/>
                <w:kern w:val="0"/>
                <w:sz w:val="20"/>
                <w:szCs w:val="20"/>
                <w:highlight w:val="none"/>
              </w:rPr>
            </w:pPr>
            <w:r>
              <w:rPr>
                <w:rFonts w:ascii="黑体" w:hAnsi="黑体" w:eastAsia="黑体"/>
                <w:b w:val="0"/>
                <w:bCs w:val="0"/>
                <w:kern w:val="0"/>
                <w:sz w:val="20"/>
                <w:szCs w:val="20"/>
                <w:highlight w:val="none"/>
              </w:rPr>
              <w:t>其他</w:t>
            </w:r>
          </w:p>
          <w:p w14:paraId="62E5D091">
            <w:pPr>
              <w:widowControl/>
              <w:ind w:left="-126" w:leftChars="-60" w:right="-136" w:rightChars="-65"/>
              <w:jc w:val="center"/>
              <w:rPr>
                <w:rFonts w:ascii="黑体" w:hAnsi="黑体" w:eastAsia="黑体"/>
                <w:b w:val="0"/>
                <w:bCs w:val="0"/>
                <w:highlight w:val="none"/>
              </w:rPr>
            </w:pPr>
            <w:r>
              <w:rPr>
                <w:rFonts w:ascii="黑体" w:hAnsi="黑体" w:eastAsia="黑体"/>
                <w:b w:val="0"/>
                <w:bCs w:val="0"/>
                <w:kern w:val="0"/>
                <w:sz w:val="20"/>
                <w:szCs w:val="20"/>
                <w:highlight w:val="none"/>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F9E557">
            <w:pPr>
              <w:widowControl/>
              <w:ind w:left="-164" w:leftChars="-78" w:right="-153" w:rightChars="-73"/>
              <w:jc w:val="center"/>
              <w:rPr>
                <w:rFonts w:ascii="黑体" w:hAnsi="黑体" w:eastAsia="黑体"/>
                <w:b w:val="0"/>
                <w:bCs w:val="0"/>
                <w:kern w:val="0"/>
                <w:sz w:val="20"/>
                <w:szCs w:val="20"/>
                <w:highlight w:val="none"/>
              </w:rPr>
            </w:pPr>
            <w:r>
              <w:rPr>
                <w:rFonts w:ascii="黑体" w:hAnsi="黑体" w:eastAsia="黑体"/>
                <w:b w:val="0"/>
                <w:bCs w:val="0"/>
                <w:kern w:val="0"/>
                <w:sz w:val="20"/>
                <w:szCs w:val="20"/>
                <w:highlight w:val="none"/>
              </w:rPr>
              <w:t>尚未</w:t>
            </w:r>
          </w:p>
          <w:p w14:paraId="6FE394F4">
            <w:pPr>
              <w:widowControl/>
              <w:ind w:left="-164" w:leftChars="-78" w:right="-153" w:rightChars="-73"/>
              <w:jc w:val="center"/>
              <w:rPr>
                <w:rFonts w:ascii="黑体" w:hAnsi="黑体" w:eastAsia="黑体"/>
                <w:b w:val="0"/>
                <w:bCs w:val="0"/>
                <w:highlight w:val="none"/>
              </w:rPr>
            </w:pPr>
            <w:r>
              <w:rPr>
                <w:rFonts w:ascii="黑体" w:hAnsi="黑体" w:eastAsia="黑体"/>
                <w:b w:val="0"/>
                <w:bCs w:val="0"/>
                <w:kern w:val="0"/>
                <w:sz w:val="20"/>
                <w:szCs w:val="20"/>
                <w:highlight w:val="none"/>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7FCBBA">
            <w:pPr>
              <w:widowControl/>
              <w:jc w:val="center"/>
              <w:rPr>
                <w:rFonts w:ascii="黑体" w:hAnsi="黑体" w:eastAsia="黑体"/>
                <w:b w:val="0"/>
                <w:bCs w:val="0"/>
                <w:highlight w:val="none"/>
              </w:rPr>
            </w:pPr>
            <w:r>
              <w:rPr>
                <w:rFonts w:ascii="黑体" w:hAnsi="黑体" w:eastAsia="黑体"/>
                <w:b w:val="0"/>
                <w:bCs w:val="0"/>
                <w:kern w:val="0"/>
                <w:sz w:val="20"/>
                <w:szCs w:val="20"/>
                <w:highlight w:val="none"/>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D781BAD">
            <w:pPr>
              <w:widowControl/>
              <w:ind w:left="-99" w:leftChars="-47" w:right="-78" w:rightChars="-37"/>
              <w:jc w:val="center"/>
              <w:rPr>
                <w:rFonts w:ascii="黑体" w:hAnsi="黑体" w:eastAsia="黑体"/>
                <w:b w:val="0"/>
                <w:bCs w:val="0"/>
                <w:highlight w:val="none"/>
              </w:rPr>
            </w:pPr>
            <w:r>
              <w:rPr>
                <w:rFonts w:ascii="黑体" w:hAnsi="黑体" w:eastAsia="黑体"/>
                <w:b w:val="0"/>
                <w:bCs w:val="0"/>
                <w:kern w:val="0"/>
                <w:sz w:val="20"/>
                <w:szCs w:val="20"/>
                <w:highlight w:val="none"/>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1E43812">
            <w:pPr>
              <w:widowControl/>
              <w:ind w:left="-136" w:leftChars="-65" w:right="-124" w:rightChars="-59"/>
              <w:jc w:val="center"/>
              <w:rPr>
                <w:rFonts w:ascii="黑体" w:hAnsi="黑体" w:eastAsia="黑体"/>
                <w:b w:val="0"/>
                <w:bCs w:val="0"/>
                <w:kern w:val="0"/>
                <w:sz w:val="20"/>
                <w:szCs w:val="20"/>
                <w:highlight w:val="none"/>
              </w:rPr>
            </w:pPr>
            <w:r>
              <w:rPr>
                <w:rFonts w:ascii="黑体" w:hAnsi="黑体" w:eastAsia="黑体"/>
                <w:b w:val="0"/>
                <w:bCs w:val="0"/>
                <w:kern w:val="0"/>
                <w:sz w:val="20"/>
                <w:szCs w:val="20"/>
                <w:highlight w:val="none"/>
              </w:rPr>
              <w:t>结果</w:t>
            </w:r>
          </w:p>
          <w:p w14:paraId="2DB5D189">
            <w:pPr>
              <w:widowControl/>
              <w:ind w:left="-136" w:leftChars="-65" w:right="-124" w:rightChars="-59"/>
              <w:jc w:val="center"/>
              <w:rPr>
                <w:rFonts w:ascii="黑体" w:hAnsi="黑体" w:eastAsia="黑体"/>
                <w:b w:val="0"/>
                <w:bCs w:val="0"/>
                <w:highlight w:val="none"/>
              </w:rPr>
            </w:pPr>
            <w:r>
              <w:rPr>
                <w:rFonts w:ascii="黑体" w:hAnsi="黑体" w:eastAsia="黑体"/>
                <w:b w:val="0"/>
                <w:bCs w:val="0"/>
                <w:kern w:val="0"/>
                <w:sz w:val="20"/>
                <w:szCs w:val="20"/>
                <w:highlight w:val="none"/>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9F2D182">
            <w:pPr>
              <w:widowControl/>
              <w:ind w:left="-173" w:leftChars="-83" w:right="-134" w:rightChars="-64" w:hanging="1"/>
              <w:jc w:val="center"/>
              <w:rPr>
                <w:rFonts w:ascii="黑体" w:hAnsi="黑体" w:eastAsia="黑体"/>
                <w:b w:val="0"/>
                <w:bCs w:val="0"/>
                <w:kern w:val="0"/>
                <w:sz w:val="20"/>
                <w:szCs w:val="20"/>
                <w:highlight w:val="none"/>
              </w:rPr>
            </w:pPr>
            <w:r>
              <w:rPr>
                <w:rFonts w:ascii="黑体" w:hAnsi="黑体" w:eastAsia="黑体"/>
                <w:b w:val="0"/>
                <w:bCs w:val="0"/>
                <w:kern w:val="0"/>
                <w:sz w:val="20"/>
                <w:szCs w:val="20"/>
                <w:highlight w:val="none"/>
              </w:rPr>
              <w:t>其他</w:t>
            </w:r>
          </w:p>
          <w:p w14:paraId="7F759843">
            <w:pPr>
              <w:widowControl/>
              <w:ind w:left="-173" w:leftChars="-83" w:right="-134" w:rightChars="-64" w:hanging="1"/>
              <w:jc w:val="center"/>
              <w:rPr>
                <w:rFonts w:ascii="黑体" w:hAnsi="黑体" w:eastAsia="黑体"/>
                <w:b w:val="0"/>
                <w:bCs w:val="0"/>
                <w:highlight w:val="none"/>
              </w:rPr>
            </w:pPr>
            <w:r>
              <w:rPr>
                <w:rFonts w:ascii="黑体" w:hAnsi="黑体" w:eastAsia="黑体"/>
                <w:b w:val="0"/>
                <w:bCs w:val="0"/>
                <w:kern w:val="0"/>
                <w:sz w:val="20"/>
                <w:szCs w:val="20"/>
                <w:highlight w:val="none"/>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2E9373">
            <w:pPr>
              <w:widowControl/>
              <w:ind w:left="-67" w:leftChars="-33" w:right="-105" w:rightChars="-50" w:hanging="2" w:hangingChars="1"/>
              <w:jc w:val="center"/>
              <w:rPr>
                <w:rFonts w:ascii="黑体" w:hAnsi="黑体" w:eastAsia="黑体"/>
                <w:b w:val="0"/>
                <w:bCs w:val="0"/>
                <w:highlight w:val="none"/>
              </w:rPr>
            </w:pPr>
            <w:r>
              <w:rPr>
                <w:rFonts w:ascii="黑体" w:hAnsi="黑体" w:eastAsia="黑体"/>
                <w:b w:val="0"/>
                <w:bCs w:val="0"/>
                <w:kern w:val="0"/>
                <w:sz w:val="20"/>
                <w:szCs w:val="20"/>
                <w:highlight w:val="none"/>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5B8E44">
            <w:pPr>
              <w:widowControl/>
              <w:jc w:val="center"/>
              <w:rPr>
                <w:rFonts w:ascii="黑体" w:hAnsi="黑体" w:eastAsia="黑体"/>
                <w:b w:val="0"/>
                <w:bCs w:val="0"/>
                <w:highlight w:val="none"/>
              </w:rPr>
            </w:pPr>
            <w:r>
              <w:rPr>
                <w:rFonts w:ascii="黑体" w:hAnsi="黑体" w:eastAsia="黑体"/>
                <w:b w:val="0"/>
                <w:bCs w:val="0"/>
                <w:kern w:val="0"/>
                <w:sz w:val="20"/>
                <w:szCs w:val="20"/>
                <w:highlight w:val="none"/>
              </w:rPr>
              <w:t>总计</w:t>
            </w:r>
          </w:p>
        </w:tc>
      </w:tr>
      <w:tr w14:paraId="32DAD9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9B6C56">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BFD7F15">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BFE74BD">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BC0F54E">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7CF84B93">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7FA22DB">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531973B">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C7F09A7">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4E5F86A">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64784A">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3A8DF2D">
            <w:pPr>
              <w:widowControl/>
              <w:spacing w:after="180"/>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21FE6B1">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E6FCA2">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0AF54368">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C9334D6">
            <w:pPr>
              <w:widowControl/>
              <w:spacing w:after="180"/>
              <w:jc w:val="center"/>
              <w:rPr>
                <w:rFonts w:hint="eastAsia" w:ascii="Times New Roman" w:hAnsi="Times New Roman" w:eastAsiaTheme="minorEastAsia"/>
                <w:b w:val="0"/>
                <w:bCs w:val="0"/>
                <w:highlight w:val="none"/>
                <w:lang w:val="en-US" w:eastAsia="zh-CN"/>
              </w:rPr>
            </w:pPr>
            <w:r>
              <w:rPr>
                <w:rFonts w:hint="eastAsia" w:ascii="Times New Roman" w:hAnsi="Times New Roman"/>
                <w:b w:val="0"/>
                <w:bCs w:val="0"/>
                <w:highlight w:val="none"/>
                <w:lang w:val="en-US" w:eastAsia="zh-CN"/>
              </w:rPr>
              <w:t>0</w:t>
            </w:r>
          </w:p>
        </w:tc>
      </w:tr>
    </w:tbl>
    <w:p w14:paraId="0C4A6581">
      <w:pPr>
        <w:spacing w:line="60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rPr>
        <w:t>存在的主要问题及改进情况</w:t>
      </w:r>
    </w:p>
    <w:p w14:paraId="4DC95236">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（一）2025年存在的主要问题</w:t>
      </w:r>
    </w:p>
    <w:p w14:paraId="7CA0B122">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一是公开常态化需进一步提升。在公开的及时性方面存在不足，部分信息未做到第一时间进行公开，信息全面性存在欠缺。</w:t>
      </w:r>
    </w:p>
    <w:p w14:paraId="19D787B9">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二是对新要求领会学习有所欠缺。《政府信息公开条例》修订后，对政府信息公开工作提出了新要求，未能及时学习领会。</w:t>
      </w:r>
    </w:p>
    <w:p w14:paraId="5CEA3937">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（二）改进措施</w:t>
      </w:r>
    </w:p>
    <w:p w14:paraId="43E28770">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一是提升服务质量。进一步梳理、规范和细化各类政府信息，明确公开的责任单位，做到主动公开信息的及时公开，将信息公开工作更好地融入各项工作当中。</w:t>
      </w:r>
    </w:p>
    <w:p w14:paraId="1668A96A">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二是强化队伍建设。加强政务信息公开工作人员队伍建设，进一步完善和拓展政务信息公开的内容及形式，积极探索政府信息公开方式、方法，组织加强对公开人员的培训力度。</w:t>
      </w:r>
    </w:p>
    <w:p w14:paraId="5AB5EAA6">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三是拓宽公开渠道。通过网络、新闻媒体、举办培训班、在政府服务厅张贴公告等形式，进一步加强信息公开载体建设，及时发布最新政府信息公开政策、积极为公众提供及时、便捷、优质的信息服务。</w:t>
      </w:r>
    </w:p>
    <w:p w14:paraId="60B5EA3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六</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rPr>
        <w:t>其他需要报告的事项</w:t>
      </w:r>
    </w:p>
    <w:p w14:paraId="0C29026B">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（一）信息处理费收取情况</w:t>
      </w:r>
    </w:p>
    <w:p w14:paraId="7221C00A">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2025年，鄌郚镇未收取任何政府信息公开信息处理费。</w:t>
      </w:r>
    </w:p>
    <w:p w14:paraId="2B5B54AA">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（二）上级年度政务公开工作要点落实情况</w:t>
      </w:r>
    </w:p>
    <w:p w14:paraId="08AD39BD">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抓好信息公开，扎实推动责任事项落实到位。目前，鄌郚镇涉及责任事项已全部落实到位。</w:t>
      </w:r>
    </w:p>
    <w:p w14:paraId="23686A10">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（三）人大建议、政协提案办理情况</w:t>
      </w:r>
    </w:p>
    <w:p w14:paraId="76DFBD99">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2025年，鄌郚镇未承接人大代表建议办理工作；主动承办政协提案1件，办结率100%、满意率100%。</w:t>
      </w:r>
    </w:p>
    <w:p w14:paraId="3C8B4B8F">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（四）年度政务公开工作创新情况</w:t>
      </w:r>
    </w:p>
    <w:p w14:paraId="190A3EA8">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无</w:t>
      </w:r>
    </w:p>
    <w:p w14:paraId="33273257">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（五）报告数据统计说明</w:t>
      </w:r>
    </w:p>
    <w:p w14:paraId="6B1B44F2">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本报告所列数据统计期限为2025年1月1日至2025年12月31日。</w:t>
      </w:r>
    </w:p>
    <w:p w14:paraId="1CED1EE4">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（六）本行政机关认为需要报告的其他事项</w:t>
      </w:r>
    </w:p>
    <w:p w14:paraId="72B8650C">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无</w:t>
      </w:r>
    </w:p>
    <w:p w14:paraId="57260901">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（七）其他有关文件专门要求报告的事项</w:t>
      </w:r>
    </w:p>
    <w:p w14:paraId="0B0F1D43">
      <w:pPr>
        <w:spacing w:line="60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无</w:t>
      </w:r>
    </w:p>
    <w:p w14:paraId="7A725DE6">
      <w:pPr>
        <w:spacing w:line="600" w:lineRule="exact"/>
        <w:ind w:firstLine="640" w:firstLineChars="200"/>
        <w:rPr>
          <w:rFonts w:hint="eastAsia" w:ascii="仿宋_GB2312" w:eastAsia="仿宋_GB2312"/>
          <w:b w:val="0"/>
          <w:bCs w:val="0"/>
          <w:sz w:val="32"/>
          <w:szCs w:val="32"/>
          <w:highlight w:val="none"/>
          <w:lang w:val="en-US" w:eastAsia="zh-CN"/>
        </w:rPr>
      </w:pPr>
    </w:p>
    <w:p w14:paraId="2CD3594B">
      <w:pPr>
        <w:spacing w:line="600" w:lineRule="exact"/>
        <w:ind w:firstLine="640" w:firstLineChars="200"/>
        <w:rPr>
          <w:rFonts w:hint="eastAsia" w:ascii="仿宋_GB2312" w:eastAsia="仿宋_GB2312"/>
          <w:b w:val="0"/>
          <w:bCs w:val="0"/>
          <w:sz w:val="32"/>
          <w:szCs w:val="32"/>
          <w:highlight w:val="none"/>
          <w:lang w:val="en-US" w:eastAsia="zh-CN"/>
        </w:rPr>
      </w:pPr>
    </w:p>
    <w:p w14:paraId="4A0C5FC4">
      <w:pPr>
        <w:wordWrap w:val="0"/>
        <w:spacing w:line="600" w:lineRule="exact"/>
        <w:ind w:firstLine="640" w:firstLineChars="200"/>
        <w:jc w:val="right"/>
        <w:rPr>
          <w:rFonts w:hint="default"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br w:type="textWrapping"/>
      </w:r>
      <w:r>
        <w:rPr>
          <w:rFonts w:hint="eastAsia" w:ascii="仿宋_GB2312" w:eastAsia="仿宋_GB2312"/>
          <w:b w:val="0"/>
          <w:bCs w:val="0"/>
          <w:sz w:val="32"/>
          <w:szCs w:val="32"/>
          <w:highlight w:val="none"/>
          <w:lang w:val="en-US" w:eastAsia="zh-CN"/>
        </w:rPr>
        <w:t>昌乐县鄌郚镇人民政府</w:t>
      </w:r>
    </w:p>
    <w:p w14:paraId="5E47185B">
      <w:pPr>
        <w:wordWrap w:val="0"/>
        <w:spacing w:line="600" w:lineRule="exact"/>
        <w:ind w:firstLine="640" w:firstLineChars="200"/>
        <w:jc w:val="right"/>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2026年1月14日</w:t>
      </w:r>
    </w:p>
    <w:sectPr>
      <w:footerReference r:id="rId3" w:type="default"/>
      <w:pgSz w:w="11906" w:h="16838"/>
      <w:pgMar w:top="1814" w:right="1531" w:bottom="181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9D8">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14:paraId="3A52D783">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1A672F10">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14:paraId="3A52D783">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1A672F10">
                    <w:pPr>
                      <w:rPr>
                        <w:rFonts w:ascii="宋体" w:hAnsi="宋体"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iNDJhYTY3OThkMzhjNGFkMDEzOTIxN2VmMjkwOGEifQ=="/>
    <w:docVar w:name="KSO_WPS_MARK_KEY" w:val="9431c4a7-33ab-4834-992b-43a845644ceb"/>
  </w:docVars>
  <w:rsids>
    <w:rsidRoot w:val="00CB63D1"/>
    <w:rsid w:val="00022AAA"/>
    <w:rsid w:val="000E1E7C"/>
    <w:rsid w:val="001E1F91"/>
    <w:rsid w:val="00266991"/>
    <w:rsid w:val="0027479F"/>
    <w:rsid w:val="002D7F9F"/>
    <w:rsid w:val="0036007F"/>
    <w:rsid w:val="00397CF8"/>
    <w:rsid w:val="00563328"/>
    <w:rsid w:val="00793966"/>
    <w:rsid w:val="008E39CD"/>
    <w:rsid w:val="009554FD"/>
    <w:rsid w:val="009E446A"/>
    <w:rsid w:val="00A90400"/>
    <w:rsid w:val="00AA3D8F"/>
    <w:rsid w:val="00B7698A"/>
    <w:rsid w:val="00B83CAB"/>
    <w:rsid w:val="00C654CB"/>
    <w:rsid w:val="00C97F51"/>
    <w:rsid w:val="00CB1DB6"/>
    <w:rsid w:val="00CB63D1"/>
    <w:rsid w:val="00F00377"/>
    <w:rsid w:val="00F97B01"/>
    <w:rsid w:val="01AF01F4"/>
    <w:rsid w:val="046B3768"/>
    <w:rsid w:val="06573D98"/>
    <w:rsid w:val="0C383A1B"/>
    <w:rsid w:val="0C454045"/>
    <w:rsid w:val="0C5C5B08"/>
    <w:rsid w:val="0C6A2581"/>
    <w:rsid w:val="0E67321C"/>
    <w:rsid w:val="14072DAB"/>
    <w:rsid w:val="1424395D"/>
    <w:rsid w:val="188F4D22"/>
    <w:rsid w:val="1A703458"/>
    <w:rsid w:val="1A876A79"/>
    <w:rsid w:val="1CD514A0"/>
    <w:rsid w:val="1F7D2839"/>
    <w:rsid w:val="1FCA360B"/>
    <w:rsid w:val="21D40771"/>
    <w:rsid w:val="234550BE"/>
    <w:rsid w:val="23675F97"/>
    <w:rsid w:val="23930C38"/>
    <w:rsid w:val="28CA027A"/>
    <w:rsid w:val="2CAF208C"/>
    <w:rsid w:val="2EE45D6B"/>
    <w:rsid w:val="2FA14BFB"/>
    <w:rsid w:val="31662A68"/>
    <w:rsid w:val="3244724D"/>
    <w:rsid w:val="369501EA"/>
    <w:rsid w:val="38312021"/>
    <w:rsid w:val="3A3533DC"/>
    <w:rsid w:val="3BEB698B"/>
    <w:rsid w:val="3C9963E7"/>
    <w:rsid w:val="3CC01BC6"/>
    <w:rsid w:val="3CF16B08"/>
    <w:rsid w:val="3D053A7C"/>
    <w:rsid w:val="3FCF35E7"/>
    <w:rsid w:val="40426260"/>
    <w:rsid w:val="427E128D"/>
    <w:rsid w:val="459D47C2"/>
    <w:rsid w:val="45CD12A3"/>
    <w:rsid w:val="47207E67"/>
    <w:rsid w:val="47946129"/>
    <w:rsid w:val="48B75115"/>
    <w:rsid w:val="495B1E3D"/>
    <w:rsid w:val="49FA1100"/>
    <w:rsid w:val="4B50186C"/>
    <w:rsid w:val="4C962005"/>
    <w:rsid w:val="50411899"/>
    <w:rsid w:val="52307A13"/>
    <w:rsid w:val="526C4DBF"/>
    <w:rsid w:val="53880418"/>
    <w:rsid w:val="55FC3817"/>
    <w:rsid w:val="58A727C8"/>
    <w:rsid w:val="5B8E53A2"/>
    <w:rsid w:val="5B902B8F"/>
    <w:rsid w:val="5DDD79E4"/>
    <w:rsid w:val="5E3A213B"/>
    <w:rsid w:val="62FF552F"/>
    <w:rsid w:val="63302D52"/>
    <w:rsid w:val="65241930"/>
    <w:rsid w:val="66464486"/>
    <w:rsid w:val="66EC3434"/>
    <w:rsid w:val="672C55DE"/>
    <w:rsid w:val="68E65A13"/>
    <w:rsid w:val="6AE96BE8"/>
    <w:rsid w:val="6F48614A"/>
    <w:rsid w:val="6FA6086C"/>
    <w:rsid w:val="707D7D93"/>
    <w:rsid w:val="72CB65F3"/>
    <w:rsid w:val="72E13CE5"/>
    <w:rsid w:val="72FD61D7"/>
    <w:rsid w:val="732E0930"/>
    <w:rsid w:val="7677251C"/>
    <w:rsid w:val="78BE6278"/>
    <w:rsid w:val="78D02DFD"/>
    <w:rsid w:val="78DE29FC"/>
    <w:rsid w:val="7A2E1215"/>
    <w:rsid w:val="7BA9149B"/>
    <w:rsid w:val="7C4747D3"/>
    <w:rsid w:val="7C9570F1"/>
    <w:rsid w:val="7E4F6A09"/>
    <w:rsid w:val="7EAF3BDC"/>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2765</Words>
  <Characters>2870</Characters>
  <Lines>30</Lines>
  <Paragraphs>8</Paragraphs>
  <TotalTime>1</TotalTime>
  <ScaleCrop>false</ScaleCrop>
  <LinksUpToDate>false</LinksUpToDate>
  <CharactersWithSpaces>2870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AA</cp:lastModifiedBy>
  <cp:lastPrinted>2024-01-02T08:50:00Z</cp:lastPrinted>
  <dcterms:modified xsi:type="dcterms:W3CDTF">2026-02-06T09:14:03Z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6560A3AFBC844A918F86CC170F497865_13</vt:lpwstr>
  </property>
  <property fmtid="{D5CDD505-2E9C-101B-9397-08002B2CF9AE}" pid="4" name="KSOTemplateDocerSaveRecord">
    <vt:lpwstr>eyJoZGlkIjoiZWMyNzdmNzczOTliOGFmYmM2YjUwNmEzNjI4ZjQ2NzQiLCJ1c2VySWQiOiIzMDkxNzU4MTIifQ==</vt:lpwstr>
  </property>
</Properties>
</file>