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5B2BA">
      <w:pPr>
        <w:pStyle w:val="4"/>
        <w:widowControl/>
        <w:shd w:val="clear" w:color="auto" w:fill="FFFFFF"/>
        <w:spacing w:beforeAutospacing="0" w:afterAutospacing="0" w:line="560" w:lineRule="exact"/>
        <w:jc w:val="center"/>
        <w:rPr>
          <w:rFonts w:ascii="Times New Roman" w:hAnsi="Times New Roman" w:eastAsia="方正小标宋简体"/>
          <w:bCs/>
          <w:color w:val="333333"/>
          <w:sz w:val="44"/>
          <w:szCs w:val="44"/>
          <w:shd w:val="clear" w:color="auto" w:fill="FFFFFF"/>
        </w:rPr>
      </w:pPr>
      <w:r>
        <w:rPr>
          <w:rFonts w:hint="eastAsia" w:ascii="Times New Roman" w:hAnsi="Times New Roman" w:eastAsia="方正小标宋简体"/>
          <w:bCs/>
          <w:color w:val="333333"/>
          <w:sz w:val="44"/>
          <w:szCs w:val="44"/>
          <w:shd w:val="clear" w:color="auto" w:fill="FFFFFF"/>
          <w:lang w:val="en-US" w:eastAsia="zh-CN"/>
        </w:rPr>
        <w:t>昌乐县</w:t>
      </w:r>
      <w:r>
        <w:rPr>
          <w:rFonts w:ascii="Times New Roman" w:hAnsi="Times New Roman" w:eastAsia="方正小标宋简体"/>
          <w:bCs/>
          <w:color w:val="333333"/>
          <w:sz w:val="44"/>
          <w:szCs w:val="44"/>
          <w:shd w:val="clear" w:color="auto" w:fill="FFFFFF"/>
        </w:rPr>
        <w:t>应急管理局</w:t>
      </w:r>
    </w:p>
    <w:p w14:paraId="713A9D27">
      <w:pPr>
        <w:pStyle w:val="4"/>
        <w:widowControl/>
        <w:shd w:val="clear" w:color="auto" w:fill="FFFFFF"/>
        <w:spacing w:beforeAutospacing="0" w:afterAutospacing="0" w:line="560" w:lineRule="exact"/>
        <w:jc w:val="center"/>
        <w:rPr>
          <w:rFonts w:ascii="Times New Roman" w:hAnsi="Times New Roman" w:eastAsia="方正小标宋简体"/>
          <w:bCs/>
          <w:color w:val="333333"/>
          <w:sz w:val="44"/>
          <w:szCs w:val="44"/>
        </w:rPr>
      </w:pPr>
      <w:r>
        <w:rPr>
          <w:rFonts w:ascii="Times New Roman" w:hAnsi="Times New Roman" w:eastAsia="方正小标宋简体"/>
          <w:bCs/>
          <w:color w:val="333333"/>
          <w:spacing w:val="-17"/>
          <w:sz w:val="44"/>
          <w:szCs w:val="44"/>
          <w:shd w:val="clear" w:color="auto" w:fill="FFFFFF"/>
        </w:rPr>
        <w:t>202</w:t>
      </w:r>
      <w:r>
        <w:rPr>
          <w:rFonts w:hint="eastAsia" w:ascii="Times New Roman" w:hAnsi="Times New Roman" w:eastAsia="方正小标宋简体"/>
          <w:bCs/>
          <w:color w:val="333333"/>
          <w:spacing w:val="-17"/>
          <w:sz w:val="44"/>
          <w:szCs w:val="44"/>
          <w:shd w:val="clear" w:color="auto" w:fill="FFFFFF"/>
          <w:lang w:val="en-US" w:eastAsia="zh-CN"/>
        </w:rPr>
        <w:t>4</w:t>
      </w:r>
      <w:r>
        <w:rPr>
          <w:rFonts w:ascii="Times New Roman" w:hAnsi="Times New Roman" w:eastAsia="方正小标宋简体"/>
          <w:bCs/>
          <w:color w:val="333333"/>
          <w:spacing w:val="-17"/>
          <w:sz w:val="44"/>
          <w:szCs w:val="44"/>
          <w:shd w:val="clear" w:color="auto" w:fill="FFFFFF"/>
        </w:rPr>
        <w:t>年政府信息公开工作</w:t>
      </w:r>
      <w:r>
        <w:rPr>
          <w:rFonts w:ascii="Times New Roman" w:hAnsi="Times New Roman" w:eastAsia="方正小标宋简体"/>
          <w:bCs/>
          <w:color w:val="333333"/>
          <w:sz w:val="44"/>
          <w:szCs w:val="44"/>
          <w:shd w:val="clear" w:color="auto" w:fill="FFFFFF"/>
        </w:rPr>
        <w:t>年度报告</w:t>
      </w:r>
    </w:p>
    <w:p w14:paraId="5A5DB875">
      <w:pPr>
        <w:pStyle w:val="4"/>
        <w:widowControl/>
        <w:shd w:val="clear" w:color="auto" w:fill="FFFFFF"/>
        <w:spacing w:beforeAutospacing="0" w:afterAutospacing="0"/>
        <w:ind w:firstLine="420"/>
        <w:jc w:val="both"/>
        <w:rPr>
          <w:rFonts w:ascii="Times New Roman" w:hAnsi="Times New Roman" w:eastAsia="仿宋_GB2312"/>
          <w:kern w:val="2"/>
          <w:sz w:val="32"/>
          <w:szCs w:val="32"/>
        </w:rPr>
      </w:pPr>
    </w:p>
    <w:p w14:paraId="1AB32B67">
      <w:pPr>
        <w:pStyle w:val="4"/>
        <w:widowControl/>
        <w:shd w:val="clear" w:color="auto" w:fill="FFFFFF"/>
        <w:spacing w:beforeAutospacing="0" w:afterAutospacing="0"/>
        <w:ind w:firstLine="420"/>
        <w:jc w:val="both"/>
        <w:rPr>
          <w:rFonts w:ascii="Times New Roman" w:hAnsi="Times New Roman" w:eastAsia="宋体"/>
          <w:color w:val="333333"/>
          <w:szCs w:val="24"/>
        </w:rPr>
      </w:pPr>
    </w:p>
    <w:p w14:paraId="689E698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b/>
          <w:color w:val="333333"/>
          <w:sz w:val="32"/>
          <w:szCs w:val="32"/>
          <w:shd w:val="clear" w:color="auto" w:fill="FFFFFF"/>
        </w:rPr>
      </w:pPr>
      <w:r>
        <w:rPr>
          <w:rFonts w:ascii="Times New Roman" w:hAnsi="Times New Roman" w:eastAsia="仿宋_GB2312"/>
          <w:color w:val="000000"/>
          <w:sz w:val="32"/>
          <w:szCs w:val="32"/>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等六个部分。本年度报告中所列数据统计期限从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年1月1日到202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年12月31日止。</w:t>
      </w:r>
    </w:p>
    <w:p w14:paraId="6883ED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黑体"/>
          <w:color w:val="333333"/>
          <w:sz w:val="32"/>
          <w:szCs w:val="32"/>
        </w:rPr>
      </w:pPr>
      <w:r>
        <w:rPr>
          <w:rFonts w:ascii="Times New Roman" w:hAnsi="Times New Roman" w:eastAsia="黑体"/>
          <w:color w:val="333333"/>
          <w:sz w:val="32"/>
          <w:szCs w:val="32"/>
          <w:shd w:val="clear" w:color="auto" w:fill="FFFFFF"/>
        </w:rPr>
        <w:t>一、总体情况</w:t>
      </w:r>
    </w:p>
    <w:p w14:paraId="2C1FA43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年，我局认真贯彻落实《中华人民共和国政府信息公开条例》以及国家、省、潍坊市、</w:t>
      </w:r>
      <w:r>
        <w:rPr>
          <w:rFonts w:hint="eastAsia" w:ascii="Times New Roman" w:hAnsi="Times New Roman" w:eastAsia="仿宋_GB2312" w:cs="Times New Roman"/>
          <w:sz w:val="32"/>
          <w:szCs w:val="32"/>
          <w:lang w:val="en-US" w:eastAsia="zh-CN"/>
        </w:rPr>
        <w:t>昌乐县</w:t>
      </w:r>
      <w:r>
        <w:rPr>
          <w:rFonts w:ascii="Times New Roman" w:hAnsi="Times New Roman" w:eastAsia="仿宋_GB2312" w:cs="Times New Roman"/>
          <w:sz w:val="32"/>
          <w:szCs w:val="32"/>
        </w:rPr>
        <w:t>关于政府信息公开有关工作的部署和要求，坚持以“公开为常态、不公开为例外”原则，以深化公开内容为重点，进一步强化组织领导，加大公开力度，不断适应社会发展的需要满足社会公众的期待。</w:t>
      </w:r>
    </w:p>
    <w:p w14:paraId="7A3EF000">
      <w:pPr>
        <w:keepNext w:val="0"/>
        <w:keepLines w:val="0"/>
        <w:pageBreakBefore w:val="0"/>
        <w:kinsoku/>
        <w:wordWrap/>
        <w:overflowPunct/>
        <w:topLinePunct w:val="0"/>
        <w:autoSpaceDE/>
        <w:autoSpaceDN/>
        <w:bidi w:val="0"/>
        <w:adjustRightInd/>
        <w:snapToGrid/>
        <w:spacing w:line="600" w:lineRule="exact"/>
        <w:ind w:firstLine="645"/>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（一）主动公开情况</w:t>
      </w:r>
    </w:p>
    <w:p w14:paraId="36211081">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shd w:val="clear" w:color="auto" w:fill="FFFFFF"/>
        </w:rPr>
        <w:t>通过政府信息公开专栏主动公开政府信息</w:t>
      </w:r>
      <w:r>
        <w:rPr>
          <w:rFonts w:hint="eastAsia" w:ascii="Times New Roman" w:hAnsi="Times New Roman" w:eastAsia="仿宋_GB2312" w:cs="Times New Roman"/>
          <w:color w:val="auto"/>
          <w:kern w:val="0"/>
          <w:sz w:val="32"/>
          <w:szCs w:val="32"/>
          <w:shd w:val="clear" w:color="auto" w:fill="FFFFFF"/>
          <w:lang w:val="en-US" w:eastAsia="zh-CN"/>
        </w:rPr>
        <w:t>71</w:t>
      </w:r>
      <w:r>
        <w:rPr>
          <w:rFonts w:ascii="Times New Roman" w:hAnsi="Times New Roman" w:eastAsia="仿宋_GB2312" w:cs="Times New Roman"/>
          <w:color w:val="auto"/>
          <w:kern w:val="0"/>
          <w:sz w:val="32"/>
          <w:szCs w:val="32"/>
          <w:shd w:val="clear" w:color="auto" w:fill="FFFFFF"/>
        </w:rPr>
        <w:t>条。其中,通知公告公示信息</w:t>
      </w:r>
      <w:r>
        <w:rPr>
          <w:rFonts w:hint="eastAsia" w:ascii="Times New Roman" w:hAnsi="Times New Roman" w:eastAsia="仿宋_GB2312" w:cs="Times New Roman"/>
          <w:color w:val="auto"/>
          <w:kern w:val="0"/>
          <w:sz w:val="32"/>
          <w:szCs w:val="32"/>
          <w:shd w:val="clear" w:color="auto" w:fill="FFFFFF"/>
          <w:lang w:val="en-US" w:eastAsia="zh-CN"/>
        </w:rPr>
        <w:t>50</w:t>
      </w:r>
      <w:r>
        <w:rPr>
          <w:rFonts w:ascii="Times New Roman" w:hAnsi="Times New Roman" w:eastAsia="仿宋_GB2312" w:cs="Times New Roman"/>
          <w:color w:val="auto"/>
          <w:kern w:val="0"/>
          <w:sz w:val="32"/>
          <w:szCs w:val="32"/>
          <w:shd w:val="clear" w:color="auto" w:fill="FFFFFF"/>
        </w:rPr>
        <w:t>条，行政许可、行政处罚与行政强制类信息</w:t>
      </w:r>
      <w:r>
        <w:rPr>
          <w:rFonts w:hint="eastAsia" w:ascii="Times New Roman" w:hAnsi="Times New Roman" w:eastAsia="仿宋_GB2312" w:cs="Times New Roman"/>
          <w:color w:val="auto"/>
          <w:kern w:val="0"/>
          <w:sz w:val="32"/>
          <w:szCs w:val="32"/>
          <w:shd w:val="clear" w:color="auto" w:fill="FFFFFF"/>
          <w:lang w:val="en-US" w:eastAsia="zh-CN"/>
        </w:rPr>
        <w:t>1</w:t>
      </w:r>
      <w:r>
        <w:rPr>
          <w:rFonts w:ascii="Times New Roman" w:hAnsi="Times New Roman" w:eastAsia="仿宋_GB2312" w:cs="Times New Roman"/>
          <w:color w:val="auto"/>
          <w:kern w:val="0"/>
          <w:sz w:val="32"/>
          <w:szCs w:val="32"/>
          <w:shd w:val="clear" w:color="auto" w:fill="FFFFFF"/>
        </w:rPr>
        <w:t>条，结构设置、简介等信息</w:t>
      </w:r>
      <w:r>
        <w:rPr>
          <w:rFonts w:hint="eastAsia" w:ascii="Times New Roman" w:hAnsi="Times New Roman" w:eastAsia="仿宋_GB2312" w:cs="Times New Roman"/>
          <w:color w:val="auto"/>
          <w:kern w:val="0"/>
          <w:sz w:val="32"/>
          <w:szCs w:val="32"/>
          <w:shd w:val="clear" w:color="auto" w:fill="FFFFFF"/>
          <w:lang w:val="en-US" w:eastAsia="zh-CN"/>
        </w:rPr>
        <w:t>1</w:t>
      </w:r>
      <w:r>
        <w:rPr>
          <w:rFonts w:ascii="Times New Roman" w:hAnsi="Times New Roman" w:eastAsia="仿宋_GB2312" w:cs="Times New Roman"/>
          <w:color w:val="auto"/>
          <w:kern w:val="0"/>
          <w:sz w:val="32"/>
          <w:szCs w:val="32"/>
          <w:shd w:val="clear" w:color="auto" w:fill="FFFFFF"/>
        </w:rPr>
        <w:t>条，财政类信息10条，其他主动公开信息</w:t>
      </w:r>
      <w:r>
        <w:rPr>
          <w:rFonts w:hint="eastAsia" w:ascii="Times New Roman" w:hAnsi="Times New Roman" w:eastAsia="仿宋_GB2312" w:cs="Times New Roman"/>
          <w:color w:val="auto"/>
          <w:kern w:val="0"/>
          <w:sz w:val="32"/>
          <w:szCs w:val="32"/>
          <w:shd w:val="clear" w:color="auto" w:fill="FFFFFF"/>
          <w:lang w:val="en-US" w:eastAsia="zh-CN"/>
        </w:rPr>
        <w:t>9</w:t>
      </w:r>
      <w:r>
        <w:rPr>
          <w:rFonts w:ascii="Times New Roman" w:hAnsi="Times New Roman" w:eastAsia="仿宋_GB2312" w:cs="Times New Roman"/>
          <w:color w:val="auto"/>
          <w:kern w:val="0"/>
          <w:sz w:val="32"/>
          <w:szCs w:val="32"/>
          <w:shd w:val="clear" w:color="auto" w:fill="FFFFFF"/>
        </w:rPr>
        <w:t>条。</w:t>
      </w:r>
    </w:p>
    <w:p w14:paraId="4A020DB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（二）依申请公开情况</w:t>
      </w:r>
    </w:p>
    <w:p w14:paraId="43CAED2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FF0000"/>
          <w:kern w:val="0"/>
          <w:sz w:val="32"/>
          <w:szCs w:val="32"/>
        </w:rPr>
      </w:pPr>
      <w:r>
        <w:rPr>
          <w:rFonts w:ascii="Times New Roman" w:hAnsi="Times New Roman" w:eastAsia="仿宋_GB2312" w:cs="Times New Roman"/>
          <w:color w:val="auto"/>
          <w:kern w:val="0"/>
          <w:sz w:val="32"/>
          <w:szCs w:val="32"/>
          <w:shd w:val="clear" w:color="auto" w:fill="FFFFFF"/>
        </w:rPr>
        <w:t>进一步规范依申请公开工作，建立健全接收、登记、办理答复等流程，依法保障公民、法人和其他组织获取政府信息。</w:t>
      </w:r>
      <w:r>
        <w:rPr>
          <w:rFonts w:hint="eastAsia" w:ascii="Times New Roman" w:hAnsi="Times New Roman" w:eastAsia="仿宋_GB2312" w:cs="Times New Roman"/>
          <w:color w:val="auto"/>
          <w:kern w:val="0"/>
          <w:sz w:val="32"/>
          <w:szCs w:val="32"/>
          <w:shd w:val="clear" w:color="auto" w:fill="FFFFFF"/>
          <w:lang w:val="en-US" w:eastAsia="zh-CN"/>
        </w:rPr>
        <w:t>2024年</w:t>
      </w:r>
      <w:r>
        <w:rPr>
          <w:rFonts w:hint="eastAsia" w:ascii="Times New Roman" w:hAnsi="Times New Roman" w:eastAsia="仿宋_GB2312" w:cs="Times New Roman"/>
          <w:color w:val="auto"/>
          <w:kern w:val="0"/>
          <w:sz w:val="32"/>
          <w:szCs w:val="32"/>
          <w:shd w:val="clear" w:color="auto" w:fill="FFFFFF"/>
          <w:lang w:eastAsia="zh-CN"/>
        </w:rPr>
        <w:t>，</w:t>
      </w:r>
      <w:r>
        <w:rPr>
          <w:rFonts w:ascii="Times New Roman" w:hAnsi="Times New Roman" w:eastAsia="仿宋_GB2312" w:cs="Times New Roman"/>
          <w:color w:val="auto"/>
          <w:kern w:val="0"/>
          <w:sz w:val="32"/>
          <w:szCs w:val="32"/>
        </w:rPr>
        <w:t>我单位</w:t>
      </w:r>
      <w:r>
        <w:rPr>
          <w:rFonts w:hint="eastAsia" w:ascii="Times New Roman" w:hAnsi="Times New Roman" w:eastAsia="仿宋_GB2312" w:cs="Times New Roman"/>
          <w:color w:val="auto"/>
          <w:kern w:val="0"/>
          <w:sz w:val="32"/>
          <w:szCs w:val="32"/>
          <w:lang w:val="en-US" w:eastAsia="zh-CN"/>
        </w:rPr>
        <w:t>共</w:t>
      </w:r>
      <w:r>
        <w:rPr>
          <w:rFonts w:ascii="Times New Roman" w:hAnsi="Times New Roman" w:eastAsia="仿宋_GB2312" w:cs="Times New Roman"/>
          <w:color w:val="auto"/>
          <w:kern w:val="0"/>
          <w:sz w:val="32"/>
          <w:szCs w:val="32"/>
        </w:rPr>
        <w:t>收到</w:t>
      </w:r>
      <w:r>
        <w:rPr>
          <w:rFonts w:ascii="Times New Roman" w:hAnsi="Times New Roman" w:eastAsia="仿宋_GB2312" w:cs="Times New Roman"/>
          <w:color w:val="auto"/>
          <w:kern w:val="0"/>
          <w:sz w:val="32"/>
          <w:szCs w:val="32"/>
          <w:shd w:val="clear" w:color="auto" w:fill="FFFFFF"/>
        </w:rPr>
        <w:t>依</w:t>
      </w:r>
      <w:r>
        <w:rPr>
          <w:rFonts w:ascii="Times New Roman" w:hAnsi="Times New Roman" w:eastAsia="仿宋_GB2312" w:cs="Times New Roman"/>
          <w:color w:val="auto"/>
          <w:kern w:val="0"/>
          <w:sz w:val="32"/>
          <w:szCs w:val="32"/>
        </w:rPr>
        <w:t>申请公开信件</w:t>
      </w:r>
      <w:r>
        <w:rPr>
          <w:rFonts w:hint="eastAsia" w:ascii="Times New Roman" w:hAnsi="Times New Roman" w:eastAsia="仿宋_GB2312" w:cs="Times New Roman"/>
          <w:color w:val="auto"/>
          <w:kern w:val="0"/>
          <w:sz w:val="32"/>
          <w:szCs w:val="32"/>
          <w:lang w:val="en-US" w:eastAsia="zh-CN"/>
        </w:rPr>
        <w:t>6件。</w:t>
      </w:r>
      <w:r>
        <w:rPr>
          <w:rFonts w:ascii="Times New Roman" w:hAnsi="Times New Roman" w:eastAsia="仿宋_GB2312" w:cs="Times New Roman"/>
          <w:color w:val="auto"/>
          <w:kern w:val="0"/>
          <w:sz w:val="32"/>
          <w:szCs w:val="32"/>
          <w:shd w:val="clear" w:color="auto" w:fill="FFFFFF"/>
        </w:rPr>
        <w:t>全年发生因政府信息公开被行政复议、提起行政诉讼情况</w:t>
      </w:r>
      <w:r>
        <w:rPr>
          <w:rFonts w:hint="eastAsia" w:ascii="Times New Roman" w:hAnsi="Times New Roman" w:eastAsia="仿宋_GB2312" w:cs="Times New Roman"/>
          <w:color w:val="auto"/>
          <w:kern w:val="0"/>
          <w:sz w:val="32"/>
          <w:szCs w:val="32"/>
          <w:shd w:val="clear" w:color="auto" w:fill="FFFFFF"/>
          <w:lang w:val="en-US" w:eastAsia="zh-CN"/>
        </w:rPr>
        <w:t>1件</w:t>
      </w:r>
      <w:r>
        <w:rPr>
          <w:rFonts w:ascii="Times New Roman" w:hAnsi="Times New Roman" w:eastAsia="仿宋_GB2312" w:cs="Times New Roman"/>
          <w:color w:val="auto"/>
          <w:kern w:val="0"/>
          <w:sz w:val="32"/>
          <w:szCs w:val="32"/>
          <w:shd w:val="clear" w:color="auto" w:fill="FFFFFF"/>
        </w:rPr>
        <w:t>。</w:t>
      </w:r>
    </w:p>
    <w:p w14:paraId="478124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Times New Roman"/>
          <w:sz w:val="32"/>
          <w:szCs w:val="32"/>
          <w:lang w:val="en-US" w:eastAsia="zh-CN"/>
        </w:rPr>
      </w:pPr>
      <w:r>
        <w:rPr>
          <w:rFonts w:ascii="Times New Roman" w:hAnsi="Times New Roman" w:eastAsia="楷体" w:cs="Times New Roman"/>
          <w:sz w:val="32"/>
          <w:szCs w:val="32"/>
        </w:rPr>
        <w:t>（三）</w:t>
      </w:r>
      <w:r>
        <w:rPr>
          <w:rFonts w:hint="eastAsia" w:ascii="Times New Roman" w:hAnsi="Times New Roman" w:eastAsia="楷体" w:cs="Times New Roman"/>
          <w:color w:val="auto"/>
          <w:sz w:val="32"/>
          <w:szCs w:val="32"/>
          <w:highlight w:val="none"/>
        </w:rPr>
        <w:t>政府信息管理情况</w:t>
      </w:r>
    </w:p>
    <w:p w14:paraId="240C62B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严格按照《条例》要求，结合2024年工作实际，加强网站内容维护更新，动态更新和维护政府信息公开指南、法定公开等内容。进一步做好信息公开的保密审查发布工作，确保公开信息及时、准确、严谨，符合保密工作要求。</w:t>
      </w:r>
    </w:p>
    <w:p w14:paraId="270E254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Times New Roman"/>
          <w:sz w:val="32"/>
          <w:szCs w:val="32"/>
          <w:highlight w:val="yellow"/>
          <w:lang w:val="en-US" w:eastAsia="zh-CN"/>
        </w:rPr>
      </w:pPr>
      <w:r>
        <w:rPr>
          <w:rFonts w:ascii="Times New Roman" w:hAnsi="Times New Roman" w:eastAsia="楷体" w:cs="Times New Roman"/>
          <w:sz w:val="32"/>
          <w:szCs w:val="32"/>
        </w:rPr>
        <w:t>（</w:t>
      </w:r>
      <w:r>
        <w:rPr>
          <w:rFonts w:hint="eastAsia" w:ascii="Times New Roman" w:hAnsi="Times New Roman" w:eastAsia="楷体" w:cs="Times New Roman"/>
          <w:sz w:val="32"/>
          <w:szCs w:val="32"/>
          <w:lang w:val="en-US" w:eastAsia="zh-CN"/>
        </w:rPr>
        <w:t>四</w:t>
      </w:r>
      <w:r>
        <w:rPr>
          <w:rFonts w:ascii="Times New Roman" w:hAnsi="Times New Roman" w:eastAsia="楷体" w:cs="Times New Roman"/>
          <w:sz w:val="32"/>
          <w:szCs w:val="32"/>
        </w:rPr>
        <w:t>）</w:t>
      </w:r>
      <w:r>
        <w:rPr>
          <w:rFonts w:hint="eastAsia" w:ascii="Times New Roman" w:hAnsi="Times New Roman" w:eastAsia="楷体" w:cs="Times New Roman"/>
          <w:sz w:val="32"/>
          <w:szCs w:val="32"/>
          <w:highlight w:val="none"/>
          <w:lang w:val="en-US" w:eastAsia="zh-CN"/>
        </w:rPr>
        <w:t>政府信息公开平台建设情况</w:t>
      </w:r>
    </w:p>
    <w:p w14:paraId="1BF2B10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坚持多渠道、多层次、全方位，充分利用门户网站、政务微信公众号，及时主动发布领导活动、工作动态、人事信息等信息，方便群众了解</w:t>
      </w:r>
      <w:r>
        <w:rPr>
          <w:rFonts w:hint="eastAsia" w:ascii="Times New Roman" w:hAnsi="Times New Roman" w:eastAsia="仿宋_GB2312" w:cs="Times New Roman"/>
          <w:color w:val="000000"/>
          <w:kern w:val="0"/>
          <w:sz w:val="32"/>
          <w:szCs w:val="32"/>
          <w:lang w:val="en-US" w:eastAsia="zh-CN"/>
        </w:rPr>
        <w:t>县</w:t>
      </w:r>
      <w:r>
        <w:rPr>
          <w:rFonts w:ascii="Times New Roman" w:hAnsi="Times New Roman" w:eastAsia="仿宋_GB2312" w:cs="Times New Roman"/>
          <w:color w:val="000000"/>
          <w:kern w:val="0"/>
          <w:sz w:val="32"/>
          <w:szCs w:val="32"/>
        </w:rPr>
        <w:t>应急局工作信息。畅通信息发布渠道，设置政务咨询专栏模块，设置常见问题清单，做到让信息多跑路、群众少跑腿。</w:t>
      </w:r>
      <w:r>
        <w:rPr>
          <w:rFonts w:hint="eastAsia" w:ascii="Times New Roman" w:hAnsi="Times New Roman" w:eastAsia="仿宋_GB2312" w:cs="Times New Roman"/>
          <w:color w:val="000000"/>
          <w:kern w:val="0"/>
          <w:sz w:val="32"/>
          <w:szCs w:val="32"/>
        </w:rPr>
        <w:t>持续做好政策解读，同时以展板、宣讲、政府开放日等方式丰富宣贯解读渠道。</w:t>
      </w:r>
    </w:p>
    <w:p w14:paraId="767C05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（五）监督保障方面</w:t>
      </w:r>
    </w:p>
    <w:p w14:paraId="6C885AE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1.加强政务公开培训，</w:t>
      </w:r>
      <w:r>
        <w:rPr>
          <w:rFonts w:ascii="Times New Roman" w:hAnsi="Times New Roman" w:eastAsia="仿宋_GB2312"/>
          <w:color w:val="000000"/>
          <w:sz w:val="32"/>
          <w:szCs w:val="32"/>
        </w:rPr>
        <w:t>结合我局实际，制定业务培训计划，通过日常培训、集中培训和重点培训等多种培训方式，加强了培训的效果，达到了预期的目的。</w:t>
      </w:r>
      <w:r>
        <w:rPr>
          <w:rFonts w:hint="eastAsia" w:ascii="Times New Roman" w:hAnsi="Times New Roman" w:eastAsia="仿宋_GB2312"/>
          <w:color w:val="000000"/>
          <w:sz w:val="32"/>
          <w:szCs w:val="32"/>
          <w:lang w:val="en-US" w:eastAsia="zh-CN"/>
        </w:rPr>
        <w:t>2.加强体制机制建设。成立了</w:t>
      </w:r>
      <w:r>
        <w:rPr>
          <w:rFonts w:ascii="Times New Roman" w:hAnsi="Times New Roman" w:eastAsia="仿宋_GB2312"/>
          <w:color w:val="000000"/>
          <w:sz w:val="32"/>
          <w:szCs w:val="32"/>
        </w:rPr>
        <w:t>政务公开工作领导小组</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局主要负责同志任组长，分管负责同志任副组长，办公室工作人员具体负责的制度。3.</w:t>
      </w:r>
      <w:r>
        <w:rPr>
          <w:rFonts w:hint="eastAsia" w:ascii="仿宋_GB2312" w:hAnsi="Times New Roman" w:eastAsia="仿宋_GB2312" w:cs="仿宋_GB2312"/>
          <w:i w:val="0"/>
          <w:iCs w:val="0"/>
          <w:caps w:val="0"/>
          <w:color w:val="000000"/>
          <w:spacing w:val="0"/>
          <w:sz w:val="32"/>
          <w:szCs w:val="32"/>
          <w:lang w:val="en-US" w:eastAsia="zh-CN"/>
        </w:rPr>
        <w:t>强化人员经费保障，成立在局办公室配备1名专职信息公开工作人员，</w:t>
      </w:r>
      <w:r>
        <w:rPr>
          <w:rFonts w:hint="eastAsia" w:ascii="仿宋_GB2312" w:hAnsi="Times New Roman" w:eastAsia="仿宋_GB2312" w:cs="仿宋_GB2312"/>
          <w:i w:val="0"/>
          <w:iCs w:val="0"/>
          <w:caps w:val="0"/>
          <w:color w:val="000000"/>
          <w:spacing w:val="0"/>
          <w:sz w:val="32"/>
          <w:szCs w:val="32"/>
        </w:rPr>
        <w:t>将政务公开工作的相关经费纳入局年度预算，在经费方面予以保障</w:t>
      </w:r>
      <w:r>
        <w:rPr>
          <w:rFonts w:ascii="Times New Roman" w:hAnsi="Times New Roman" w:eastAsia="仿宋_GB2312"/>
          <w:color w:val="000000"/>
          <w:sz w:val="32"/>
          <w:szCs w:val="32"/>
        </w:rPr>
        <w:t>。</w:t>
      </w:r>
    </w:p>
    <w:p w14:paraId="60C9AC1F">
      <w:pPr>
        <w:pStyle w:val="4"/>
        <w:widowControl/>
        <w:shd w:val="clear" w:color="auto" w:fill="FFFFFF"/>
        <w:spacing w:beforeAutospacing="0" w:afterAutospacing="0"/>
        <w:ind w:firstLine="640" w:firstLineChars="200"/>
        <w:jc w:val="both"/>
        <w:rPr>
          <w:rFonts w:ascii="Times New Roman" w:hAnsi="Times New Roman" w:eastAsia="黑体"/>
          <w:bCs/>
          <w:color w:val="333333"/>
          <w:sz w:val="32"/>
          <w:szCs w:val="32"/>
        </w:rPr>
      </w:pPr>
      <w:r>
        <w:rPr>
          <w:rFonts w:ascii="Times New Roman" w:hAnsi="Times New Roman" w:eastAsia="黑体"/>
          <w:bCs/>
          <w:color w:val="333333"/>
          <w:sz w:val="32"/>
          <w:szCs w:val="32"/>
          <w:shd w:val="clear" w:color="auto" w:fill="FFFFFF"/>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762AC32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FAC0A64">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第二十条第（一）项</w:t>
            </w:r>
          </w:p>
        </w:tc>
      </w:tr>
      <w:tr w14:paraId="06E9B25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4D26E4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437CBE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58090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7F19D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现行有效件数</w:t>
            </w:r>
          </w:p>
        </w:tc>
      </w:tr>
      <w:tr w14:paraId="68D70A9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51A5B4A">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9FD02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5114AB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201C4B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r>
      <w:tr w14:paraId="2A09AEC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2B660B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75FA3D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32378D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5E98B1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r>
      <w:tr w14:paraId="067F045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414DC8">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第二十条第（五）项</w:t>
            </w:r>
          </w:p>
        </w:tc>
      </w:tr>
      <w:tr w14:paraId="363263F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4452573">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6D25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本年处理决定数量</w:t>
            </w:r>
          </w:p>
        </w:tc>
      </w:tr>
      <w:tr w14:paraId="304E7AD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7D6F8B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82424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w:t>
            </w:r>
          </w:p>
        </w:tc>
      </w:tr>
      <w:tr w14:paraId="7E56C31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F4A6A6F">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第二十条第（六）项</w:t>
            </w:r>
          </w:p>
        </w:tc>
      </w:tr>
      <w:tr w14:paraId="0419808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B64512D">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BF58D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本年处理决定数量</w:t>
            </w:r>
          </w:p>
        </w:tc>
      </w:tr>
      <w:tr w14:paraId="4A7F14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D277E57">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7ADFE1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color w:val="auto"/>
                <w:kern w:val="0"/>
                <w:szCs w:val="21"/>
                <w:lang w:val="en-US" w:eastAsia="zh-CN"/>
              </w:rPr>
              <w:t>68</w:t>
            </w:r>
          </w:p>
        </w:tc>
      </w:tr>
      <w:tr w14:paraId="5209EB1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902DEC0">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E48CB35">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color w:val="auto"/>
                <w:kern w:val="0"/>
                <w:szCs w:val="21"/>
                <w:lang w:val="en-US" w:eastAsia="zh-CN"/>
              </w:rPr>
              <w:t>4</w:t>
            </w:r>
          </w:p>
        </w:tc>
      </w:tr>
      <w:tr w14:paraId="083B71B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11D8963">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第二十条第（八）项</w:t>
            </w:r>
          </w:p>
        </w:tc>
      </w:tr>
      <w:tr w14:paraId="71EE21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BE4849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98647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本年收费金额（单位：万元）</w:t>
            </w:r>
          </w:p>
        </w:tc>
      </w:tr>
      <w:tr w14:paraId="4036646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0E5E05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10D6F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r>
    </w:tbl>
    <w:p w14:paraId="12F64DBF">
      <w:pPr>
        <w:ind w:firstLine="640" w:firstLineChars="200"/>
        <w:rPr>
          <w:rFonts w:ascii="Times New Roman" w:hAnsi="Times New Roman" w:eastAsia="黑体" w:cs="Times New Roman"/>
          <w:bCs/>
          <w:color w:val="333333"/>
          <w:kern w:val="0"/>
          <w:sz w:val="32"/>
          <w:szCs w:val="32"/>
          <w:shd w:val="clear" w:color="auto" w:fill="FFFFFF"/>
          <w:lang w:bidi="ar"/>
        </w:rPr>
      </w:pPr>
      <w:r>
        <w:rPr>
          <w:rFonts w:ascii="Times New Roman" w:hAnsi="Times New Roman" w:eastAsia="黑体" w:cs="Times New Roman"/>
          <w:bCs/>
          <w:color w:val="333333"/>
          <w:kern w:val="0"/>
          <w:sz w:val="32"/>
          <w:szCs w:val="32"/>
          <w:shd w:val="clear" w:color="auto" w:fill="FFFFFF"/>
          <w:lang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69150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2B93AEC9">
            <w:pPr>
              <w:widowControl/>
              <w:jc w:val="center"/>
              <w:rPr>
                <w:rFonts w:ascii="Times New Roman" w:hAnsi="Times New Roman" w:eastAsia="楷体_GB2312" w:cs="Times New Roman"/>
                <w:kern w:val="0"/>
                <w:szCs w:val="21"/>
              </w:rPr>
            </w:pPr>
            <w:r>
              <w:rPr>
                <w:rFonts w:ascii="Times New Roman" w:hAnsi="Times New Roman" w:eastAsia="楷体_GB2312" w:cs="Times New Roman"/>
                <w:kern w:val="0"/>
                <w:szCs w:val="21"/>
              </w:rPr>
              <w:t>（本列数据的勾稽关系为：第一项加第二项之和，</w:t>
            </w:r>
          </w:p>
          <w:p w14:paraId="25F98CEC">
            <w:pPr>
              <w:widowControl/>
              <w:jc w:val="center"/>
              <w:rPr>
                <w:rFonts w:ascii="Times New Roman" w:hAnsi="Times New Roman" w:eastAsia="仿宋_GB2312" w:cs="Times New Roman"/>
                <w:szCs w:val="21"/>
              </w:rPr>
            </w:pPr>
            <w:r>
              <w:rPr>
                <w:rFonts w:ascii="Times New Roman" w:hAnsi="Times New Roman" w:eastAsia="楷体_GB2312" w:cs="Times New Roman"/>
                <w:kern w:val="0"/>
                <w:szCs w:val="21"/>
              </w:rPr>
              <w:t>等于第三项加第四项之和）</w:t>
            </w:r>
          </w:p>
        </w:tc>
        <w:tc>
          <w:tcPr>
            <w:tcW w:w="4454" w:type="dxa"/>
            <w:gridSpan w:val="7"/>
            <w:shd w:val="clear" w:color="auto" w:fill="auto"/>
            <w:tcMar>
              <w:left w:w="108" w:type="dxa"/>
              <w:right w:w="108" w:type="dxa"/>
            </w:tcMar>
            <w:vAlign w:val="center"/>
          </w:tcPr>
          <w:p w14:paraId="4706B91A">
            <w:pPr>
              <w:widowControl/>
              <w:spacing w:line="320" w:lineRule="exact"/>
              <w:jc w:val="center"/>
              <w:rPr>
                <w:rFonts w:ascii="Times New Roman" w:hAnsi="Times New Roman" w:eastAsia="黑体" w:cs="Times New Roman"/>
                <w:szCs w:val="21"/>
              </w:rPr>
            </w:pPr>
            <w:r>
              <w:rPr>
                <w:rFonts w:ascii="Times New Roman" w:hAnsi="Times New Roman" w:eastAsia="黑体" w:cs="Times New Roman"/>
                <w:kern w:val="0"/>
                <w:szCs w:val="21"/>
              </w:rPr>
              <w:t>申请人情况</w:t>
            </w:r>
          </w:p>
        </w:tc>
      </w:tr>
      <w:tr w14:paraId="35325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2F3768D0">
            <w:pPr>
              <w:jc w:val="center"/>
              <w:rPr>
                <w:rFonts w:ascii="Times New Roman" w:hAnsi="Times New Roman" w:eastAsia="仿宋_GB2312" w:cs="Times New Roman"/>
                <w:szCs w:val="21"/>
              </w:rPr>
            </w:pPr>
          </w:p>
        </w:tc>
        <w:tc>
          <w:tcPr>
            <w:tcW w:w="752" w:type="dxa"/>
            <w:vMerge w:val="restart"/>
            <w:shd w:val="clear" w:color="auto" w:fill="auto"/>
            <w:tcMar>
              <w:left w:w="108" w:type="dxa"/>
              <w:right w:w="108" w:type="dxa"/>
            </w:tcMar>
            <w:vAlign w:val="center"/>
          </w:tcPr>
          <w:p w14:paraId="4830F156">
            <w:pPr>
              <w:widowControl/>
              <w:jc w:val="center"/>
              <w:rPr>
                <w:rFonts w:ascii="Times New Roman" w:hAnsi="Times New Roman" w:eastAsia="黑体" w:cs="Times New Roman"/>
                <w:szCs w:val="21"/>
              </w:rPr>
            </w:pPr>
            <w:r>
              <w:rPr>
                <w:rFonts w:ascii="Times New Roman" w:hAnsi="Times New Roman" w:eastAsia="黑体" w:cs="Times New Roman"/>
                <w:kern w:val="0"/>
                <w:szCs w:val="21"/>
              </w:rPr>
              <w:t>自然人</w:t>
            </w:r>
          </w:p>
        </w:tc>
        <w:tc>
          <w:tcPr>
            <w:tcW w:w="3001" w:type="dxa"/>
            <w:gridSpan w:val="5"/>
            <w:shd w:val="clear" w:color="auto" w:fill="auto"/>
            <w:tcMar>
              <w:left w:w="108" w:type="dxa"/>
              <w:right w:w="108" w:type="dxa"/>
            </w:tcMar>
            <w:vAlign w:val="center"/>
          </w:tcPr>
          <w:p w14:paraId="482F63E4">
            <w:pPr>
              <w:widowControl/>
              <w:spacing w:line="320" w:lineRule="exact"/>
              <w:jc w:val="center"/>
              <w:rPr>
                <w:rFonts w:ascii="Times New Roman" w:hAnsi="Times New Roman" w:eastAsia="黑体" w:cs="Times New Roman"/>
                <w:szCs w:val="21"/>
              </w:rPr>
            </w:pPr>
            <w:r>
              <w:rPr>
                <w:rFonts w:ascii="Times New Roman" w:hAnsi="Times New Roman" w:eastAsia="黑体" w:cs="Times New Roman"/>
                <w:kern w:val="0"/>
                <w:szCs w:val="21"/>
              </w:rPr>
              <w:t>法人或其他组织</w:t>
            </w:r>
          </w:p>
        </w:tc>
        <w:tc>
          <w:tcPr>
            <w:tcW w:w="701" w:type="dxa"/>
            <w:vMerge w:val="restart"/>
            <w:shd w:val="clear" w:color="auto" w:fill="auto"/>
            <w:tcMar>
              <w:left w:w="108" w:type="dxa"/>
              <w:right w:w="108" w:type="dxa"/>
            </w:tcMar>
            <w:vAlign w:val="center"/>
          </w:tcPr>
          <w:p w14:paraId="5840E8FA">
            <w:pPr>
              <w:widowControl/>
              <w:jc w:val="center"/>
              <w:rPr>
                <w:rFonts w:ascii="Times New Roman" w:hAnsi="Times New Roman" w:eastAsia="黑体" w:cs="Times New Roman"/>
                <w:szCs w:val="21"/>
              </w:rPr>
            </w:pPr>
            <w:r>
              <w:rPr>
                <w:rFonts w:ascii="Times New Roman" w:hAnsi="Times New Roman" w:eastAsia="黑体" w:cs="Times New Roman"/>
                <w:kern w:val="0"/>
                <w:szCs w:val="21"/>
              </w:rPr>
              <w:t>总计</w:t>
            </w:r>
          </w:p>
        </w:tc>
      </w:tr>
      <w:tr w14:paraId="2D4EE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3F3450CA">
            <w:pPr>
              <w:jc w:val="center"/>
              <w:rPr>
                <w:rFonts w:ascii="Times New Roman" w:hAnsi="Times New Roman" w:eastAsia="仿宋_GB2312" w:cs="Times New Roman"/>
                <w:szCs w:val="21"/>
              </w:rPr>
            </w:pPr>
          </w:p>
        </w:tc>
        <w:tc>
          <w:tcPr>
            <w:tcW w:w="752" w:type="dxa"/>
            <w:vMerge w:val="continue"/>
            <w:shd w:val="clear" w:color="auto" w:fill="auto"/>
            <w:tcMar>
              <w:left w:w="108" w:type="dxa"/>
              <w:right w:w="108" w:type="dxa"/>
            </w:tcMar>
            <w:vAlign w:val="center"/>
          </w:tcPr>
          <w:p w14:paraId="03861243">
            <w:pPr>
              <w:jc w:val="center"/>
              <w:rPr>
                <w:rFonts w:ascii="Times New Roman" w:hAnsi="Times New Roman" w:eastAsia="黑体" w:cs="Times New Roman"/>
                <w:szCs w:val="21"/>
              </w:rPr>
            </w:pPr>
          </w:p>
        </w:tc>
        <w:tc>
          <w:tcPr>
            <w:tcW w:w="540" w:type="dxa"/>
            <w:shd w:val="clear" w:color="auto" w:fill="auto"/>
            <w:tcMar>
              <w:left w:w="108" w:type="dxa"/>
              <w:right w:w="108" w:type="dxa"/>
            </w:tcMar>
            <w:vAlign w:val="center"/>
          </w:tcPr>
          <w:p w14:paraId="2B0BCA06">
            <w:pPr>
              <w:widowControl/>
              <w:spacing w:line="320" w:lineRule="exact"/>
              <w:ind w:left="-106" w:leftChars="-51" w:right="-107" w:rightChars="-51" w:hanging="1"/>
              <w:jc w:val="center"/>
              <w:rPr>
                <w:rFonts w:ascii="Times New Roman" w:hAnsi="Times New Roman" w:eastAsia="黑体" w:cs="Times New Roman"/>
                <w:szCs w:val="21"/>
              </w:rPr>
            </w:pPr>
            <w:r>
              <w:rPr>
                <w:rFonts w:ascii="Times New Roman" w:hAnsi="Times New Roman" w:eastAsia="黑体" w:cs="Times New Roman"/>
                <w:kern w:val="0"/>
                <w:szCs w:val="21"/>
              </w:rPr>
              <w:t>商业企业</w:t>
            </w:r>
          </w:p>
        </w:tc>
        <w:tc>
          <w:tcPr>
            <w:tcW w:w="540" w:type="dxa"/>
            <w:shd w:val="clear" w:color="auto" w:fill="auto"/>
            <w:tcMar>
              <w:left w:w="108" w:type="dxa"/>
              <w:right w:w="108" w:type="dxa"/>
            </w:tcMar>
            <w:vAlign w:val="center"/>
          </w:tcPr>
          <w:p w14:paraId="34D7AA98">
            <w:pPr>
              <w:widowControl/>
              <w:spacing w:line="320" w:lineRule="exact"/>
              <w:ind w:left="-107" w:leftChars="-51" w:right="-107" w:rightChars="-51"/>
              <w:jc w:val="center"/>
              <w:rPr>
                <w:rFonts w:ascii="Times New Roman" w:hAnsi="Times New Roman" w:eastAsia="黑体" w:cs="Times New Roman"/>
                <w:szCs w:val="21"/>
              </w:rPr>
            </w:pPr>
            <w:r>
              <w:rPr>
                <w:rFonts w:ascii="Times New Roman" w:hAnsi="Times New Roman" w:eastAsia="黑体" w:cs="Times New Roman"/>
                <w:kern w:val="0"/>
                <w:szCs w:val="21"/>
              </w:rPr>
              <w:t>科研机构</w:t>
            </w:r>
          </w:p>
        </w:tc>
        <w:tc>
          <w:tcPr>
            <w:tcW w:w="720" w:type="dxa"/>
            <w:shd w:val="clear" w:color="auto" w:fill="auto"/>
            <w:tcMar>
              <w:left w:w="108" w:type="dxa"/>
              <w:right w:w="108" w:type="dxa"/>
            </w:tcMar>
            <w:vAlign w:val="center"/>
          </w:tcPr>
          <w:p w14:paraId="3128A862">
            <w:pPr>
              <w:widowControl/>
              <w:spacing w:line="320" w:lineRule="exact"/>
              <w:ind w:left="-107" w:leftChars="-51" w:right="-107" w:rightChars="-51"/>
              <w:jc w:val="center"/>
              <w:rPr>
                <w:rFonts w:ascii="Times New Roman" w:hAnsi="Times New Roman" w:eastAsia="黑体" w:cs="Times New Roman"/>
                <w:szCs w:val="21"/>
              </w:rPr>
            </w:pPr>
            <w:r>
              <w:rPr>
                <w:rFonts w:ascii="Times New Roman" w:hAnsi="Times New Roman" w:eastAsia="黑体" w:cs="Times New Roman"/>
                <w:kern w:val="0"/>
                <w:szCs w:val="21"/>
              </w:rPr>
              <w:t>社会公益组织</w:t>
            </w:r>
          </w:p>
        </w:tc>
        <w:tc>
          <w:tcPr>
            <w:tcW w:w="675" w:type="dxa"/>
            <w:shd w:val="clear" w:color="auto" w:fill="auto"/>
            <w:tcMar>
              <w:left w:w="108" w:type="dxa"/>
              <w:right w:w="108" w:type="dxa"/>
            </w:tcMar>
            <w:vAlign w:val="center"/>
          </w:tcPr>
          <w:p w14:paraId="33BA5490">
            <w:pPr>
              <w:widowControl/>
              <w:spacing w:line="320" w:lineRule="exact"/>
              <w:ind w:left="-106" w:leftChars="-51" w:right="-107" w:rightChars="-51" w:hanging="1"/>
              <w:jc w:val="center"/>
              <w:rPr>
                <w:rFonts w:ascii="Times New Roman" w:hAnsi="Times New Roman" w:eastAsia="黑体" w:cs="Times New Roman"/>
                <w:szCs w:val="21"/>
              </w:rPr>
            </w:pPr>
            <w:r>
              <w:rPr>
                <w:rFonts w:ascii="Times New Roman" w:hAnsi="Times New Roman" w:eastAsia="黑体" w:cs="Times New Roman"/>
                <w:kern w:val="0"/>
                <w:szCs w:val="21"/>
              </w:rPr>
              <w:t>法律服务机构</w:t>
            </w:r>
          </w:p>
        </w:tc>
        <w:tc>
          <w:tcPr>
            <w:tcW w:w="526" w:type="dxa"/>
            <w:shd w:val="clear" w:color="auto" w:fill="auto"/>
            <w:tcMar>
              <w:left w:w="108" w:type="dxa"/>
              <w:right w:w="108" w:type="dxa"/>
            </w:tcMar>
            <w:vAlign w:val="center"/>
          </w:tcPr>
          <w:p w14:paraId="24BB8BA7">
            <w:pPr>
              <w:widowControl/>
              <w:spacing w:line="360" w:lineRule="exact"/>
              <w:ind w:left="-63" w:leftChars="-30" w:right="-134" w:rightChars="-64"/>
              <w:jc w:val="center"/>
              <w:rPr>
                <w:rFonts w:ascii="Times New Roman" w:hAnsi="Times New Roman" w:eastAsia="黑体" w:cs="Times New Roman"/>
                <w:szCs w:val="21"/>
              </w:rPr>
            </w:pPr>
            <w:r>
              <w:rPr>
                <w:rFonts w:ascii="Times New Roman" w:hAnsi="Times New Roman" w:eastAsia="黑体" w:cs="Times New Roman"/>
                <w:kern w:val="0"/>
                <w:szCs w:val="21"/>
              </w:rPr>
              <w:t>其他</w:t>
            </w:r>
          </w:p>
        </w:tc>
        <w:tc>
          <w:tcPr>
            <w:tcW w:w="701" w:type="dxa"/>
            <w:vMerge w:val="continue"/>
            <w:shd w:val="clear" w:color="auto" w:fill="auto"/>
            <w:tcMar>
              <w:left w:w="108" w:type="dxa"/>
              <w:right w:w="108" w:type="dxa"/>
            </w:tcMar>
            <w:vAlign w:val="center"/>
          </w:tcPr>
          <w:p w14:paraId="0A03DD59">
            <w:pPr>
              <w:jc w:val="center"/>
              <w:rPr>
                <w:rFonts w:ascii="Times New Roman" w:hAnsi="Times New Roman" w:eastAsia="仿宋_GB2312" w:cs="Times New Roman"/>
                <w:szCs w:val="21"/>
              </w:rPr>
            </w:pPr>
          </w:p>
        </w:tc>
      </w:tr>
      <w:tr w14:paraId="42F0A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FB57A3F">
            <w:pPr>
              <w:widowControl/>
              <w:rPr>
                <w:rFonts w:ascii="Times New Roman" w:hAnsi="Times New Roman" w:eastAsia="黑体" w:cs="Times New Roman"/>
                <w:szCs w:val="21"/>
              </w:rPr>
            </w:pPr>
            <w:r>
              <w:rPr>
                <w:rFonts w:ascii="Times New Roman" w:hAnsi="Times New Roman" w:eastAsia="黑体" w:cs="Times New Roman"/>
                <w:kern w:val="0"/>
                <w:szCs w:val="21"/>
              </w:rPr>
              <w:t>一、</w:t>
            </w:r>
            <w:bookmarkStart w:id="0" w:name="_Hlk66973412"/>
            <w:r>
              <w:rPr>
                <w:rFonts w:ascii="Times New Roman" w:hAnsi="Times New Roman" w:eastAsia="黑体" w:cs="Times New Roman"/>
                <w:kern w:val="0"/>
                <w:szCs w:val="21"/>
              </w:rPr>
              <w:t>本年新收政府信息公开申请数量</w:t>
            </w:r>
            <w:bookmarkEnd w:id="0"/>
          </w:p>
        </w:tc>
        <w:tc>
          <w:tcPr>
            <w:tcW w:w="752" w:type="dxa"/>
            <w:shd w:val="clear" w:color="auto" w:fill="auto"/>
            <w:tcMar>
              <w:left w:w="108" w:type="dxa"/>
              <w:right w:w="108" w:type="dxa"/>
            </w:tcMar>
            <w:vAlign w:val="center"/>
          </w:tcPr>
          <w:p w14:paraId="1413FEC2">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c>
          <w:tcPr>
            <w:tcW w:w="540" w:type="dxa"/>
            <w:shd w:val="clear" w:color="auto" w:fill="auto"/>
            <w:tcMar>
              <w:left w:w="108" w:type="dxa"/>
              <w:right w:w="108" w:type="dxa"/>
            </w:tcMar>
            <w:vAlign w:val="center"/>
          </w:tcPr>
          <w:p w14:paraId="632E33E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6E4C45F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7080ADF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74544C6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25C8064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325DC128">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r>
      <w:tr w14:paraId="00E2C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036907D7">
            <w:pPr>
              <w:widowControl/>
              <w:rPr>
                <w:rFonts w:ascii="Times New Roman" w:hAnsi="Times New Roman" w:eastAsia="黑体" w:cs="Times New Roman"/>
                <w:szCs w:val="21"/>
              </w:rPr>
            </w:pPr>
            <w:r>
              <w:rPr>
                <w:rFonts w:ascii="Times New Roman" w:hAnsi="Times New Roman" w:eastAsia="黑体" w:cs="Times New Roman"/>
                <w:kern w:val="0"/>
                <w:szCs w:val="21"/>
              </w:rPr>
              <w:t>二、上年结转政府信息公开申请数量</w:t>
            </w:r>
          </w:p>
        </w:tc>
        <w:tc>
          <w:tcPr>
            <w:tcW w:w="752" w:type="dxa"/>
            <w:shd w:val="clear" w:color="auto" w:fill="auto"/>
            <w:tcMar>
              <w:left w:w="108" w:type="dxa"/>
              <w:right w:w="108" w:type="dxa"/>
            </w:tcMar>
            <w:vAlign w:val="center"/>
          </w:tcPr>
          <w:p w14:paraId="61AE426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695E900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1404B96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4137EF4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2A811C1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19ABFCD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458DA47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059E3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160F73A5">
            <w:pPr>
              <w:widowControl/>
              <w:spacing w:after="180"/>
              <w:rPr>
                <w:rFonts w:ascii="Times New Roman" w:hAnsi="Times New Roman" w:eastAsia="黑体" w:cs="Times New Roman"/>
                <w:szCs w:val="21"/>
              </w:rPr>
            </w:pPr>
            <w:r>
              <w:rPr>
                <w:rFonts w:ascii="Times New Roman" w:hAnsi="Times New Roman" w:eastAsia="黑体" w:cs="Times New Roman"/>
                <w:kern w:val="0"/>
                <w:szCs w:val="21"/>
              </w:rPr>
              <w:t>三、本年度办理结果</w:t>
            </w:r>
          </w:p>
        </w:tc>
        <w:tc>
          <w:tcPr>
            <w:tcW w:w="4672" w:type="dxa"/>
            <w:gridSpan w:val="2"/>
            <w:shd w:val="clear" w:color="auto" w:fill="auto"/>
            <w:tcMar>
              <w:left w:w="108" w:type="dxa"/>
              <w:right w:w="108" w:type="dxa"/>
            </w:tcMar>
            <w:vAlign w:val="center"/>
          </w:tcPr>
          <w:p w14:paraId="794DAFFB">
            <w:pPr>
              <w:widowControl/>
              <w:spacing w:line="240" w:lineRule="exact"/>
              <w:jc w:val="left"/>
              <w:rPr>
                <w:rFonts w:ascii="Times New Roman" w:hAnsi="Times New Roman" w:eastAsia="仿宋_GB2312" w:cs="Times New Roman"/>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15F4AFB4">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540" w:type="dxa"/>
            <w:shd w:val="clear" w:color="auto" w:fill="auto"/>
            <w:tcMar>
              <w:left w:w="108" w:type="dxa"/>
              <w:right w:w="108" w:type="dxa"/>
            </w:tcMar>
            <w:vAlign w:val="center"/>
          </w:tcPr>
          <w:p w14:paraId="53EAE47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0F4BE50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109C8F9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6AA6AD6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657FD84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7906A1F0">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r>
      <w:tr w14:paraId="03154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6D51F44E">
            <w:pPr>
              <w:rPr>
                <w:rFonts w:ascii="Times New Roman" w:hAnsi="Times New Roman" w:eastAsia="黑体" w:cs="Times New Roman"/>
                <w:szCs w:val="21"/>
              </w:rPr>
            </w:pPr>
          </w:p>
        </w:tc>
        <w:tc>
          <w:tcPr>
            <w:tcW w:w="4672" w:type="dxa"/>
            <w:gridSpan w:val="2"/>
            <w:shd w:val="clear" w:color="auto" w:fill="auto"/>
            <w:tcMar>
              <w:left w:w="108" w:type="dxa"/>
              <w:right w:w="108" w:type="dxa"/>
            </w:tcMar>
            <w:vAlign w:val="center"/>
          </w:tcPr>
          <w:p w14:paraId="2F0CCB9A">
            <w:pPr>
              <w:widowControl/>
              <w:spacing w:line="240" w:lineRule="exact"/>
              <w:jc w:val="left"/>
              <w:rPr>
                <w:rFonts w:ascii="Times New Roman" w:hAnsi="Times New Roman" w:eastAsia="仿宋_GB2312" w:cs="Times New Roman"/>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4E1B652">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4559D64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5540728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05E82FE2">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6C268313">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2C85CC3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305FE69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07072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6DFFEB2">
            <w:pPr>
              <w:rPr>
                <w:rFonts w:ascii="Times New Roman" w:hAnsi="Times New Roman" w:eastAsia="黑体" w:cs="Times New Roman"/>
                <w:szCs w:val="21"/>
              </w:rPr>
            </w:pPr>
          </w:p>
        </w:tc>
        <w:tc>
          <w:tcPr>
            <w:tcW w:w="1699" w:type="dxa"/>
            <w:vMerge w:val="restart"/>
            <w:shd w:val="clear" w:color="auto" w:fill="auto"/>
            <w:tcMar>
              <w:left w:w="108" w:type="dxa"/>
              <w:right w:w="108" w:type="dxa"/>
            </w:tcMar>
            <w:vAlign w:val="center"/>
          </w:tcPr>
          <w:p w14:paraId="7C0D12D6">
            <w:pPr>
              <w:widowControl/>
              <w:spacing w:line="240" w:lineRule="exact"/>
              <w:jc w:val="center"/>
              <w:rPr>
                <w:rFonts w:ascii="Times New Roman" w:hAnsi="Times New Roman" w:eastAsia="仿宋_GB2312" w:cs="Times New Roman"/>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4A78911E">
            <w:pPr>
              <w:widowControl/>
              <w:spacing w:line="200" w:lineRule="exact"/>
              <w:rPr>
                <w:rFonts w:ascii="Times New Roman" w:hAnsi="Times New Roman" w:eastAsia="仿宋_GB2312" w:cs="Times New Roman"/>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695F76C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8D3012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59DC45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59C4FB6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0FFD4E7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122A3DD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6D60AB9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1E632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07C397B">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33B0C7A1">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0EF7AC41">
            <w:pPr>
              <w:widowControl/>
              <w:spacing w:line="200" w:lineRule="exact"/>
              <w:rPr>
                <w:rFonts w:ascii="Times New Roman" w:hAnsi="Times New Roman" w:eastAsia="仿宋_GB2312" w:cs="Times New Roman"/>
                <w:kern w:val="0"/>
                <w:szCs w:val="21"/>
              </w:rPr>
            </w:pPr>
            <w:r>
              <w:rPr>
                <w:rFonts w:hint="eastAsia" w:ascii="仿宋_GB2312" w:hAnsi="黑体" w:eastAsia="仿宋_GB2312"/>
                <w:kern w:val="0"/>
                <w:szCs w:val="21"/>
              </w:rPr>
              <w:t>2.其他法律行政法规禁止公开</w:t>
            </w:r>
          </w:p>
        </w:tc>
        <w:tc>
          <w:tcPr>
            <w:tcW w:w="752" w:type="dxa"/>
            <w:shd w:val="clear" w:color="auto" w:fill="auto"/>
            <w:tcMar>
              <w:left w:w="108" w:type="dxa"/>
              <w:right w:w="108" w:type="dxa"/>
            </w:tcMar>
            <w:vAlign w:val="center"/>
          </w:tcPr>
          <w:p w14:paraId="6BA3F29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471287D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9D4B0A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304D511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4447351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379B9D9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64901D9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4C58A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73BE162">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6EF76D35">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3FC49BD6">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3.危及“三安全一稳定”</w:t>
            </w:r>
          </w:p>
        </w:tc>
        <w:tc>
          <w:tcPr>
            <w:tcW w:w="752" w:type="dxa"/>
            <w:shd w:val="clear" w:color="auto" w:fill="auto"/>
            <w:tcMar>
              <w:left w:w="108" w:type="dxa"/>
              <w:right w:w="108" w:type="dxa"/>
            </w:tcMar>
            <w:vAlign w:val="center"/>
          </w:tcPr>
          <w:p w14:paraId="6D887F9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C97159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F37BE0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6BED8492">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0169864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6FFE57D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4E4A33A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33F82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516ABBD">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35349C14">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59796335">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4.</w:t>
            </w:r>
            <w:bookmarkStart w:id="2" w:name="_Hlk66974290"/>
            <w:r>
              <w:rPr>
                <w:rFonts w:ascii="Times New Roman" w:hAnsi="Times New Roman" w:eastAsia="仿宋_GB2312" w:cs="Times New Roman"/>
                <w:kern w:val="0"/>
                <w:szCs w:val="21"/>
              </w:rPr>
              <w:t>保护第三方合法权益</w:t>
            </w:r>
            <w:bookmarkEnd w:id="2"/>
          </w:p>
        </w:tc>
        <w:tc>
          <w:tcPr>
            <w:tcW w:w="752" w:type="dxa"/>
            <w:shd w:val="clear" w:color="auto" w:fill="auto"/>
            <w:tcMar>
              <w:left w:w="108" w:type="dxa"/>
              <w:right w:w="108" w:type="dxa"/>
            </w:tcMar>
            <w:vAlign w:val="center"/>
          </w:tcPr>
          <w:p w14:paraId="79BC35C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447074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EB7095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301B894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0AE2E18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7F8D410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627E03F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6C90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1CCBDB5">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3946F08A">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6FD96EDF">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5.属于三类内部事务信息</w:t>
            </w:r>
          </w:p>
        </w:tc>
        <w:tc>
          <w:tcPr>
            <w:tcW w:w="752" w:type="dxa"/>
            <w:shd w:val="clear" w:color="auto" w:fill="auto"/>
            <w:tcMar>
              <w:left w:w="108" w:type="dxa"/>
              <w:right w:w="108" w:type="dxa"/>
            </w:tcMar>
            <w:vAlign w:val="center"/>
          </w:tcPr>
          <w:p w14:paraId="283CDF1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B16139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440A324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0F7D6F0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749769E3">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312F9AA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0EE801E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7AA4F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9189111">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4A220FFE">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39CCFDC5">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6.</w:t>
            </w:r>
            <w:bookmarkStart w:id="3" w:name="_Hlk66974555"/>
            <w:r>
              <w:rPr>
                <w:rFonts w:ascii="Times New Roman" w:hAnsi="Times New Roman" w:eastAsia="仿宋_GB2312" w:cs="Times New Roman"/>
                <w:kern w:val="0"/>
                <w:szCs w:val="21"/>
              </w:rPr>
              <w:t>属于四类过程性信息</w:t>
            </w:r>
            <w:bookmarkEnd w:id="3"/>
          </w:p>
        </w:tc>
        <w:tc>
          <w:tcPr>
            <w:tcW w:w="752" w:type="dxa"/>
            <w:shd w:val="clear" w:color="auto" w:fill="auto"/>
            <w:tcMar>
              <w:left w:w="108" w:type="dxa"/>
              <w:right w:w="108" w:type="dxa"/>
            </w:tcMar>
            <w:vAlign w:val="center"/>
          </w:tcPr>
          <w:p w14:paraId="4455FC8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2629B0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6BF0F9E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48E781D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1D6ABFD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143A4EB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5950749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2E1FF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727A792">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0B6D9476">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070CC4CC">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7.属于行政执法案卷</w:t>
            </w:r>
          </w:p>
        </w:tc>
        <w:tc>
          <w:tcPr>
            <w:tcW w:w="752" w:type="dxa"/>
            <w:shd w:val="clear" w:color="auto" w:fill="auto"/>
            <w:tcMar>
              <w:left w:w="108" w:type="dxa"/>
              <w:right w:w="108" w:type="dxa"/>
            </w:tcMar>
            <w:vAlign w:val="center"/>
          </w:tcPr>
          <w:p w14:paraId="1053F76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0240997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E36E78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4D1FAFB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05CEFCD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78ED7A8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6C20A8F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16D85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F4C4AEC">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6AC27FC5">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48E0E7E5">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8.</w:t>
            </w:r>
            <w:bookmarkStart w:id="4" w:name="_Hlk66975211"/>
            <w:r>
              <w:rPr>
                <w:rFonts w:ascii="Times New Roman" w:hAnsi="Times New Roman" w:eastAsia="仿宋_GB2312" w:cs="Times New Roman"/>
                <w:kern w:val="0"/>
                <w:szCs w:val="21"/>
              </w:rPr>
              <w:t>属于行政查询事项</w:t>
            </w:r>
            <w:bookmarkEnd w:id="4"/>
          </w:p>
        </w:tc>
        <w:tc>
          <w:tcPr>
            <w:tcW w:w="752" w:type="dxa"/>
            <w:shd w:val="clear" w:color="auto" w:fill="auto"/>
            <w:tcMar>
              <w:left w:w="108" w:type="dxa"/>
              <w:right w:w="108" w:type="dxa"/>
            </w:tcMar>
            <w:vAlign w:val="center"/>
          </w:tcPr>
          <w:p w14:paraId="4FC57EF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5D6FEC7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6E6A48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71A01C5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624ED39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63F2820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4903BA2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30BE4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981D52C">
            <w:pPr>
              <w:rPr>
                <w:rFonts w:ascii="Times New Roman" w:hAnsi="Times New Roman" w:eastAsia="黑体" w:cs="Times New Roman"/>
                <w:szCs w:val="21"/>
              </w:rPr>
            </w:pPr>
          </w:p>
        </w:tc>
        <w:tc>
          <w:tcPr>
            <w:tcW w:w="1699" w:type="dxa"/>
            <w:vMerge w:val="restart"/>
            <w:shd w:val="clear" w:color="auto" w:fill="auto"/>
            <w:tcMar>
              <w:left w:w="108" w:type="dxa"/>
              <w:right w:w="108" w:type="dxa"/>
            </w:tcMar>
            <w:vAlign w:val="center"/>
          </w:tcPr>
          <w:p w14:paraId="134BC601">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（四）无法提供</w:t>
            </w:r>
          </w:p>
        </w:tc>
        <w:tc>
          <w:tcPr>
            <w:tcW w:w="2973" w:type="dxa"/>
            <w:shd w:val="clear" w:color="auto" w:fill="auto"/>
            <w:tcMar>
              <w:left w:w="108" w:type="dxa"/>
              <w:right w:w="108" w:type="dxa"/>
            </w:tcMar>
            <w:vAlign w:val="center"/>
          </w:tcPr>
          <w:p w14:paraId="714B1845">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1.本机关不掌握相关政府信息</w:t>
            </w:r>
          </w:p>
        </w:tc>
        <w:tc>
          <w:tcPr>
            <w:tcW w:w="752" w:type="dxa"/>
            <w:shd w:val="clear" w:color="auto" w:fill="auto"/>
            <w:tcMar>
              <w:left w:w="108" w:type="dxa"/>
              <w:right w:w="108" w:type="dxa"/>
            </w:tcMar>
            <w:vAlign w:val="center"/>
          </w:tcPr>
          <w:p w14:paraId="170D0D05">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540" w:type="dxa"/>
            <w:shd w:val="clear" w:color="auto" w:fill="auto"/>
            <w:tcMar>
              <w:left w:w="108" w:type="dxa"/>
              <w:right w:w="108" w:type="dxa"/>
            </w:tcMar>
            <w:vAlign w:val="center"/>
          </w:tcPr>
          <w:p w14:paraId="704DFB5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C20079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3E111D62">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2D2A25E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317E4CF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75A490C4">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r>
      <w:tr w14:paraId="5B8C5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6E53C49">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6C5430B1">
            <w:pPr>
              <w:spacing w:line="200" w:lineRule="exact"/>
              <w:ind w:left="-107" w:leftChars="-51"/>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52C4E150">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bookmarkStart w:id="5" w:name="_Hlk66975392"/>
            <w:r>
              <w:rPr>
                <w:rFonts w:ascii="Times New Roman" w:hAnsi="Times New Roman" w:eastAsia="仿宋_GB2312" w:cs="Times New Roman"/>
                <w:kern w:val="0"/>
                <w:szCs w:val="21"/>
              </w:rPr>
              <w:t>没有现成信息需要另行制作</w:t>
            </w:r>
            <w:bookmarkEnd w:id="5"/>
          </w:p>
        </w:tc>
        <w:tc>
          <w:tcPr>
            <w:tcW w:w="752" w:type="dxa"/>
            <w:shd w:val="clear" w:color="auto" w:fill="auto"/>
            <w:tcMar>
              <w:left w:w="108" w:type="dxa"/>
              <w:right w:w="108" w:type="dxa"/>
            </w:tcMar>
            <w:vAlign w:val="center"/>
          </w:tcPr>
          <w:p w14:paraId="2A83C66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706E17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10DBECB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3A44CA2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2BCBB7A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457D877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060E1873">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09F42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6583C05">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7DCA818D">
            <w:pPr>
              <w:spacing w:line="200" w:lineRule="exact"/>
              <w:ind w:left="-107" w:leftChars="-51"/>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272DA255">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3.</w:t>
            </w:r>
            <w:bookmarkStart w:id="6" w:name="_Hlk66975466"/>
            <w:r>
              <w:rPr>
                <w:rFonts w:ascii="Times New Roman" w:hAnsi="Times New Roman" w:eastAsia="仿宋_GB2312" w:cs="Times New Roman"/>
                <w:kern w:val="0"/>
                <w:szCs w:val="21"/>
              </w:rPr>
              <w:t>补正后申请内容仍不明确</w:t>
            </w:r>
            <w:bookmarkEnd w:id="6"/>
          </w:p>
        </w:tc>
        <w:tc>
          <w:tcPr>
            <w:tcW w:w="752" w:type="dxa"/>
            <w:shd w:val="clear" w:color="auto" w:fill="auto"/>
            <w:tcMar>
              <w:left w:w="108" w:type="dxa"/>
              <w:right w:w="108" w:type="dxa"/>
            </w:tcMar>
            <w:vAlign w:val="center"/>
          </w:tcPr>
          <w:p w14:paraId="615E9B6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0107101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5575512">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7F3B90C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4F57DDE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0D3517E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75CED20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4EED1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948EAF9">
            <w:pPr>
              <w:rPr>
                <w:rFonts w:ascii="Times New Roman" w:hAnsi="Times New Roman" w:eastAsia="黑体" w:cs="Times New Roman"/>
                <w:szCs w:val="21"/>
              </w:rPr>
            </w:pPr>
          </w:p>
        </w:tc>
        <w:tc>
          <w:tcPr>
            <w:tcW w:w="1699" w:type="dxa"/>
            <w:vMerge w:val="restart"/>
            <w:shd w:val="clear" w:color="auto" w:fill="auto"/>
            <w:tcMar>
              <w:left w:w="108" w:type="dxa"/>
              <w:right w:w="108" w:type="dxa"/>
            </w:tcMar>
            <w:vAlign w:val="center"/>
          </w:tcPr>
          <w:p w14:paraId="2E175D75">
            <w:pPr>
              <w:widowControl/>
              <w:spacing w:line="200" w:lineRule="exact"/>
              <w:ind w:left="-107" w:leftChars="-51"/>
              <w:rPr>
                <w:rFonts w:ascii="Times New Roman" w:hAnsi="Times New Roman" w:eastAsia="黑体" w:cs="Times New Roman"/>
                <w:szCs w:val="21"/>
              </w:rPr>
            </w:pPr>
            <w:r>
              <w:rPr>
                <w:rFonts w:ascii="Times New Roman" w:hAnsi="Times New Roman" w:eastAsia="黑体" w:cs="Times New Roman"/>
                <w:kern w:val="0"/>
                <w:szCs w:val="21"/>
              </w:rPr>
              <w:t>（五）不予处理</w:t>
            </w:r>
          </w:p>
        </w:tc>
        <w:tc>
          <w:tcPr>
            <w:tcW w:w="2973" w:type="dxa"/>
            <w:shd w:val="clear" w:color="auto" w:fill="auto"/>
            <w:tcMar>
              <w:left w:w="108" w:type="dxa"/>
              <w:right w:w="108" w:type="dxa"/>
            </w:tcMar>
            <w:vAlign w:val="center"/>
          </w:tcPr>
          <w:p w14:paraId="070F3CF8">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w:t>
            </w:r>
            <w:bookmarkStart w:id="7" w:name="_Hlk66975537"/>
            <w:r>
              <w:rPr>
                <w:rFonts w:ascii="Times New Roman" w:hAnsi="Times New Roman" w:eastAsia="仿宋_GB2312" w:cs="Times New Roman"/>
                <w:kern w:val="0"/>
                <w:szCs w:val="21"/>
              </w:rPr>
              <w:t>信访举报投诉类申请</w:t>
            </w:r>
            <w:bookmarkEnd w:id="7"/>
          </w:p>
        </w:tc>
        <w:tc>
          <w:tcPr>
            <w:tcW w:w="752" w:type="dxa"/>
            <w:shd w:val="clear" w:color="auto" w:fill="auto"/>
            <w:tcMar>
              <w:left w:w="108" w:type="dxa"/>
              <w:right w:w="108" w:type="dxa"/>
            </w:tcMar>
            <w:vAlign w:val="center"/>
          </w:tcPr>
          <w:p w14:paraId="50E06A7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2E8543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0EDACE3">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3E560F2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5E450BB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0D15F45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078A5CD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1C28A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21F34F7">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6A1A7F36">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743D2D5F">
            <w:pPr>
              <w:widowControl/>
              <w:spacing w:line="2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2.重复申请</w:t>
            </w:r>
          </w:p>
        </w:tc>
        <w:tc>
          <w:tcPr>
            <w:tcW w:w="752" w:type="dxa"/>
            <w:shd w:val="clear" w:color="auto" w:fill="auto"/>
            <w:tcMar>
              <w:left w:w="108" w:type="dxa"/>
              <w:right w:w="108" w:type="dxa"/>
            </w:tcMar>
            <w:vAlign w:val="center"/>
          </w:tcPr>
          <w:p w14:paraId="328BD31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452A909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D90779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0982EED4">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31B6918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1B69233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4AFDF15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0525A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93E212">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0C5029C7">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1B5AD61F">
            <w:pPr>
              <w:widowControl/>
              <w:spacing w:line="200" w:lineRule="exact"/>
              <w:rPr>
                <w:rFonts w:ascii="Times New Roman" w:hAnsi="Times New Roman" w:eastAsia="仿宋_GB2312" w:cs="Times New Roman"/>
                <w:szCs w:val="21"/>
              </w:rPr>
            </w:pPr>
            <w:r>
              <w:rPr>
                <w:rFonts w:ascii="Times New Roman" w:hAnsi="Times New Roman" w:eastAsia="仿宋_GB2312" w:cs="Times New Roman"/>
                <w:kern w:val="0"/>
                <w:szCs w:val="21"/>
              </w:rPr>
              <w:t>3.要求提供公开出版物</w:t>
            </w:r>
          </w:p>
        </w:tc>
        <w:tc>
          <w:tcPr>
            <w:tcW w:w="752" w:type="dxa"/>
            <w:shd w:val="clear" w:color="auto" w:fill="auto"/>
            <w:tcMar>
              <w:left w:w="108" w:type="dxa"/>
              <w:right w:w="108" w:type="dxa"/>
            </w:tcMar>
            <w:vAlign w:val="center"/>
          </w:tcPr>
          <w:p w14:paraId="6471C07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54A084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5129A7D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607557F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7A5CDC3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6FC6F4D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628CA94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5D168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05E7E682">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498E6504">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75C68DE6">
            <w:pPr>
              <w:widowControl/>
              <w:spacing w:line="200" w:lineRule="exact"/>
              <w:rPr>
                <w:rFonts w:ascii="Times New Roman" w:hAnsi="Times New Roman" w:eastAsia="仿宋_GB2312" w:cs="Times New Roman"/>
                <w:szCs w:val="21"/>
              </w:rPr>
            </w:pPr>
            <w:r>
              <w:rPr>
                <w:rFonts w:ascii="Times New Roman" w:hAnsi="Times New Roman" w:eastAsia="仿宋_GB2312" w:cs="Times New Roman"/>
                <w:kern w:val="0"/>
                <w:szCs w:val="21"/>
              </w:rPr>
              <w:t>4.无正当理由大量反复申请</w:t>
            </w:r>
          </w:p>
        </w:tc>
        <w:tc>
          <w:tcPr>
            <w:tcW w:w="752" w:type="dxa"/>
            <w:shd w:val="clear" w:color="auto" w:fill="auto"/>
            <w:tcMar>
              <w:left w:w="108" w:type="dxa"/>
              <w:right w:w="108" w:type="dxa"/>
            </w:tcMar>
            <w:vAlign w:val="center"/>
          </w:tcPr>
          <w:p w14:paraId="3B0A38D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F436D3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60703522">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79EB0FE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65E61D3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2813602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42C71D1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2AA3C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0651012">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7DF0B6EC">
            <w:pPr>
              <w:spacing w:line="200" w:lineRule="exact"/>
              <w:rPr>
                <w:rFonts w:ascii="Times New Roman" w:hAnsi="Times New Roman" w:eastAsia="黑体" w:cs="Times New Roman"/>
                <w:szCs w:val="21"/>
              </w:rPr>
            </w:pPr>
          </w:p>
        </w:tc>
        <w:tc>
          <w:tcPr>
            <w:tcW w:w="2973" w:type="dxa"/>
            <w:shd w:val="clear" w:color="auto" w:fill="auto"/>
            <w:tcMar>
              <w:left w:w="108" w:type="dxa"/>
              <w:right w:w="108" w:type="dxa"/>
            </w:tcMar>
            <w:vAlign w:val="center"/>
          </w:tcPr>
          <w:p w14:paraId="3DAF2BC8">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5.要求行政机关确认或重新</w:t>
            </w:r>
          </w:p>
          <w:p w14:paraId="6E39A1AF">
            <w:pPr>
              <w:widowControl/>
              <w:spacing w:line="30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kern w:val="0"/>
                <w:szCs w:val="21"/>
              </w:rPr>
              <w:t>出具已获取信息</w:t>
            </w:r>
          </w:p>
        </w:tc>
        <w:tc>
          <w:tcPr>
            <w:tcW w:w="752" w:type="dxa"/>
            <w:shd w:val="clear" w:color="auto" w:fill="auto"/>
            <w:tcMar>
              <w:left w:w="108" w:type="dxa"/>
              <w:right w:w="108" w:type="dxa"/>
            </w:tcMar>
            <w:vAlign w:val="center"/>
          </w:tcPr>
          <w:p w14:paraId="0E8E9CC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953E37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2D1479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0C78286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15F03EE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64A99A4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375C1D0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4E303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1669CFDE">
            <w:pPr>
              <w:rPr>
                <w:rFonts w:ascii="Times New Roman" w:hAnsi="Times New Roman" w:eastAsia="黑体" w:cs="Times New Roman"/>
                <w:szCs w:val="21"/>
              </w:rPr>
            </w:pPr>
          </w:p>
        </w:tc>
        <w:tc>
          <w:tcPr>
            <w:tcW w:w="1699" w:type="dxa"/>
            <w:vMerge w:val="restart"/>
            <w:shd w:val="clear" w:color="auto" w:fill="auto"/>
            <w:tcMar>
              <w:left w:w="108" w:type="dxa"/>
              <w:right w:w="108" w:type="dxa"/>
            </w:tcMar>
            <w:vAlign w:val="center"/>
          </w:tcPr>
          <w:p w14:paraId="7C8CC7EF">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（六）其他处理</w:t>
            </w:r>
          </w:p>
        </w:tc>
        <w:tc>
          <w:tcPr>
            <w:tcW w:w="2973" w:type="dxa"/>
            <w:shd w:val="clear" w:color="auto" w:fill="auto"/>
            <w:vAlign w:val="center"/>
          </w:tcPr>
          <w:p w14:paraId="7E88B555">
            <w:pPr>
              <w:widowControl/>
              <w:spacing w:line="300" w:lineRule="exact"/>
              <w:rPr>
                <w:rFonts w:ascii="Times New Roman" w:hAnsi="Times New Roman" w:eastAsia="仿宋_GB2312" w:cs="Times New Roman"/>
              </w:rPr>
            </w:pPr>
            <w:r>
              <w:rPr>
                <w:rFonts w:ascii="Times New Roman" w:hAnsi="Times New Roman" w:eastAsia="仿宋_GB2312" w:cs="Times New Roman"/>
              </w:rPr>
              <w:t>1.申请人无正当理由逾期不补正、行政机关不再处理其政府信息公开申请</w:t>
            </w:r>
          </w:p>
        </w:tc>
        <w:tc>
          <w:tcPr>
            <w:tcW w:w="752" w:type="dxa"/>
            <w:shd w:val="clear" w:color="auto" w:fill="auto"/>
            <w:tcMar>
              <w:left w:w="108" w:type="dxa"/>
              <w:right w:w="108" w:type="dxa"/>
            </w:tcMar>
            <w:vAlign w:val="center"/>
          </w:tcPr>
          <w:p w14:paraId="51E73AED">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270FA363">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0659786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0E3310F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3D67681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04EB22D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01BBA9A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1B64B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D927977">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3FCD860E">
            <w:pPr>
              <w:widowControl/>
              <w:spacing w:line="300" w:lineRule="exact"/>
              <w:rPr>
                <w:rFonts w:ascii="Times New Roman" w:hAnsi="Times New Roman" w:eastAsia="黑体" w:cs="Times New Roman"/>
                <w:kern w:val="0"/>
                <w:szCs w:val="21"/>
              </w:rPr>
            </w:pPr>
          </w:p>
        </w:tc>
        <w:tc>
          <w:tcPr>
            <w:tcW w:w="2973" w:type="dxa"/>
            <w:shd w:val="clear" w:color="auto" w:fill="auto"/>
            <w:vAlign w:val="center"/>
          </w:tcPr>
          <w:p w14:paraId="10BAEAD7">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5FFD630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5D4E7EE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33883FAE">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4654D2BB">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7F233A77">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4397F3E8">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73726C4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2B599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72B8167">
            <w:pPr>
              <w:rPr>
                <w:rFonts w:ascii="Times New Roman" w:hAnsi="Times New Roman" w:eastAsia="黑体" w:cs="Times New Roman"/>
                <w:szCs w:val="21"/>
              </w:rPr>
            </w:pPr>
          </w:p>
        </w:tc>
        <w:tc>
          <w:tcPr>
            <w:tcW w:w="1699" w:type="dxa"/>
            <w:vMerge w:val="continue"/>
            <w:shd w:val="clear" w:color="auto" w:fill="auto"/>
            <w:tcMar>
              <w:left w:w="108" w:type="dxa"/>
              <w:right w:w="108" w:type="dxa"/>
            </w:tcMar>
            <w:vAlign w:val="center"/>
          </w:tcPr>
          <w:p w14:paraId="2238B471">
            <w:pPr>
              <w:widowControl/>
              <w:spacing w:line="300" w:lineRule="exact"/>
              <w:rPr>
                <w:rFonts w:ascii="Times New Roman" w:hAnsi="Times New Roman" w:eastAsia="黑体" w:cs="Times New Roman"/>
                <w:kern w:val="0"/>
                <w:szCs w:val="21"/>
              </w:rPr>
            </w:pPr>
          </w:p>
        </w:tc>
        <w:tc>
          <w:tcPr>
            <w:tcW w:w="2973" w:type="dxa"/>
            <w:shd w:val="clear" w:color="auto" w:fill="auto"/>
            <w:vAlign w:val="center"/>
          </w:tcPr>
          <w:p w14:paraId="38F4BEDD">
            <w:pPr>
              <w:widowControl/>
              <w:spacing w:line="300" w:lineRule="exact"/>
              <w:rPr>
                <w:rFonts w:ascii="Times New Roman" w:hAnsi="Times New Roman" w:eastAsia="仿宋_GB2312" w:cs="Times New Roman"/>
                <w:kern w:val="0"/>
                <w:szCs w:val="21"/>
              </w:rPr>
            </w:pPr>
            <w:r>
              <w:rPr>
                <w:rFonts w:ascii="Times New Roman" w:hAnsi="Times New Roman" w:eastAsia="仿宋_GB2312" w:cs="Times New Roman"/>
              </w:rPr>
              <w:t>3.其他</w:t>
            </w:r>
          </w:p>
        </w:tc>
        <w:tc>
          <w:tcPr>
            <w:tcW w:w="752" w:type="dxa"/>
            <w:shd w:val="clear" w:color="auto" w:fill="auto"/>
            <w:tcMar>
              <w:left w:w="108" w:type="dxa"/>
              <w:right w:w="108" w:type="dxa"/>
            </w:tcMar>
            <w:vAlign w:val="center"/>
          </w:tcPr>
          <w:p w14:paraId="438F230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1CAD80D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6E0B59E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118C5079">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356DDA1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5B493AD6">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7E9DA6F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14:paraId="76E86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C5DD517">
            <w:pPr>
              <w:rPr>
                <w:rFonts w:ascii="Times New Roman" w:hAnsi="Times New Roman" w:eastAsia="黑体" w:cs="Times New Roman"/>
                <w:szCs w:val="21"/>
              </w:rPr>
            </w:pPr>
          </w:p>
        </w:tc>
        <w:tc>
          <w:tcPr>
            <w:tcW w:w="4672" w:type="dxa"/>
            <w:gridSpan w:val="2"/>
            <w:shd w:val="clear" w:color="auto" w:fill="auto"/>
            <w:tcMar>
              <w:left w:w="108" w:type="dxa"/>
              <w:right w:w="108" w:type="dxa"/>
            </w:tcMar>
            <w:vAlign w:val="center"/>
          </w:tcPr>
          <w:p w14:paraId="76D4CBCB">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（七）总计</w:t>
            </w:r>
          </w:p>
        </w:tc>
        <w:tc>
          <w:tcPr>
            <w:tcW w:w="752" w:type="dxa"/>
            <w:shd w:val="clear" w:color="auto" w:fill="auto"/>
            <w:tcMar>
              <w:left w:w="108" w:type="dxa"/>
              <w:right w:w="108" w:type="dxa"/>
            </w:tcMar>
            <w:vAlign w:val="center"/>
          </w:tcPr>
          <w:p w14:paraId="2245DB3B">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c>
          <w:tcPr>
            <w:tcW w:w="540" w:type="dxa"/>
            <w:shd w:val="clear" w:color="auto" w:fill="auto"/>
            <w:tcMar>
              <w:left w:w="108" w:type="dxa"/>
              <w:right w:w="108" w:type="dxa"/>
            </w:tcMar>
            <w:vAlign w:val="center"/>
          </w:tcPr>
          <w:p w14:paraId="75B1C3A3">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51D56B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7E7F567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75F01F7C">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650E2D65">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182D03E4">
            <w:pPr>
              <w:widowControl/>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r>
      <w:tr w14:paraId="5D13A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1023FB2E">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四、结转下年度继续办理</w:t>
            </w:r>
          </w:p>
        </w:tc>
        <w:tc>
          <w:tcPr>
            <w:tcW w:w="752" w:type="dxa"/>
            <w:shd w:val="clear" w:color="auto" w:fill="auto"/>
            <w:tcMar>
              <w:left w:w="108" w:type="dxa"/>
              <w:right w:w="108" w:type="dxa"/>
            </w:tcMar>
            <w:vAlign w:val="center"/>
          </w:tcPr>
          <w:p w14:paraId="391C56C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0B39181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40" w:type="dxa"/>
            <w:shd w:val="clear" w:color="auto" w:fill="auto"/>
            <w:tcMar>
              <w:left w:w="108" w:type="dxa"/>
              <w:right w:w="108" w:type="dxa"/>
            </w:tcMar>
            <w:vAlign w:val="center"/>
          </w:tcPr>
          <w:p w14:paraId="777F7EA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20" w:type="dxa"/>
            <w:shd w:val="clear" w:color="auto" w:fill="auto"/>
            <w:tcMar>
              <w:left w:w="108" w:type="dxa"/>
              <w:right w:w="108" w:type="dxa"/>
            </w:tcMar>
            <w:vAlign w:val="center"/>
          </w:tcPr>
          <w:p w14:paraId="7851BE51">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675" w:type="dxa"/>
            <w:shd w:val="clear" w:color="auto" w:fill="auto"/>
            <w:tcMar>
              <w:left w:w="108" w:type="dxa"/>
              <w:right w:w="108" w:type="dxa"/>
            </w:tcMar>
            <w:vAlign w:val="center"/>
          </w:tcPr>
          <w:p w14:paraId="1844215F">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526" w:type="dxa"/>
            <w:shd w:val="clear" w:color="auto" w:fill="auto"/>
            <w:tcMar>
              <w:left w:w="108" w:type="dxa"/>
              <w:right w:w="108" w:type="dxa"/>
            </w:tcMar>
            <w:vAlign w:val="center"/>
          </w:tcPr>
          <w:p w14:paraId="2D9DAFFA">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701" w:type="dxa"/>
            <w:shd w:val="clear" w:color="auto" w:fill="auto"/>
            <w:tcMar>
              <w:left w:w="108" w:type="dxa"/>
              <w:right w:w="108" w:type="dxa"/>
            </w:tcMar>
            <w:vAlign w:val="center"/>
          </w:tcPr>
          <w:p w14:paraId="03D4E810">
            <w:pPr>
              <w:widowControl/>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bl>
    <w:p w14:paraId="40A825BF">
      <w:pPr>
        <w:widowControl/>
        <w:jc w:val="left"/>
        <w:rPr>
          <w:rFonts w:ascii="Times New Roman" w:hAnsi="Times New Roman" w:eastAsia="仿宋_GB2312" w:cs="Times New Roman"/>
          <w:color w:val="FF0000"/>
          <w:kern w:val="0"/>
          <w:szCs w:val="21"/>
        </w:rPr>
      </w:pPr>
    </w:p>
    <w:p w14:paraId="34EA1BF9">
      <w:pPr>
        <w:ind w:firstLine="640" w:firstLineChars="200"/>
        <w:rPr>
          <w:rFonts w:ascii="Times New Roman" w:hAnsi="Times New Roman" w:eastAsia="仿宋_GB2312" w:cs="Times New Roman"/>
          <w:sz w:val="32"/>
          <w:szCs w:val="32"/>
        </w:rPr>
      </w:pPr>
      <w:r>
        <w:rPr>
          <w:rFonts w:ascii="Times New Roman" w:hAnsi="Times New Roman" w:eastAsia="黑体" w:cs="Times New Roman"/>
          <w:bCs/>
          <w:color w:val="333333"/>
          <w:kern w:val="0"/>
          <w:sz w:val="32"/>
          <w:szCs w:val="32"/>
          <w:shd w:val="clear" w:color="auto" w:fill="FFFFFF"/>
          <w:lang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4F2B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6568F3">
            <w:pPr>
              <w:widowControl/>
              <w:jc w:val="center"/>
              <w:rPr>
                <w:rFonts w:ascii="Times New Roman" w:hAnsi="Times New Roman" w:eastAsia="黑体" w:cs="Times New Roman"/>
              </w:rPr>
            </w:pPr>
            <w:r>
              <w:rPr>
                <w:rFonts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4D253E">
            <w:pPr>
              <w:widowControl/>
              <w:jc w:val="center"/>
              <w:rPr>
                <w:rFonts w:ascii="Times New Roman" w:hAnsi="Times New Roman" w:eastAsia="黑体" w:cs="Times New Roman"/>
              </w:rPr>
            </w:pPr>
            <w:r>
              <w:rPr>
                <w:rFonts w:ascii="Times New Roman" w:hAnsi="Times New Roman" w:eastAsia="黑体" w:cs="Times New Roman"/>
                <w:kern w:val="0"/>
                <w:sz w:val="20"/>
                <w:szCs w:val="20"/>
              </w:rPr>
              <w:t>行政诉讼</w:t>
            </w:r>
          </w:p>
        </w:tc>
      </w:tr>
      <w:tr w14:paraId="79CD11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A45D1B">
            <w:pPr>
              <w:widowControl/>
              <w:ind w:left="-43" w:leftChars="-21" w:right="-132" w:rightChars="-63" w:hanging="1"/>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结果</w:t>
            </w:r>
          </w:p>
          <w:p w14:paraId="180ABF37">
            <w:pPr>
              <w:widowControl/>
              <w:ind w:left="-149" w:leftChars="-71" w:right="-170" w:rightChars="-81"/>
              <w:jc w:val="center"/>
              <w:rPr>
                <w:rFonts w:ascii="Times New Roman" w:hAnsi="Times New Roman" w:eastAsia="黑体" w:cs="Times New Roman"/>
              </w:rPr>
            </w:pPr>
            <w:r>
              <w:rPr>
                <w:rFonts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871199C">
            <w:pPr>
              <w:widowControl/>
              <w:ind w:left="-43" w:leftChars="-21" w:right="-132" w:rightChars="-63" w:hanging="1"/>
              <w:jc w:val="center"/>
              <w:rPr>
                <w:rFonts w:ascii="Times New Roman" w:hAnsi="Times New Roman" w:eastAsia="黑体" w:cs="Times New Roman"/>
              </w:rPr>
            </w:pPr>
            <w:r>
              <w:rPr>
                <w:rFonts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7CD459">
            <w:pPr>
              <w:widowControl/>
              <w:ind w:left="-82" w:leftChars="-39" w:right="-97" w:rightChars="-46"/>
              <w:jc w:val="center"/>
              <w:rPr>
                <w:rFonts w:ascii="Times New Roman" w:hAnsi="Times New Roman" w:eastAsia="黑体" w:cs="Times New Roman"/>
              </w:rPr>
            </w:pPr>
            <w:r>
              <w:rPr>
                <w:rFonts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5E61EC">
            <w:pPr>
              <w:widowControl/>
              <w:ind w:left="-118" w:leftChars="-56" w:right="-118" w:rightChars="-56"/>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尚未</w:t>
            </w:r>
          </w:p>
          <w:p w14:paraId="44A946AA">
            <w:pPr>
              <w:widowControl/>
              <w:ind w:left="-118" w:leftChars="-56" w:right="-118" w:rightChars="-56"/>
              <w:jc w:val="center"/>
              <w:rPr>
                <w:rFonts w:ascii="Times New Roman" w:hAnsi="Times New Roman" w:eastAsia="黑体" w:cs="Times New Roman"/>
              </w:rPr>
            </w:pPr>
            <w:r>
              <w:rPr>
                <w:rFonts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709BB8">
            <w:pPr>
              <w:widowControl/>
              <w:spacing w:line="320" w:lineRule="exact"/>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总</w:t>
            </w:r>
          </w:p>
          <w:p w14:paraId="55D1424D">
            <w:pPr>
              <w:widowControl/>
              <w:spacing w:line="320" w:lineRule="exact"/>
              <w:jc w:val="center"/>
              <w:rPr>
                <w:rFonts w:ascii="Times New Roman" w:hAnsi="Times New Roman" w:eastAsia="黑体" w:cs="Times New Roman"/>
              </w:rPr>
            </w:pPr>
            <w:r>
              <w:rPr>
                <w:rFonts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003257">
            <w:pPr>
              <w:widowControl/>
              <w:jc w:val="center"/>
              <w:rPr>
                <w:rFonts w:ascii="Times New Roman" w:hAnsi="Times New Roman" w:eastAsia="黑体" w:cs="Times New Roman"/>
              </w:rPr>
            </w:pPr>
            <w:r>
              <w:rPr>
                <w:rFonts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EFB0C3">
            <w:pPr>
              <w:widowControl/>
              <w:jc w:val="center"/>
              <w:rPr>
                <w:rFonts w:ascii="Times New Roman" w:hAnsi="Times New Roman" w:eastAsia="黑体" w:cs="Times New Roman"/>
              </w:rPr>
            </w:pPr>
            <w:bookmarkStart w:id="8" w:name="_Hlk67039688"/>
            <w:r>
              <w:rPr>
                <w:rFonts w:ascii="Times New Roman" w:hAnsi="Times New Roman" w:eastAsia="黑体" w:cs="Times New Roman"/>
                <w:kern w:val="0"/>
                <w:sz w:val="20"/>
                <w:szCs w:val="20"/>
              </w:rPr>
              <w:t>复议后起诉</w:t>
            </w:r>
            <w:bookmarkEnd w:id="8"/>
          </w:p>
        </w:tc>
      </w:tr>
      <w:tr w14:paraId="47E65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342272">
            <w:pPr>
              <w:rPr>
                <w:rFonts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D675D5D">
            <w:pPr>
              <w:rPr>
                <w:rFonts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595B97">
            <w:pPr>
              <w:rPr>
                <w:rFonts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0B45DC">
            <w:pPr>
              <w:rPr>
                <w:rFonts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D02EC2">
            <w:pPr>
              <w:rPr>
                <w:rFonts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3692C7E">
            <w:pPr>
              <w:widowControl/>
              <w:ind w:left="-105" w:leftChars="-50" w:right="-126" w:rightChars="-60"/>
              <w:jc w:val="center"/>
              <w:rPr>
                <w:rFonts w:ascii="Times New Roman" w:hAnsi="Times New Roman" w:eastAsia="黑体" w:cs="Times New Roman"/>
              </w:rPr>
            </w:pPr>
            <w:r>
              <w:rPr>
                <w:rFonts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0C609FD">
            <w:pPr>
              <w:widowControl/>
              <w:ind w:left="-86" w:leftChars="-41" w:right="-88" w:rightChars="-42"/>
              <w:jc w:val="center"/>
              <w:rPr>
                <w:rFonts w:ascii="Times New Roman" w:hAnsi="Times New Roman" w:eastAsia="黑体" w:cs="Times New Roman"/>
              </w:rPr>
            </w:pPr>
            <w:r>
              <w:rPr>
                <w:rFonts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92F74A">
            <w:pPr>
              <w:widowControl/>
              <w:ind w:left="-126" w:leftChars="-60" w:right="-136" w:rightChars="-65"/>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其他</w:t>
            </w:r>
          </w:p>
          <w:p w14:paraId="2DAABE58">
            <w:pPr>
              <w:widowControl/>
              <w:ind w:left="-126" w:leftChars="-60" w:right="-136" w:rightChars="-65"/>
              <w:jc w:val="center"/>
              <w:rPr>
                <w:rFonts w:ascii="Times New Roman" w:hAnsi="Times New Roman" w:eastAsia="黑体" w:cs="Times New Roman"/>
              </w:rPr>
            </w:pPr>
            <w:r>
              <w:rPr>
                <w:rFonts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5BE2CD">
            <w:pPr>
              <w:widowControl/>
              <w:ind w:left="-164" w:leftChars="-78" w:right="-153" w:rightChars="-73"/>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尚未</w:t>
            </w:r>
          </w:p>
          <w:p w14:paraId="56C9122E">
            <w:pPr>
              <w:widowControl/>
              <w:ind w:left="-164" w:leftChars="-78" w:right="-153" w:rightChars="-73"/>
              <w:jc w:val="center"/>
              <w:rPr>
                <w:rFonts w:ascii="Times New Roman" w:hAnsi="Times New Roman" w:eastAsia="黑体" w:cs="Times New Roman"/>
              </w:rPr>
            </w:pPr>
            <w:r>
              <w:rPr>
                <w:rFonts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CD2D2A">
            <w:pPr>
              <w:widowControl/>
              <w:jc w:val="center"/>
              <w:rPr>
                <w:rFonts w:ascii="Times New Roman" w:hAnsi="Times New Roman" w:eastAsia="黑体" w:cs="Times New Roman"/>
              </w:rPr>
            </w:pPr>
            <w:r>
              <w:rPr>
                <w:rFonts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4AA2F6">
            <w:pPr>
              <w:widowControl/>
              <w:ind w:left="-99" w:leftChars="-47" w:right="-78" w:rightChars="-37"/>
              <w:jc w:val="center"/>
              <w:rPr>
                <w:rFonts w:ascii="Times New Roman" w:hAnsi="Times New Roman" w:eastAsia="黑体" w:cs="Times New Roman"/>
              </w:rPr>
            </w:pPr>
            <w:r>
              <w:rPr>
                <w:rFonts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C7E835">
            <w:pPr>
              <w:widowControl/>
              <w:ind w:left="-136" w:leftChars="-65" w:right="-124" w:rightChars="-59"/>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结果</w:t>
            </w:r>
          </w:p>
          <w:p w14:paraId="0331BF28">
            <w:pPr>
              <w:widowControl/>
              <w:ind w:left="-136" w:leftChars="-65" w:right="-124" w:rightChars="-59"/>
              <w:jc w:val="center"/>
              <w:rPr>
                <w:rFonts w:ascii="Times New Roman" w:hAnsi="Times New Roman" w:eastAsia="黑体" w:cs="Times New Roman"/>
              </w:rPr>
            </w:pPr>
            <w:r>
              <w:rPr>
                <w:rFonts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9D68BA">
            <w:pPr>
              <w:widowControl/>
              <w:ind w:left="-173" w:leftChars="-83" w:right="-134" w:rightChars="-64" w:hanging="1"/>
              <w:jc w:val="center"/>
              <w:rPr>
                <w:rFonts w:ascii="Times New Roman" w:hAnsi="Times New Roman" w:eastAsia="黑体" w:cs="Times New Roman"/>
                <w:kern w:val="0"/>
                <w:sz w:val="20"/>
                <w:szCs w:val="20"/>
              </w:rPr>
            </w:pPr>
            <w:r>
              <w:rPr>
                <w:rFonts w:ascii="Times New Roman" w:hAnsi="Times New Roman" w:eastAsia="黑体" w:cs="Times New Roman"/>
                <w:kern w:val="0"/>
                <w:sz w:val="20"/>
                <w:szCs w:val="20"/>
              </w:rPr>
              <w:t>其他</w:t>
            </w:r>
          </w:p>
          <w:p w14:paraId="24EC6617">
            <w:pPr>
              <w:widowControl/>
              <w:ind w:left="-173" w:leftChars="-83" w:right="-134" w:rightChars="-64" w:hanging="1"/>
              <w:jc w:val="center"/>
              <w:rPr>
                <w:rFonts w:ascii="Times New Roman" w:hAnsi="Times New Roman" w:eastAsia="黑体" w:cs="Times New Roman"/>
              </w:rPr>
            </w:pPr>
            <w:r>
              <w:rPr>
                <w:rFonts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6390FD">
            <w:pPr>
              <w:widowControl/>
              <w:ind w:left="-67" w:leftChars="-33" w:right="-105" w:rightChars="-50" w:hanging="2" w:hangingChars="1"/>
              <w:jc w:val="center"/>
              <w:rPr>
                <w:rFonts w:ascii="Times New Roman" w:hAnsi="Times New Roman" w:eastAsia="黑体" w:cs="Times New Roman"/>
              </w:rPr>
            </w:pPr>
            <w:r>
              <w:rPr>
                <w:rFonts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F6A850">
            <w:pPr>
              <w:widowControl/>
              <w:jc w:val="center"/>
              <w:rPr>
                <w:rFonts w:ascii="Times New Roman" w:hAnsi="Times New Roman" w:eastAsia="黑体" w:cs="Times New Roman"/>
              </w:rPr>
            </w:pPr>
            <w:r>
              <w:rPr>
                <w:rFonts w:ascii="Times New Roman" w:hAnsi="Times New Roman" w:eastAsia="黑体" w:cs="Times New Roman"/>
                <w:kern w:val="0"/>
                <w:sz w:val="20"/>
                <w:szCs w:val="20"/>
              </w:rPr>
              <w:t>总计</w:t>
            </w:r>
          </w:p>
        </w:tc>
      </w:tr>
      <w:tr w14:paraId="343467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4F3CFE">
            <w:pPr>
              <w:widowControl/>
              <w:spacing w:after="180"/>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tcPr>
          <w:p w14:paraId="665100E0">
            <w:pPr>
              <w:rPr>
                <w:rFonts w:ascii="Times New Roman" w:hAnsi="Times New Roman" w:cs="Times New Roman"/>
              </w:rPr>
            </w:pPr>
            <w:r>
              <w:rPr>
                <w:rFonts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tcPr>
          <w:p w14:paraId="598E9154">
            <w:pPr>
              <w:rPr>
                <w:rFonts w:ascii="Times New Roman" w:hAnsi="Times New Roman" w:cs="Times New Roman"/>
              </w:rPr>
            </w:pPr>
            <w:r>
              <w:rPr>
                <w:rFonts w:ascii="Times New Roman" w:hAnsi="Times New Roman"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tcPr>
          <w:p w14:paraId="60E11A80">
            <w:pPr>
              <w:rPr>
                <w:rFonts w:ascii="Times New Roman" w:hAnsi="Times New Roman" w:cs="Times New Roman"/>
              </w:rPr>
            </w:pPr>
            <w:r>
              <w:rPr>
                <w:rFonts w:ascii="Times New Roman" w:hAnsi="Times New Roman" w:cs="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tcPr>
          <w:p w14:paraId="2B3AE2DB">
            <w:pP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tcPr>
          <w:p w14:paraId="03E61313">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465CBF37">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1B27A0A7">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4DD2E788">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167017A6">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1B580B21">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1DBCBCEA">
            <w:pPr>
              <w:rPr>
                <w:rFonts w:ascii="Times New Roman" w:hAnsi="Times New Roman" w:cs="Times New Roman"/>
              </w:rPr>
            </w:pPr>
            <w:r>
              <w:rPr>
                <w:rFonts w:ascii="Times New Roman" w:hAnsi="Times New Roman"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tcPr>
          <w:p w14:paraId="6CE70BFE">
            <w:pPr>
              <w:rPr>
                <w:rFonts w:ascii="Times New Roman" w:hAnsi="Times New Roman" w:cs="Times New Roman"/>
              </w:rPr>
            </w:pPr>
            <w:r>
              <w:rPr>
                <w:rFonts w:ascii="Times New Roman" w:hAnsi="Times New Roman" w:cs="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tcPr>
          <w:p w14:paraId="2F8E6B53">
            <w:pP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06" w:type="dxa"/>
            <w:tcBorders>
              <w:top w:val="nil"/>
              <w:left w:val="nil"/>
              <w:bottom w:val="single" w:color="auto" w:sz="8" w:space="0"/>
              <w:right w:val="single" w:color="auto" w:sz="8" w:space="0"/>
            </w:tcBorders>
            <w:shd w:val="clear" w:color="auto" w:fill="auto"/>
            <w:tcMar>
              <w:left w:w="108" w:type="dxa"/>
              <w:right w:w="108" w:type="dxa"/>
            </w:tcMar>
          </w:tcPr>
          <w:p w14:paraId="2C3FB4E1">
            <w:pP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r>
    </w:tbl>
    <w:p w14:paraId="54E19A58">
      <w:pPr>
        <w:pStyle w:val="4"/>
        <w:widowControl/>
        <w:shd w:val="clear" w:color="auto" w:fill="FFFFFF"/>
        <w:spacing w:beforeAutospacing="0" w:afterAutospacing="0"/>
        <w:ind w:firstLine="420"/>
        <w:jc w:val="both"/>
        <w:rPr>
          <w:rFonts w:ascii="Times New Roman" w:hAnsi="Times New Roman" w:eastAsia="黑体"/>
          <w:bCs/>
          <w:color w:val="333333"/>
          <w:sz w:val="32"/>
          <w:szCs w:val="32"/>
          <w:shd w:val="clear" w:color="auto" w:fill="FFFFFF"/>
          <w:lang w:bidi="ar"/>
        </w:rPr>
      </w:pPr>
      <w:r>
        <w:rPr>
          <w:rFonts w:ascii="Times New Roman" w:hAnsi="Times New Roman" w:eastAsia="黑体"/>
          <w:bCs/>
          <w:color w:val="333333"/>
          <w:sz w:val="32"/>
          <w:szCs w:val="32"/>
          <w:shd w:val="clear" w:color="auto" w:fill="FFFFFF"/>
          <w:lang w:bidi="ar"/>
        </w:rPr>
        <w:t>五、存在的主要问题及改进情况</w:t>
      </w:r>
    </w:p>
    <w:p w14:paraId="3ACBE6B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（一）202</w:t>
      </w:r>
      <w:r>
        <w:rPr>
          <w:rFonts w:hint="eastAsia" w:ascii="Times New Roman" w:hAnsi="Times New Roman" w:eastAsia="楷体_GB2312" w:cs="Times New Roman"/>
          <w:bCs/>
          <w:kern w:val="0"/>
          <w:sz w:val="32"/>
          <w:szCs w:val="32"/>
          <w:lang w:val="en-US" w:eastAsia="zh-CN"/>
        </w:rPr>
        <w:t>3</w:t>
      </w:r>
      <w:r>
        <w:rPr>
          <w:rFonts w:ascii="Times New Roman" w:hAnsi="Times New Roman" w:eastAsia="楷体_GB2312" w:cs="Times New Roman"/>
          <w:bCs/>
          <w:kern w:val="0"/>
          <w:sz w:val="32"/>
          <w:szCs w:val="32"/>
        </w:rPr>
        <w:t>年问题整改情况。</w:t>
      </w:r>
    </w:p>
    <w:p w14:paraId="193CF4B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坚持“公开为常态、不公开为例外”理念，创新公开方式，扎实做好政府信息公开工作，重点抓好以下方面：一是加大培训力度，切实提高培训质量，不断提高全局人员对做好政府信息公开工作的认识及政府信息公开的业务能力；二是加强政府信息公开督导，定期对科室政府信息公开工作进行检查，层层落实责任，确保把政府信息公开工作落到实处，取得实效；三是进一步丰富解读形式，结合公众需求和工作重点，运用动图、视频、图解等生动活泼、群众喜闻乐见的形式，丰富政策性文件的解读内容及形式，提升信息公开实效和质量。</w:t>
      </w:r>
    </w:p>
    <w:p w14:paraId="4BA5C0F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Times New Roman"/>
          <w:bCs/>
          <w:kern w:val="0"/>
          <w:sz w:val="32"/>
          <w:szCs w:val="32"/>
        </w:rPr>
      </w:pPr>
      <w:r>
        <w:rPr>
          <w:rFonts w:ascii="Times New Roman" w:hAnsi="Times New Roman" w:eastAsia="楷体_GB2312" w:cs="Times New Roman"/>
          <w:bCs/>
          <w:kern w:val="0"/>
          <w:sz w:val="32"/>
          <w:szCs w:val="32"/>
        </w:rPr>
        <w:t>（二）202</w:t>
      </w:r>
      <w:r>
        <w:rPr>
          <w:rFonts w:hint="eastAsia" w:ascii="Times New Roman" w:hAnsi="Times New Roman" w:eastAsia="楷体_GB2312" w:cs="Times New Roman"/>
          <w:bCs/>
          <w:kern w:val="0"/>
          <w:sz w:val="32"/>
          <w:szCs w:val="32"/>
          <w:lang w:val="en-US" w:eastAsia="zh-CN"/>
        </w:rPr>
        <w:t>4</w:t>
      </w:r>
      <w:r>
        <w:rPr>
          <w:rFonts w:ascii="Times New Roman" w:hAnsi="Times New Roman" w:eastAsia="楷体_GB2312" w:cs="Times New Roman"/>
          <w:bCs/>
          <w:kern w:val="0"/>
          <w:sz w:val="32"/>
          <w:szCs w:val="32"/>
        </w:rPr>
        <w:t>年存在的主要问题。</w:t>
      </w:r>
    </w:p>
    <w:p w14:paraId="2D15399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一是主动公开信息规范性、内容准确性有待进一步提升；二是信息公开的载体和形式还需要进一步丰富。</w:t>
      </w:r>
    </w:p>
    <w:p w14:paraId="764C048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Times New Roman"/>
          <w:bCs/>
          <w:kern w:val="0"/>
          <w:sz w:val="32"/>
          <w:szCs w:val="32"/>
        </w:rPr>
      </w:pPr>
      <w:r>
        <w:rPr>
          <w:rFonts w:hint="eastAsia" w:ascii="Times New Roman" w:hAnsi="Times New Roman" w:eastAsia="楷体_GB2312" w:cs="Times New Roman"/>
          <w:bCs/>
          <w:kern w:val="0"/>
          <w:sz w:val="32"/>
          <w:szCs w:val="32"/>
        </w:rPr>
        <w:t>（三）改进措施</w:t>
      </w:r>
    </w:p>
    <w:p w14:paraId="3C94CDF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应急局将持续做好政府信息公开工作，一是对标省应急厅、潍坊市应急局，重点关注安全生产、应急管理和防灾减灾等领域信息公开工作，进一步提升行业领域信息公开工作水平。二是对标先进单位，全面厘清政府公开工作目录，严格按照主动公开目录公开相关信息，同时做好依申请公开信息收集回复等工作。三是加大培训力度，进一步提升各科室人员对公开工作的认识程度，全方位提升政务公开工作水平。</w:t>
      </w:r>
    </w:p>
    <w:p w14:paraId="301E623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Fonts w:ascii="Times New Roman" w:hAnsi="Times New Roman" w:eastAsia="黑体"/>
          <w:bCs/>
          <w:color w:val="333333"/>
          <w:sz w:val="32"/>
          <w:szCs w:val="32"/>
          <w:shd w:val="clear" w:color="auto" w:fill="FFFFFF"/>
          <w:lang w:bidi="ar"/>
        </w:rPr>
      </w:pPr>
      <w:r>
        <w:rPr>
          <w:rFonts w:ascii="Times New Roman" w:hAnsi="Times New Roman" w:eastAsia="黑体"/>
          <w:bCs/>
          <w:color w:val="333333"/>
          <w:sz w:val="32"/>
          <w:szCs w:val="32"/>
          <w:shd w:val="clear" w:color="auto" w:fill="FFFFFF"/>
          <w:lang w:bidi="ar"/>
        </w:rPr>
        <w:t>六、其他需要报告的事项</w:t>
      </w:r>
    </w:p>
    <w:p w14:paraId="57E6DEC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（一）信息处理费</w:t>
      </w:r>
    </w:p>
    <w:p w14:paraId="203445E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4</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县</w:t>
      </w:r>
      <w:r>
        <w:rPr>
          <w:rFonts w:ascii="Times New Roman" w:hAnsi="Times New Roman" w:eastAsia="仿宋_GB2312" w:cs="Times New Roman"/>
          <w:color w:val="000000"/>
          <w:kern w:val="0"/>
          <w:sz w:val="32"/>
          <w:szCs w:val="32"/>
        </w:rPr>
        <w:t>应急局未收取信息处理费。</w:t>
      </w:r>
    </w:p>
    <w:p w14:paraId="43D06C4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（二）上级年度政务公开工作要点落实情况。</w:t>
      </w:r>
    </w:p>
    <w:p w14:paraId="1C29834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yellow"/>
          <w:shd w:val="clear" w:fill="FFFFFF"/>
          <w:lang w:val="en-US" w:eastAsia="zh-CN"/>
        </w:rPr>
      </w:pPr>
      <w:r>
        <w:rPr>
          <w:rFonts w:hint="eastAsia" w:ascii="Times New Roman" w:hAnsi="Times New Roman" w:eastAsia="仿宋_GB2312" w:cs="Times New Roman"/>
          <w:color w:val="000000"/>
          <w:kern w:val="0"/>
          <w:sz w:val="32"/>
          <w:szCs w:val="32"/>
          <w:lang w:val="en-US" w:eastAsia="zh-CN"/>
        </w:rPr>
        <w:t>县</w:t>
      </w:r>
      <w:r>
        <w:rPr>
          <w:rFonts w:ascii="Times New Roman" w:hAnsi="Times New Roman" w:eastAsia="仿宋_GB2312" w:cs="Times New Roman"/>
          <w:color w:val="000000"/>
          <w:kern w:val="0"/>
          <w:sz w:val="32"/>
          <w:szCs w:val="32"/>
        </w:rPr>
        <w:t>应急局严格落实政务公开工作要点，健全局内部政务公开工作制度、拓宽政务公开信息发布渠道、优化政策文件解读、开展政务公开业务培训等内容</w:t>
      </w:r>
      <w:r>
        <w:rPr>
          <w:rFonts w:hint="eastAsia" w:ascii="Times New Roman" w:hAnsi="Times New Roman" w:eastAsia="仿宋_GB2312" w:cs="Times New Roman"/>
          <w:color w:val="000000"/>
          <w:kern w:val="0"/>
          <w:sz w:val="32"/>
          <w:szCs w:val="32"/>
          <w:lang w:eastAsia="zh-CN"/>
        </w:rPr>
        <w:t>。</w:t>
      </w:r>
    </w:p>
    <w:p w14:paraId="23664AB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（三）人大代表建议和政协提案办理情况。</w:t>
      </w:r>
    </w:p>
    <w:p w14:paraId="1467476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4</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县</w:t>
      </w:r>
      <w:r>
        <w:rPr>
          <w:rFonts w:ascii="Times New Roman" w:hAnsi="Times New Roman" w:eastAsia="仿宋_GB2312" w:cs="Times New Roman"/>
          <w:color w:val="000000"/>
          <w:kern w:val="0"/>
          <w:sz w:val="32"/>
          <w:szCs w:val="32"/>
        </w:rPr>
        <w:t>应急局共承办人大提案建议</w:t>
      </w:r>
      <w:r>
        <w:rPr>
          <w:rFonts w:hint="eastAsia" w:ascii="Times New Roman" w:hAnsi="Times New Roman" w:eastAsia="仿宋_GB2312" w:cs="Times New Roman"/>
          <w:color w:val="000000"/>
          <w:kern w:val="0"/>
          <w:sz w:val="32"/>
          <w:szCs w:val="32"/>
          <w:lang w:val="en-US" w:eastAsia="zh-CN"/>
        </w:rPr>
        <w:t>1</w:t>
      </w:r>
      <w:r>
        <w:rPr>
          <w:rFonts w:ascii="Times New Roman" w:hAnsi="Times New Roman" w:eastAsia="仿宋_GB2312" w:cs="Times New Roman"/>
          <w:color w:val="000000"/>
          <w:kern w:val="0"/>
          <w:sz w:val="32"/>
          <w:szCs w:val="32"/>
        </w:rPr>
        <w:t>件、政协提案</w:t>
      </w:r>
      <w:r>
        <w:rPr>
          <w:rFonts w:hint="eastAsia" w:ascii="Times New Roman" w:hAnsi="Times New Roman" w:eastAsia="仿宋_GB2312" w:cs="Times New Roman"/>
          <w:color w:val="000000"/>
          <w:kern w:val="0"/>
          <w:sz w:val="32"/>
          <w:szCs w:val="32"/>
          <w:lang w:val="en-US" w:eastAsia="zh-CN"/>
        </w:rPr>
        <w:t>1</w:t>
      </w:r>
      <w:r>
        <w:rPr>
          <w:rFonts w:ascii="Times New Roman" w:hAnsi="Times New Roman" w:eastAsia="仿宋_GB2312" w:cs="Times New Roman"/>
          <w:color w:val="000000"/>
          <w:kern w:val="0"/>
          <w:sz w:val="32"/>
          <w:szCs w:val="32"/>
        </w:rPr>
        <w:t>件，全部按时完成答复工作，建议提案办结率100%，代表委员满意率100%。</w:t>
      </w:r>
    </w:p>
    <w:p w14:paraId="54B60CD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default"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（四）本行政机关年度政务公开工作创新情况。无。</w:t>
      </w:r>
    </w:p>
    <w:p w14:paraId="6DA4EB8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（五）报告数据统计说明。</w:t>
      </w:r>
    </w:p>
    <w:p w14:paraId="7517786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本报告所列数据统计期限为2024年1月1日至2024年12月31日。</w:t>
      </w:r>
    </w:p>
    <w:p w14:paraId="2458F9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（六）本行政机关认为需要报告的其他事项。无。</w:t>
      </w:r>
    </w:p>
    <w:p w14:paraId="545DB5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pPr>
      <w:r>
        <w:rPr>
          <w:rFonts w:hint="eastAsia" w:ascii="仿宋_GB2312" w:hAnsi="Times New Roman" w:eastAsia="仿宋_GB2312" w:cs="仿宋_GB2312"/>
          <w:i w:val="0"/>
          <w:iCs w:val="0"/>
          <w:caps w:val="0"/>
          <w:color w:val="000000"/>
          <w:spacing w:val="0"/>
          <w:sz w:val="32"/>
          <w:szCs w:val="32"/>
          <w:highlight w:val="none"/>
          <w:shd w:val="clear" w:fill="FFFFFF"/>
          <w:lang w:val="en-US" w:eastAsia="zh-CN"/>
        </w:rPr>
        <w:t>（七）其他有关文件专门要求通报告的事项。无。</w:t>
      </w:r>
    </w:p>
    <w:p w14:paraId="11C8553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jc w:val="both"/>
        <w:rPr>
          <w:rFonts w:hint="eastAsia" w:ascii="仿宋_GB2312" w:hAnsi="Times New Roman" w:eastAsia="仿宋_GB2312" w:cs="仿宋_GB2312"/>
          <w:i w:val="0"/>
          <w:iCs w:val="0"/>
          <w:caps w:val="0"/>
          <w:color w:val="000000"/>
          <w:spacing w:val="0"/>
          <w:sz w:val="32"/>
          <w:szCs w:val="32"/>
          <w:shd w:val="clear" w:fill="FFFFFF"/>
          <w:lang w:val="en-US" w:eastAsia="zh-CN"/>
        </w:rPr>
      </w:pPr>
    </w:p>
    <w:p w14:paraId="7047AF2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2" w:leftChars="0" w:right="0" w:rightChars="0"/>
        <w:jc w:val="right"/>
        <w:rPr>
          <w:rFonts w:hint="eastAsia" w:ascii="仿宋_GB2312" w:hAnsi="Times New Roman" w:eastAsia="仿宋_GB2312" w:cs="仿宋_GB2312"/>
          <w:i w:val="0"/>
          <w:iCs w:val="0"/>
          <w:caps w:val="0"/>
          <w:color w:val="000000"/>
          <w:spacing w:val="0"/>
          <w:sz w:val="32"/>
          <w:szCs w:val="32"/>
          <w:shd w:val="clear" w:fill="FFFFFF"/>
          <w:lang w:val="en-US" w:eastAsia="zh-CN"/>
        </w:rPr>
      </w:pPr>
      <w:r>
        <w:rPr>
          <w:rFonts w:hint="eastAsia" w:ascii="仿宋_GB2312" w:hAnsi="Times New Roman" w:eastAsia="仿宋_GB2312" w:cs="仿宋_GB2312"/>
          <w:i w:val="0"/>
          <w:iCs w:val="0"/>
          <w:caps w:val="0"/>
          <w:color w:val="000000"/>
          <w:spacing w:val="0"/>
          <w:sz w:val="32"/>
          <w:szCs w:val="32"/>
          <w:shd w:val="clear" w:fill="FFFFFF"/>
          <w:lang w:val="en-US" w:eastAsia="zh-CN"/>
        </w:rPr>
        <w:t>昌乐县应急管理局</w:t>
      </w:r>
    </w:p>
    <w:p w14:paraId="0B78F46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2" w:leftChars="0" w:right="0" w:rightChars="0"/>
        <w:jc w:val="right"/>
        <w:rPr>
          <w:rFonts w:ascii="Times New Roman" w:hAnsi="Times New Roman" w:eastAsia="仿宋_GB2312" w:cs="Times New Roman"/>
          <w:color w:val="000000"/>
          <w:kern w:val="0"/>
          <w:sz w:val="32"/>
          <w:szCs w:val="32"/>
        </w:rPr>
      </w:pPr>
      <w:r>
        <w:rPr>
          <w:rFonts w:hint="eastAsia" w:ascii="仿宋_GB2312" w:hAnsi="Times New Roman" w:eastAsia="仿宋_GB2312" w:cs="仿宋_GB2312"/>
          <w:i w:val="0"/>
          <w:iCs w:val="0"/>
          <w:caps w:val="0"/>
          <w:color w:val="000000"/>
          <w:spacing w:val="0"/>
          <w:sz w:val="32"/>
          <w:szCs w:val="32"/>
          <w:shd w:val="clear" w:fill="FFFFFF"/>
          <w:lang w:val="en-US" w:eastAsia="zh-CN"/>
        </w:rPr>
        <w:t>2025年1月8日</w:t>
      </w:r>
      <w:bookmarkStart w:id="9" w:name="_GoBack"/>
      <w:bookmarkEnd w:id="9"/>
    </w:p>
    <w:sectPr>
      <w:pgSz w:w="11906" w:h="16838"/>
      <w:pgMar w:top="153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0461bd2f-738e-407c-a759-e9e618b8d765"/>
  </w:docVars>
  <w:rsids>
    <w:rsidRoot w:val="11AF18C8"/>
    <w:rsid w:val="0010537D"/>
    <w:rsid w:val="00172724"/>
    <w:rsid w:val="001C3E34"/>
    <w:rsid w:val="001C77E0"/>
    <w:rsid w:val="00251ECF"/>
    <w:rsid w:val="00340F86"/>
    <w:rsid w:val="00384BC8"/>
    <w:rsid w:val="00426F3A"/>
    <w:rsid w:val="0057590F"/>
    <w:rsid w:val="005B6F0B"/>
    <w:rsid w:val="005F098E"/>
    <w:rsid w:val="00637498"/>
    <w:rsid w:val="007C7C6B"/>
    <w:rsid w:val="00872E9D"/>
    <w:rsid w:val="008B4B9F"/>
    <w:rsid w:val="00A6603A"/>
    <w:rsid w:val="00B10034"/>
    <w:rsid w:val="00B3539E"/>
    <w:rsid w:val="00B44C2F"/>
    <w:rsid w:val="00BA683F"/>
    <w:rsid w:val="00C57B23"/>
    <w:rsid w:val="00CC125C"/>
    <w:rsid w:val="00D024F5"/>
    <w:rsid w:val="00D72738"/>
    <w:rsid w:val="00E34961"/>
    <w:rsid w:val="00E8733B"/>
    <w:rsid w:val="00EA71D2"/>
    <w:rsid w:val="00EC2230"/>
    <w:rsid w:val="00ED3D5D"/>
    <w:rsid w:val="00F95B6B"/>
    <w:rsid w:val="00FC3F4B"/>
    <w:rsid w:val="01432C7E"/>
    <w:rsid w:val="069755AA"/>
    <w:rsid w:val="09167712"/>
    <w:rsid w:val="0D3D7C96"/>
    <w:rsid w:val="106B51E8"/>
    <w:rsid w:val="11AF18C8"/>
    <w:rsid w:val="1A6A77C7"/>
    <w:rsid w:val="1AC90DBB"/>
    <w:rsid w:val="1D9B6A3E"/>
    <w:rsid w:val="25E60A73"/>
    <w:rsid w:val="29282269"/>
    <w:rsid w:val="2D66147E"/>
    <w:rsid w:val="2DB476A8"/>
    <w:rsid w:val="325C06E3"/>
    <w:rsid w:val="33773D90"/>
    <w:rsid w:val="3519182B"/>
    <w:rsid w:val="39FC040D"/>
    <w:rsid w:val="42C42BDF"/>
    <w:rsid w:val="42E3685C"/>
    <w:rsid w:val="438F759E"/>
    <w:rsid w:val="43AB242A"/>
    <w:rsid w:val="460A6BEC"/>
    <w:rsid w:val="46DC1FBC"/>
    <w:rsid w:val="480839BE"/>
    <w:rsid w:val="48CE3FCA"/>
    <w:rsid w:val="48DE4D6F"/>
    <w:rsid w:val="499840BA"/>
    <w:rsid w:val="4D241CFD"/>
    <w:rsid w:val="510319F7"/>
    <w:rsid w:val="51306129"/>
    <w:rsid w:val="521B3C00"/>
    <w:rsid w:val="5E2D1110"/>
    <w:rsid w:val="60663C1E"/>
    <w:rsid w:val="6265500E"/>
    <w:rsid w:val="643C22E4"/>
    <w:rsid w:val="6A451B60"/>
    <w:rsid w:val="75B23626"/>
    <w:rsid w:val="77181135"/>
    <w:rsid w:val="78F03041"/>
    <w:rsid w:val="7C4603DF"/>
    <w:rsid w:val="7CF9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1104</Words>
  <Characters>1136</Characters>
  <Lines>25</Lines>
  <Paragraphs>7</Paragraphs>
  <TotalTime>3</TotalTime>
  <ScaleCrop>false</ScaleCrop>
  <LinksUpToDate>false</LinksUpToDate>
  <CharactersWithSpaces>1136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cp:lastModifiedBy>
  <cp:lastPrinted>2023-01-16T09:08:00Z</cp:lastPrinted>
  <dcterms:modified xsi:type="dcterms:W3CDTF">2025-01-13T06:16:53Z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6B32E6DD202D416DB6973A1DD5595BBA</vt:lpwstr>
  </property>
  <property fmtid="{D5CDD505-2E9C-101B-9397-08002B2CF9AE}" pid="4" name="KSOTemplateDocerSaveRecord">
    <vt:lpwstr>eyJoZGlkIjoiNWNmYjA4ZGQ3Yzc2NzZlNzlkMzljMTBkMGVjZTgyNTgiLCJ1c2VySWQiOiI5MDY5OTczNTQifQ==</vt:lpwstr>
  </property>
</Properties>
</file>