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5B2BA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ascii="文星标宋" w:hAnsi="文星标宋" w:eastAsia="文星标宋" w:cs="文星标宋"/>
          <w:bCs/>
          <w:color w:val="333333"/>
          <w:sz w:val="44"/>
          <w:szCs w:val="44"/>
          <w:highlight w:val="none"/>
          <w:shd w:val="clear" w:color="auto" w:fill="FFFFFF"/>
        </w:rPr>
      </w:pPr>
      <w:r>
        <w:rPr>
          <w:rFonts w:hint="eastAsia" w:ascii="文星标宋" w:hAnsi="文星标宋" w:eastAsia="文星标宋" w:cs="文星标宋"/>
          <w:bCs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昌乐县</w:t>
      </w:r>
      <w:r>
        <w:rPr>
          <w:rFonts w:hint="eastAsia" w:ascii="文星标宋" w:hAnsi="文星标宋" w:eastAsia="文星标宋" w:cs="文星标宋"/>
          <w:bCs/>
          <w:color w:val="333333"/>
          <w:sz w:val="44"/>
          <w:szCs w:val="44"/>
          <w:highlight w:val="none"/>
          <w:shd w:val="clear" w:color="auto" w:fill="FFFFFF"/>
        </w:rPr>
        <w:t>应急管理局</w:t>
      </w:r>
    </w:p>
    <w:p w14:paraId="713A9D27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jc w:val="center"/>
        <w:textAlignment w:val="auto"/>
        <w:rPr>
          <w:rFonts w:hint="eastAsia" w:ascii="文星标宋" w:hAnsi="文星标宋" w:eastAsia="文星标宋" w:cs="文星标宋"/>
          <w:bCs/>
          <w:color w:val="333333"/>
          <w:sz w:val="44"/>
          <w:szCs w:val="44"/>
          <w:highlight w:val="none"/>
        </w:rPr>
      </w:pPr>
      <w:r>
        <w:rPr>
          <w:rFonts w:hint="eastAsia" w:ascii="文星标宋" w:hAnsi="文星标宋" w:eastAsia="文星标宋" w:cs="文星标宋"/>
          <w:bCs/>
          <w:color w:val="333333"/>
          <w:spacing w:val="-17"/>
          <w:sz w:val="44"/>
          <w:szCs w:val="44"/>
          <w:highlight w:val="none"/>
          <w:shd w:val="clear" w:color="auto" w:fill="FFFFFF"/>
        </w:rPr>
        <w:t>202</w:t>
      </w:r>
      <w:r>
        <w:rPr>
          <w:rFonts w:hint="eastAsia" w:ascii="文星标宋" w:hAnsi="文星标宋" w:eastAsia="文星标宋" w:cs="文星标宋"/>
          <w:bCs/>
          <w:color w:val="333333"/>
          <w:spacing w:val="-17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文星标宋" w:hAnsi="文星标宋" w:eastAsia="文星标宋" w:cs="文星标宋"/>
          <w:bCs/>
          <w:color w:val="333333"/>
          <w:spacing w:val="-17"/>
          <w:sz w:val="44"/>
          <w:szCs w:val="44"/>
          <w:highlight w:val="none"/>
          <w:shd w:val="clear" w:color="auto" w:fill="FFFFFF"/>
        </w:rPr>
        <w:t>年政府信息公开工作</w:t>
      </w:r>
      <w:r>
        <w:rPr>
          <w:rFonts w:hint="eastAsia" w:ascii="文星标宋" w:hAnsi="文星标宋" w:eastAsia="文星标宋" w:cs="文星标宋"/>
          <w:bCs/>
          <w:color w:val="333333"/>
          <w:sz w:val="44"/>
          <w:szCs w:val="44"/>
          <w:highlight w:val="none"/>
          <w:shd w:val="clear" w:color="auto" w:fill="FFFFFF"/>
        </w:rPr>
        <w:t>年度报告</w:t>
      </w:r>
    </w:p>
    <w:p w14:paraId="5A5DB875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ind w:firstLine="420"/>
        <w:jc w:val="both"/>
        <w:textAlignment w:val="auto"/>
        <w:rPr>
          <w:rFonts w:ascii="Times New Roman" w:hAnsi="Times New Roman" w:eastAsia="仿宋_GB2312"/>
          <w:kern w:val="2"/>
          <w:sz w:val="32"/>
          <w:szCs w:val="32"/>
          <w:highlight w:val="none"/>
        </w:rPr>
      </w:pPr>
    </w:p>
    <w:p w14:paraId="1AB32B67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ind w:firstLine="420"/>
        <w:jc w:val="both"/>
        <w:textAlignment w:val="auto"/>
        <w:rPr>
          <w:rFonts w:ascii="Times New Roman" w:hAnsi="Times New Roman" w:eastAsia="宋体"/>
          <w:color w:val="333333"/>
          <w:szCs w:val="24"/>
          <w:highlight w:val="none"/>
        </w:rPr>
      </w:pPr>
    </w:p>
    <w:p w14:paraId="77E1A3F1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bookmarkStart w:id="9" w:name="_GoBack"/>
      <w:r>
        <w:rPr>
          <w:rFonts w:ascii="Times New Roman" w:hAnsi="Times New Roman" w:eastAsia="仿宋_GB2312"/>
          <w:color w:val="000000"/>
          <w:sz w:val="32"/>
          <w:szCs w:val="32"/>
          <w:highlight w:val="none"/>
        </w:rPr>
        <w:t>本年度报告根据《中华人民共和国政府信息公开条例》（国务院令第711号，以下简称《条例》）和《国务院办公厅政府信息与政务公开办公室关于印发&lt;中华人民共和国政府信息公开工作年度报告格式&gt;的通知》（国办公开办函〔2021〕30号）相关要求编制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现公布昌乐县应急管理局2025年政府信息公开工作年度报告。本报告所列数据统计期限自2025年1月1日起至2025年12月31日止。</w:t>
      </w:r>
    </w:p>
    <w:p w14:paraId="6883ED4D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333333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333333"/>
          <w:sz w:val="32"/>
          <w:szCs w:val="32"/>
          <w:highlight w:val="none"/>
          <w:shd w:val="clear" w:color="auto" w:fill="FFFFFF"/>
        </w:rPr>
        <w:t>一、总体情况</w:t>
      </w:r>
    </w:p>
    <w:p w14:paraId="2C1FA43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年，我局认真贯彻落实《中华人民共和国政府信息公开条例》以及国家、省、潍坊市、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昌乐县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关于政府信息公开有关工作的部署和要求，坚持以“公开为常态、不公开为例外”原则，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聚焦安全生产、应急管理、防灾减灾救灾等重点领域，深化公开内容，优化平台建设，强化监督保障，切实提升政府信息公开实效。</w:t>
      </w:r>
    </w:p>
    <w:p w14:paraId="7A3EF00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（一）主动公开情况</w:t>
      </w:r>
    </w:p>
    <w:p w14:paraId="362110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通过政府信息公开专栏主动公开政府信息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80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条。其中,通知公告公示信息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条，行政许可、行政处罚与行政强制类信息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14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条，结构设置、简介等信息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条，财政类信息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条，其他主动公开信息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54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条。</w:t>
      </w:r>
    </w:p>
    <w:p w14:paraId="4A020DB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（二）依申请公开情况</w:t>
      </w:r>
    </w:p>
    <w:p w14:paraId="43CAED2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FF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进一步规范依申请公开工作，建立健全接收、登记、办理答复等流程，依法保障公民、法人和其他组织获取政府信息。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我单位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收到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依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申请公开信件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1件。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全年发生因政府信息公开被行政复议、提起行政诉讼情况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0件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。</w:t>
      </w:r>
    </w:p>
    <w:p w14:paraId="478124E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highlight w:val="none"/>
        </w:rPr>
        <w:t>政府信息管理情况</w:t>
      </w:r>
    </w:p>
    <w:p w14:paraId="7C2E32F2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信息审核与保密审查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方面，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严格执行“三审三校”制度，加强信息保密审查，确保公开内容准确、安全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3217382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信息归档与保存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方面，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对公开的政府信息进行及时归档和保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存，建立了完善的信息档案管理制度，确保信息的完整性和可查阅性。</w:t>
      </w:r>
    </w:p>
    <w:p w14:paraId="270E2545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楷体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政府信息公开平台建设情况</w:t>
      </w:r>
    </w:p>
    <w:p w14:paraId="1BF2B10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网站与新媒体协同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通过县政府门户网站公开信息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条；线下活动拓展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举办“安全生产月”“政府开放日”活动4场，通过现场宣讲、安全文化快闪秀等形式增强公开实效。</w:t>
      </w:r>
    </w:p>
    <w:p w14:paraId="767C051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  <w:highlight w:val="none"/>
        </w:rPr>
      </w:pPr>
      <w:r>
        <w:rPr>
          <w:rFonts w:ascii="Times New Roman" w:hAnsi="Times New Roman" w:eastAsia="楷体" w:cs="Times New Roman"/>
          <w:sz w:val="32"/>
          <w:szCs w:val="32"/>
          <w:highlight w:val="none"/>
        </w:rPr>
        <w:t>（五）监督保障方面</w:t>
      </w:r>
    </w:p>
    <w:p w14:paraId="625432A5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组织领导与工作机制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方面，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调整政务公开领导小组，局长任组长，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分管领导任副组长，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办公室专职人员负责日常工作的协调与落实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，建立办公室牵头、各科室配合的工作机制，明确各自职责分工，确保政府信息公开工作有序推进。</w:t>
      </w:r>
    </w:p>
    <w:p w14:paraId="60C9AC1F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ind w:firstLine="640" w:firstLineChars="200"/>
        <w:jc w:val="both"/>
        <w:textAlignment w:val="auto"/>
        <w:rPr>
          <w:rFonts w:ascii="Times New Roman" w:hAnsi="Times New Roman" w:eastAsia="黑体"/>
          <w:bCs/>
          <w:color w:val="333333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color w:val="333333"/>
          <w:sz w:val="32"/>
          <w:szCs w:val="32"/>
          <w:highlight w:val="none"/>
          <w:shd w:val="clear" w:color="auto" w:fill="FFFFFF"/>
        </w:rPr>
        <w:t>二、主动公开政府信息情况</w:t>
      </w:r>
    </w:p>
    <w:tbl>
      <w:tblPr>
        <w:tblStyle w:val="8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762AC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FAC0A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Cs w:val="21"/>
                <w:highlight w:val="none"/>
              </w:rPr>
              <w:t>第二十条第（一）项</w:t>
            </w:r>
          </w:p>
        </w:tc>
      </w:tr>
      <w:tr w14:paraId="06E9B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D26E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CBE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090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19D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现行有效件数</w:t>
            </w:r>
          </w:p>
        </w:tc>
      </w:tr>
      <w:tr w14:paraId="68D70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1A5B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D02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14AB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C4B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</w:tr>
      <w:tr w14:paraId="2A09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B660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FA3D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78D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98B1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</w:tr>
      <w:tr w14:paraId="067F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5414D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第二十条第（五）项</w:t>
            </w:r>
          </w:p>
        </w:tc>
      </w:tr>
      <w:tr w14:paraId="36326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4525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D25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304E7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D6F8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424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7E56C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F4A6A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第二十条第（六）项</w:t>
            </w:r>
          </w:p>
        </w:tc>
      </w:tr>
      <w:tr w14:paraId="04198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451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58D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本年处理决定数量</w:t>
            </w:r>
          </w:p>
        </w:tc>
      </w:tr>
      <w:tr w14:paraId="4A7F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77E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FE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42</w:t>
            </w:r>
          </w:p>
        </w:tc>
      </w:tr>
      <w:tr w14:paraId="5209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2DE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CB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83B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11D89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第二十条第（八）项</w:t>
            </w:r>
          </w:p>
        </w:tc>
      </w:tr>
      <w:tr w14:paraId="71EE2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E484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647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本年收费金额（单位：万元）</w:t>
            </w:r>
          </w:p>
        </w:tc>
      </w:tr>
      <w:tr w14:paraId="4036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E5E05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6F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0</w:t>
            </w:r>
          </w:p>
        </w:tc>
      </w:tr>
    </w:tbl>
    <w:p w14:paraId="12F64DB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ascii="Times New Roman" w:hAnsi="Times New Roman" w:eastAsia="黑体" w:cs="Times New Roman"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三、收到和处理政府信息公开申请情况</w:t>
      </w:r>
    </w:p>
    <w:tbl>
      <w:tblPr>
        <w:tblStyle w:val="8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699"/>
        <w:gridCol w:w="2973"/>
        <w:gridCol w:w="752"/>
        <w:gridCol w:w="540"/>
        <w:gridCol w:w="540"/>
        <w:gridCol w:w="720"/>
        <w:gridCol w:w="675"/>
        <w:gridCol w:w="526"/>
        <w:gridCol w:w="701"/>
      </w:tblGrid>
      <w:tr w14:paraId="69150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87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3AE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楷体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Cs w:val="21"/>
                <w:highlight w:val="none"/>
              </w:rPr>
              <w:t>（本列数据的勾稽关系为：第一项加第二项之和，</w:t>
            </w:r>
          </w:p>
          <w:p w14:paraId="25F98C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Cs w:val="21"/>
                <w:highlight w:val="none"/>
              </w:rPr>
              <w:t>等于第三项加第四项之和）</w:t>
            </w:r>
          </w:p>
        </w:tc>
        <w:tc>
          <w:tcPr>
            <w:tcW w:w="4454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06B9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申请人情况</w:t>
            </w:r>
          </w:p>
        </w:tc>
      </w:tr>
      <w:tr w14:paraId="35325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8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768D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0F1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自然人</w:t>
            </w:r>
          </w:p>
        </w:tc>
        <w:tc>
          <w:tcPr>
            <w:tcW w:w="300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F6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法人或其他组织</w:t>
            </w:r>
          </w:p>
        </w:tc>
        <w:tc>
          <w:tcPr>
            <w:tcW w:w="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0E8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总计</w:t>
            </w:r>
          </w:p>
        </w:tc>
      </w:tr>
      <w:tr w14:paraId="2D4EE0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8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450C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7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6124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BCA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商业企业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7AA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科研机构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8A8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7" w:leftChars="-51" w:right="-107" w:rightChars="-51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社会公益组织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A54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6" w:leftChars="-51" w:right="-107" w:rightChars="-51" w:hanging="1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法律服务机构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B8B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63" w:leftChars="-30" w:right="-134" w:rightChars="-64"/>
              <w:jc w:val="center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其他</w:t>
            </w:r>
          </w:p>
        </w:tc>
        <w:tc>
          <w:tcPr>
            <w:tcW w:w="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3DD5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2F0A5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8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57A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一、</w:t>
            </w:r>
            <w:bookmarkStart w:id="0" w:name="_Hlk66973412"/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本年新收政府信息公开申请数量</w:t>
            </w:r>
            <w:bookmarkEnd w:id="0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3FEC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E33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4C45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0AD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44C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806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5DC1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0E2CF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8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6907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二、上年结转政府信息公开申请数量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AE42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E90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04B9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7EF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11C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FC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8DA4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059E3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F73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三、本年度办理结果</w:t>
            </w:r>
          </w:p>
        </w:tc>
        <w:tc>
          <w:tcPr>
            <w:tcW w:w="467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DAF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（一）予以公开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4AF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AE4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BE5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C8F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A6AD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FD8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6A1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03154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1F44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467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CCB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1B6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59D6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072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82F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683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5CC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5FE6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07072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DFFEB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D12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Cs w:val="21"/>
                <w:highlight w:val="none"/>
              </w:rPr>
              <w:t>（三）不予公开</w:t>
            </w: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891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1.属于国家秘密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F76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301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DC4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4FB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D4E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A3D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60AB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1E6329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7C39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0C7A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7AC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  <w:highlight w:val="none"/>
              </w:rPr>
              <w:t>2.其他法律行政法规禁止公开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A3F2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287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D4B0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D51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735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B9D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901D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4C58A7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BE1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76D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49B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3.危及“三安全一稳定”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87F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9715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37BE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D84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986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FE57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4A33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33F82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6ABB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349C1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963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4.</w:t>
            </w:r>
            <w:bookmarkStart w:id="2" w:name="_Hlk66974290"/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保护第三方合法权益</w:t>
            </w:r>
            <w:bookmarkEnd w:id="2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C35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707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709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B89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2E1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D41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7E03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6C90C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CCBD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6F08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96E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5.属于三类内部事务信息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CDF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613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A32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D6F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769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F9A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E801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7AA4F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8911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20F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CFD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6.</w:t>
            </w:r>
            <w:bookmarkStart w:id="3" w:name="_Hlk66974555"/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属于四类过程性信息</w:t>
            </w:r>
            <w:bookmarkEnd w:id="3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55FC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629B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0F9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781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6ABF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3A4E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5074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2E1FF2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7A79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D947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CC4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7.属于行政执法案卷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53F7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099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6E7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1FAF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EFC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D7A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0A8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6D85B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C4AE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27FC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E0E7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8.</w:t>
            </w:r>
            <w:bookmarkStart w:id="4" w:name="_Hlk66975211"/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属于行政查询事项</w:t>
            </w:r>
            <w:bookmarkEnd w:id="4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57E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EC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E6A4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A01C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ED3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282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3BA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30BE45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1D52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BC6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7" w:leftChars="-51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（四）无法提供</w:t>
            </w: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4B18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1.本机关不掌握相关政府信息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D0D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4DFB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2007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111D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2A25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E4C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490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</w:tr>
      <w:tr w14:paraId="5B8C53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53C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430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7" w:leftChars="-51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4E1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2.</w:t>
            </w:r>
            <w:bookmarkStart w:id="5" w:name="_Hlk66975392"/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没有现成信息需要另行制作</w:t>
            </w:r>
            <w:bookmarkEnd w:id="5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3C6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6E1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DBEC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4CA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BB7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7D87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E18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09F42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83C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CA818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7" w:leftChars="-51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DA2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3.</w:t>
            </w:r>
            <w:bookmarkStart w:id="6" w:name="_Hlk66975466"/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补正后申请内容仍不明确</w:t>
            </w:r>
            <w:bookmarkEnd w:id="6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E9B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0710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5755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3B90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7DD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3517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ED2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4EED1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8EA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175D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7" w:leftChars="-51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（五）不予处理</w:t>
            </w: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F3C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1.</w:t>
            </w:r>
            <w:bookmarkStart w:id="7" w:name="_Hlk66975537"/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信访举报投诉类申请</w:t>
            </w:r>
            <w:bookmarkEnd w:id="7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06A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854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DAC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60F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50B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15F4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A5C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1C28A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1F34F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1A7F3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3D2D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2.重复申请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BD3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2A90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077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82EE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691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923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DF1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0525A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3E2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029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AD6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3.要求提供公开出版物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1C0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A08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9A7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557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CDC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C6F4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8CA9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5D1685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7E6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E650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68D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4.无正当理由大量反复申请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0A38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36D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035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B0F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61D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360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C71D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2AA3C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65101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0B6E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F2B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5.要求行政机关确认或重新</w:t>
            </w:r>
          </w:p>
          <w:p w14:paraId="6E39A1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firstLine="210" w:firstLineChars="100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  <w:t>出具已获取信息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E9C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3E3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147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828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03E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99A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5C1D0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4E3030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9CFD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8CC7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（六）其他处理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7E88B5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73AE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0FA3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5978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310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768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EB22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BA9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1B64B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2797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D86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10BAEA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D63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E7E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883F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4D2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33A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7F3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26C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2B599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2B81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169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8B4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8F4BE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仿宋_GB2312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highlight w:val="none"/>
              </w:rPr>
              <w:t>3.其他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F23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D80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B59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C507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DDA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493A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DA6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  <w:tr w14:paraId="76E86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DD5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467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4CB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（七）总计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5DB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1C3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1D56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7F56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01F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E2D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2D0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5D13A6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8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3FB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Cs w:val="21"/>
                <w:highlight w:val="none"/>
              </w:rPr>
              <w:t>四、结转下年度继续办理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C56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918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F7E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51BE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67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421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DAF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  <w:tc>
          <w:tcPr>
            <w:tcW w:w="70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D4E8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0</w:t>
            </w:r>
          </w:p>
        </w:tc>
      </w:tr>
    </w:tbl>
    <w:p w14:paraId="40A825B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textAlignment w:val="auto"/>
        <w:rPr>
          <w:rFonts w:ascii="Times New Roman" w:hAnsi="Times New Roman" w:eastAsia="仿宋_GB2312" w:cs="Times New Roman"/>
          <w:color w:val="FF0000"/>
          <w:kern w:val="0"/>
          <w:szCs w:val="21"/>
          <w:highlight w:val="none"/>
        </w:rPr>
      </w:pPr>
    </w:p>
    <w:p w14:paraId="34EA1BF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bCs/>
          <w:color w:val="333333"/>
          <w:kern w:val="0"/>
          <w:sz w:val="32"/>
          <w:szCs w:val="32"/>
          <w:highlight w:val="none"/>
          <w:shd w:val="clear" w:color="auto" w:fill="FFFFFF"/>
          <w:lang w:bidi="ar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4F2B6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568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4D25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79CD11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45D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43" w:leftChars="-21" w:right="-132" w:rightChars="-63" w:hanging="1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180ABF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49" w:leftChars="-71" w:right="-170" w:rightChars="-81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119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43" w:leftChars="-21" w:right="-132" w:rightChars="-63" w:hanging="1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CD4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82" w:leftChars="-39" w:right="-97" w:rightChars="-46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E61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44A946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18" w:leftChars="-56" w:right="-118" w:rightChars="-56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09B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总</w:t>
            </w:r>
          </w:p>
          <w:p w14:paraId="55D1424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032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EFB0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bookmarkStart w:id="8" w:name="_Hlk67039688"/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复议后起诉</w:t>
            </w:r>
            <w:bookmarkEnd w:id="8"/>
          </w:p>
        </w:tc>
      </w:tr>
      <w:tr w14:paraId="47E65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4227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75D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595B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B45D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02EC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692C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05" w:leftChars="-50" w:right="-126" w:rightChars="-60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609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86" w:leftChars="-41" w:right="-88" w:rightChars="-42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2F7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  <w:p w14:paraId="2DAABE5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26" w:leftChars="-60" w:right="-136" w:rightChars="-65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BE2C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56C912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64" w:leftChars="-78" w:right="-153" w:rightChars="-73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D2D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4AA2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99" w:leftChars="-47" w:right="-78" w:rightChars="-37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7E8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0331BF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36" w:leftChars="-65" w:right="-124" w:rightChars="-59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D68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  <w:p w14:paraId="24EC66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173" w:leftChars="-83" w:right="-134" w:rightChars="-64" w:hanging="1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390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-67" w:leftChars="-33" w:right="-105" w:rightChars="-50" w:hanging="2" w:hangingChars="1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6A8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ascii="Times New Roman" w:hAnsi="Times New Roman" w:eastAsia="黑体" w:cs="Times New Roman"/>
                <w:highlight w:val="none"/>
              </w:rPr>
            </w:pPr>
            <w:r>
              <w:rPr>
                <w:rFonts w:ascii="Times New Roman" w:hAnsi="Times New Roman" w:eastAsia="黑体" w:cs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343467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F3C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5100E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8E915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11A8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AE2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6131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CBF3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27A0A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D2E7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017A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80B2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CBCE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E70BF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8E6B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3FB4E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textAlignment w:val="auto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0</w:t>
            </w:r>
          </w:p>
        </w:tc>
      </w:tr>
    </w:tbl>
    <w:p w14:paraId="54E19A58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78" w:lineRule="exact"/>
        <w:ind w:firstLine="420"/>
        <w:jc w:val="both"/>
        <w:textAlignment w:val="auto"/>
        <w:rPr>
          <w:rFonts w:ascii="Times New Roman" w:hAnsi="Times New Roman" w:eastAsia="黑体"/>
          <w:bCs/>
          <w:color w:val="333333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ascii="Times New Roman" w:hAnsi="Times New Roman" w:eastAsia="黑体"/>
          <w:bCs/>
          <w:color w:val="333333"/>
          <w:sz w:val="32"/>
          <w:szCs w:val="32"/>
          <w:highlight w:val="none"/>
          <w:shd w:val="clear" w:color="auto" w:fill="FFFFFF"/>
          <w:lang w:bidi="ar"/>
        </w:rPr>
        <w:t>五、存在的主要问题及改进情况</w:t>
      </w:r>
    </w:p>
    <w:p w14:paraId="348EC5A4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存在的主要问题是：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安全生产、应急救援和防灾减灾等现场宣传主要集中的城区和部分单位，范围不够广泛；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政策解读形式单一，对青少年、老年人等群体适应性不足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；现场宣传的频次不够高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88C9603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</w:rPr>
        <w:t>改进措施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FFFFFF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安排更多工作人员参加现场宣传活动，将宣传活动地点扩散到更加广泛的地区；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丰富解读形式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开发方言音频、漫画图解等通俗化解读产品，计划2026年覆盖所有重点政策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；增加宣传频次。</w:t>
      </w:r>
    </w:p>
    <w:p w14:paraId="301E6231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420"/>
        <w:jc w:val="both"/>
        <w:textAlignment w:val="auto"/>
        <w:rPr>
          <w:rFonts w:ascii="Times New Roman" w:hAnsi="Times New Roman" w:eastAsia="黑体"/>
          <w:bCs/>
          <w:color w:val="333333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ascii="Times New Roman" w:hAnsi="Times New Roman" w:eastAsia="黑体"/>
          <w:bCs/>
          <w:color w:val="333333"/>
          <w:sz w:val="32"/>
          <w:szCs w:val="32"/>
          <w:highlight w:val="none"/>
          <w:shd w:val="clear" w:color="auto" w:fill="FFFFFF"/>
          <w:lang w:bidi="ar"/>
        </w:rPr>
        <w:t>六、其他需要报告的事项</w:t>
      </w:r>
    </w:p>
    <w:p w14:paraId="57E6DE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（一）信息处理费</w:t>
      </w:r>
    </w:p>
    <w:p w14:paraId="203445E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应急局未收取信息处理费。</w:t>
      </w:r>
    </w:p>
    <w:p w14:paraId="43D06C4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（二）上级年度政务公开工作要点落实情况。</w:t>
      </w:r>
    </w:p>
    <w:p w14:paraId="200B1611">
      <w:pPr>
        <w:pStyle w:val="7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县应急局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围绕法定公开内容、重点领域等及时公开各类信息。</w:t>
      </w:r>
    </w:p>
    <w:p w14:paraId="23664AB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（三）人大代表建议和政协提案办理情况。</w:t>
      </w:r>
    </w:p>
    <w:p w14:paraId="1467476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县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应急局共承办人大提案建议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件、政协提案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件，全部按时完成答复工作，建议提案办结率100%，代表委员满意率100%。</w:t>
      </w:r>
    </w:p>
    <w:p w14:paraId="54B60CD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（四）本行政机关年度政务公开工作创新情况。无。</w:t>
      </w:r>
    </w:p>
    <w:p w14:paraId="6DA4EB83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（五）报告数据统计说明。</w:t>
      </w:r>
    </w:p>
    <w:p w14:paraId="7517786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本报告所列数据统计期限为2025年1月1日至2025年12月31日。</w:t>
      </w:r>
    </w:p>
    <w:p w14:paraId="2458F98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（六）本行政机关认为需要报告的其他事项。无。</w:t>
      </w:r>
    </w:p>
    <w:p w14:paraId="11C8553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（七）其他有关文件专门要求通报告的事项。无。</w:t>
      </w:r>
    </w:p>
    <w:p w14:paraId="4271AAE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left="642" w:leftChars="0" w:right="0" w:rightChars="0"/>
        <w:jc w:val="righ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2AFFCC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left="642" w:leftChars="0" w:right="0" w:rightChars="0"/>
        <w:jc w:val="righ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 w14:paraId="7047AF2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left="642" w:leftChars="0" w:right="0" w:rightChars="0"/>
        <w:jc w:val="righ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昌乐县应急管理局</w:t>
      </w:r>
    </w:p>
    <w:p w14:paraId="0B78F46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before="0" w:beforeAutospacing="0" w:afterAutospacing="0" w:line="578" w:lineRule="exact"/>
        <w:ind w:left="642" w:leftChars="0" w:right="0" w:rightChars="0"/>
        <w:jc w:val="righ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2026年1月13日</w:t>
      </w:r>
    </w:p>
    <w:bookmarkEnd w:id="9"/>
    <w:sectPr>
      <w:pgSz w:w="11906" w:h="16838"/>
      <w:pgMar w:top="153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DJhYTY3OThkMzhjNGFkMDEzOTIxN2VmMjkwOGEifQ=="/>
    <w:docVar w:name="KSO_WPS_MARK_KEY" w:val="0461bd2f-738e-407c-a759-e9e618b8d765"/>
  </w:docVars>
  <w:rsids>
    <w:rsidRoot w:val="11AF18C8"/>
    <w:rsid w:val="0010537D"/>
    <w:rsid w:val="00172724"/>
    <w:rsid w:val="001C3E34"/>
    <w:rsid w:val="001C77E0"/>
    <w:rsid w:val="00251ECF"/>
    <w:rsid w:val="00340F86"/>
    <w:rsid w:val="00384BC8"/>
    <w:rsid w:val="00426F3A"/>
    <w:rsid w:val="0057590F"/>
    <w:rsid w:val="005B6F0B"/>
    <w:rsid w:val="005F098E"/>
    <w:rsid w:val="00637498"/>
    <w:rsid w:val="007C7C6B"/>
    <w:rsid w:val="00872E9D"/>
    <w:rsid w:val="008B4B9F"/>
    <w:rsid w:val="00A6603A"/>
    <w:rsid w:val="00B10034"/>
    <w:rsid w:val="00B3539E"/>
    <w:rsid w:val="00B44C2F"/>
    <w:rsid w:val="00BA683F"/>
    <w:rsid w:val="00C57B23"/>
    <w:rsid w:val="00CC125C"/>
    <w:rsid w:val="00D024F5"/>
    <w:rsid w:val="00D72738"/>
    <w:rsid w:val="00E34961"/>
    <w:rsid w:val="00E8733B"/>
    <w:rsid w:val="00EA71D2"/>
    <w:rsid w:val="00EC2230"/>
    <w:rsid w:val="00ED3D5D"/>
    <w:rsid w:val="00F95B6B"/>
    <w:rsid w:val="00FC3F4B"/>
    <w:rsid w:val="01432C7E"/>
    <w:rsid w:val="01ED2A18"/>
    <w:rsid w:val="030D40BE"/>
    <w:rsid w:val="069755AA"/>
    <w:rsid w:val="09167712"/>
    <w:rsid w:val="0CCF331F"/>
    <w:rsid w:val="0D3D7C96"/>
    <w:rsid w:val="106B51E8"/>
    <w:rsid w:val="11AF18C8"/>
    <w:rsid w:val="1A6A77C7"/>
    <w:rsid w:val="1A7540F1"/>
    <w:rsid w:val="1AC90DBB"/>
    <w:rsid w:val="1D9B6A3E"/>
    <w:rsid w:val="1E1E4F79"/>
    <w:rsid w:val="200A3FBA"/>
    <w:rsid w:val="200C7694"/>
    <w:rsid w:val="25E60A73"/>
    <w:rsid w:val="29282269"/>
    <w:rsid w:val="2D66147E"/>
    <w:rsid w:val="2DB476A8"/>
    <w:rsid w:val="305E2185"/>
    <w:rsid w:val="31757EC2"/>
    <w:rsid w:val="320B4854"/>
    <w:rsid w:val="325C06E3"/>
    <w:rsid w:val="33773D90"/>
    <w:rsid w:val="3519182B"/>
    <w:rsid w:val="39FC040D"/>
    <w:rsid w:val="42C42BDF"/>
    <w:rsid w:val="42E3685C"/>
    <w:rsid w:val="438F759E"/>
    <w:rsid w:val="43AB242A"/>
    <w:rsid w:val="460A6BEC"/>
    <w:rsid w:val="46DC1FBC"/>
    <w:rsid w:val="480839BE"/>
    <w:rsid w:val="48CE3FCA"/>
    <w:rsid w:val="48DE4D6F"/>
    <w:rsid w:val="499840BA"/>
    <w:rsid w:val="4A9324C2"/>
    <w:rsid w:val="4BDE3E16"/>
    <w:rsid w:val="4D241CFD"/>
    <w:rsid w:val="510319F7"/>
    <w:rsid w:val="51306129"/>
    <w:rsid w:val="521B3C00"/>
    <w:rsid w:val="5B0373F5"/>
    <w:rsid w:val="5E2D1110"/>
    <w:rsid w:val="60663C1E"/>
    <w:rsid w:val="6265500E"/>
    <w:rsid w:val="64265F03"/>
    <w:rsid w:val="643C22E4"/>
    <w:rsid w:val="6A2200E6"/>
    <w:rsid w:val="6A451B60"/>
    <w:rsid w:val="6D635AD2"/>
    <w:rsid w:val="6F377437"/>
    <w:rsid w:val="75B23626"/>
    <w:rsid w:val="77181135"/>
    <w:rsid w:val="78827DF3"/>
    <w:rsid w:val="78F03041"/>
    <w:rsid w:val="79D707CE"/>
    <w:rsid w:val="7C4603DF"/>
    <w:rsid w:val="7CF9445B"/>
    <w:rsid w:val="7EE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ascii="Times New Roman" w:hAnsi="Times New Roman" w:eastAsia="仿宋" w:cs="Times New Roman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仿宋" w:cs="Times New Roman"/>
    </w:r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2204</Words>
  <Characters>2282</Characters>
  <Lines>25</Lines>
  <Paragraphs>7</Paragraphs>
  <TotalTime>2</TotalTime>
  <ScaleCrop>false</ScaleCrop>
  <LinksUpToDate>false</LinksUpToDate>
  <CharactersWithSpaces>2282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2023-01-16T07:45:00Z</dcterms:created>
  <dc:creator>诗人与熊</dc:creator>
  <cp:lastModifiedBy>AA</cp:lastModifiedBy>
  <cp:lastPrinted>2026-01-13T02:43:00Z</cp:lastPrinted>
  <dcterms:modified xsi:type="dcterms:W3CDTF">2026-01-20T06:49:55Z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6B32E6DD202D416DB6973A1DD5595BBA</vt:lpwstr>
  </property>
  <property fmtid="{D5CDD505-2E9C-101B-9397-08002B2CF9AE}" pid="4" name="KSOTemplateDocerSaveRecord">
    <vt:lpwstr>eyJoZGlkIjoiZWMyNzdmNzczOTliOGFmYmM2YjUwNmEzNjI4ZjQ2NzQiLCJ1c2VySWQiOiIzMDkxNzU4MTIifQ==</vt:lpwstr>
  </property>
</Properties>
</file>