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0B1D"/>
    <w:p w14:paraId="54C2DA8F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昌乐县知识产权保护中心</w:t>
      </w:r>
    </w:p>
    <w:p w14:paraId="5B8666F3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年度报告</w:t>
      </w:r>
    </w:p>
    <w:p w14:paraId="3ED4453C">
      <w:pPr>
        <w:pStyle w:val="5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49DE7BD0">
      <w:pPr>
        <w:widowControl/>
        <w:spacing w:line="450" w:lineRule="atLeast"/>
        <w:ind w:firstLine="640"/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0"/>
          <w:shd w:val="clear" w:fill="FFFFFF"/>
        </w:rPr>
        <w:t>根据《中华人民共和国政府信息公开条例》、《山东省政府信息公开办法》、《昌乐县人民政府办公室关于做好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年政府信息公开工作年度报告编制发布和报送工作的通知》有关要求，结合我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实际，编制并向社会公布昌乐县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eastAsia="zh-CN"/>
        </w:rPr>
        <w:t>知识产权保护中心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年政府信息公开工作年度报告。本年度报告中所列数据的统计期限自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日起，至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日止。如对本报告有疑问，请联系昌乐县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eastAsia="zh-CN"/>
        </w:rPr>
        <w:t>知识产权保护中心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办公室，联系电话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/>
        </w:rPr>
        <w:t>:0536-62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  <w:lang w:val="en-US" w:eastAsia="zh-CN"/>
        </w:rPr>
        <w:t>70236</w:t>
      </w:r>
      <w:r>
        <w:rPr>
          <w:rFonts w:hint="eastAsia" w:ascii="仿宋" w:hAnsi="仿宋" w:eastAsia="仿宋" w:cs="仿宋"/>
          <w:color w:val="000000"/>
          <w:sz w:val="32"/>
          <w:szCs w:val="30"/>
          <w:shd w:val="clear" w:fill="FFFFFF"/>
        </w:rPr>
        <w:t>。</w:t>
      </w:r>
    </w:p>
    <w:p w14:paraId="60EA68EF">
      <w:pPr>
        <w:widowControl/>
        <w:spacing w:line="450" w:lineRule="atLeast"/>
        <w:ind w:firstLine="64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 w14:paraId="69682DE8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知识产权保护中心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认真贯彻落实《中华人民共和国政府信息公开条例》相关规定，立足部门职能，健全组织机构，认真开展政府信息公开工作，保障了政府信息公开工作依法、及时、准确、有序地开展。</w:t>
      </w:r>
    </w:p>
    <w:p w14:paraId="1EC52C74">
      <w:pPr>
        <w:widowControl/>
        <w:spacing w:line="450" w:lineRule="atLeast"/>
        <w:ind w:firstLine="640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（一）主动公开情况。在中国·昌乐门户网站县知识产权保护中心专栏公布机构职能、组织管理、政策解读、工作信息、公共监管信息等信息，全年共公开政务信息2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条。</w:t>
      </w:r>
    </w:p>
    <w:p w14:paraId="157ABFFE">
      <w:pPr>
        <w:jc w:val="center"/>
        <w:rPr>
          <w:kern w:val="0"/>
        </w:rPr>
      </w:pPr>
      <w:r>
        <w:drawing>
          <wp:inline distT="0" distB="0" distL="114300" distR="114300">
            <wp:extent cx="4377690" cy="23469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9754" t="13166" r="7225" b="7707"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CC39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（二）建议提案办理结果公开情况。20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中心</w:t>
      </w:r>
      <w:r>
        <w:rPr>
          <w:rFonts w:ascii="仿宋_GB2312" w:hAnsi="宋体" w:eastAsia="仿宋_GB2312" w:cs="宋体"/>
          <w:kern w:val="0"/>
          <w:sz w:val="32"/>
          <w:szCs w:val="32"/>
        </w:rPr>
        <w:t>共承办人大建议、政协提案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件，其中人大代表建议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件，政协委员提案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人大代表</w:t>
      </w:r>
      <w:r>
        <w:rPr>
          <w:rFonts w:ascii="仿宋_GB2312" w:hAnsi="宋体" w:eastAsia="仿宋_GB2312" w:cs="宋体"/>
          <w:kern w:val="0"/>
          <w:sz w:val="32"/>
          <w:szCs w:val="32"/>
        </w:rPr>
        <w:t>满意率和见面答复率均为100%，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已</w:t>
      </w:r>
      <w:r>
        <w:rPr>
          <w:rFonts w:ascii="仿宋_GB2312" w:hAnsi="宋体" w:eastAsia="仿宋_GB2312" w:cs="宋体"/>
          <w:kern w:val="0"/>
          <w:sz w:val="32"/>
          <w:szCs w:val="32"/>
        </w:rPr>
        <w:t>通过中国·昌乐门户网站向社会公开。</w:t>
      </w:r>
    </w:p>
    <w:p w14:paraId="2DB792E9">
      <w:pPr>
        <w:ind w:firstLine="640"/>
        <w:rPr>
          <w:kern w:val="0"/>
        </w:rPr>
      </w:pPr>
    </w:p>
    <w:p w14:paraId="75C73244">
      <w:pPr>
        <w:widowControl/>
        <w:spacing w:line="450" w:lineRule="atLeast"/>
        <w:ind w:firstLine="640"/>
        <w:jc w:val="left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（三）依申请公开情况。20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年，我单位未收到依申请公开案件。</w:t>
      </w:r>
    </w:p>
    <w:p w14:paraId="5EDEC235">
      <w:pPr>
        <w:widowControl/>
        <w:spacing w:line="450" w:lineRule="atLeast"/>
        <w:ind w:firstLine="640"/>
        <w:jc w:val="left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（四）政府信息管理。建立健全政府信息公开制度，进一步完善政务信息常态化管理机制，及时开展对相关政策措施进行解读和宣传，开展信息公开培训，提升业务能力。</w:t>
      </w:r>
    </w:p>
    <w:p w14:paraId="0D82BCB4">
      <w:pPr>
        <w:widowControl/>
        <w:spacing w:line="450" w:lineRule="atLeast"/>
        <w:ind w:firstLine="640"/>
        <w:jc w:val="left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（五）机构建设及人员配置情况。成立政务公开领导小组，明确职责分工，落实专人负责上传工作，促进政府信息公开工作规范有序推进。强化监督机制，确保公开到位，建立长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效管理机制，进一步规范各项流程操作，确保政务公开工作扎实有效地推进。同时，中心内各科室也将配合办公室及时公开发布信息，确保信息准确性和时效性。健全完善培训机制，周密组织政府信息公开培训，认真学习《中华人民共和国政府信息公开条例》，吃透上级法规、文件精神，积极组织开展政府信息公开各项工作。</w:t>
      </w:r>
    </w:p>
    <w:p w14:paraId="219F96E5">
      <w:pPr>
        <w:widowControl/>
        <w:spacing w:line="450" w:lineRule="atLeast"/>
        <w:ind w:firstLine="640"/>
        <w:jc w:val="left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）公开平台建设。县知识产权保护中心把政府门户网站作为政府信息公开的第一平台，并按机构职能、组织管理、政策解读、工作信息等对各类信息进行分类、建立索引目录，层次明确，逻辑清晰地组织和发布，方便公众查询和使用。</w:t>
      </w:r>
    </w:p>
    <w:p w14:paraId="23A47573">
      <w:pPr>
        <w:widowControl/>
        <w:spacing w:after="240" w:line="450" w:lineRule="atLeast"/>
        <w:ind w:firstLine="640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）监督保障。成立政务公开领导小组，明确职责分工，落实专人负责审查、上传工作，促进政府信息公开工作规范有序推进。强化监督机制，确保公开到位，建立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长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效管理机制，进一步规范各项流程操作，确保政务公开工作扎实有效地推进。</w:t>
      </w:r>
    </w:p>
    <w:p w14:paraId="6567D19C">
      <w:pPr>
        <w:pStyle w:val="5"/>
        <w:widowControl/>
        <w:shd w:val="clear" w:color="auto" w:fill="FFFFFF"/>
        <w:spacing w:beforeAutospacing="0" w:afterAutospacing="0"/>
        <w:ind w:firstLine="641"/>
        <w:jc w:val="both"/>
        <w:rPr>
          <w:rFonts w:ascii="黑体" w:hAnsi="黑体" w:eastAsia="黑体" w:cs="黑体"/>
          <w:b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2CA28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FFFB0C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74D49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77C49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A42D1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B2466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75286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 w14:paraId="213350A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 w14:paraId="36CA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C56B4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A3C5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7DA8E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F8FA6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04038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3B3FB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03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378B6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D5FFA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51ACA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56D7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7D913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F742D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990E8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4231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C389A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7B0A1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4CB5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77617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EE17B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219CF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05B95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6AB0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9DEB8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41C7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A14F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</w:tr>
      <w:tr w14:paraId="45835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44BD3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63690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2E5C3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A690D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68029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4348F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2B82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27833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5B87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8A7B0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F658B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7177B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0C261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7CF08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D69F0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61A5A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298EB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7BE62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22504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C49EC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272EC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88D58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 w14:paraId="66AD9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3100B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780CE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E2A31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</w:tr>
      <w:tr w14:paraId="098A3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6F4A7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14:paraId="500F7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5506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DB610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6F7B7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 w14:paraId="3CFCC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48E6E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9EAD8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0FBB2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 w14:paraId="3C54D423">
      <w:pPr>
        <w:pStyle w:val="5"/>
        <w:widowControl/>
        <w:shd w:val="clear" w:color="auto" w:fill="FFFFFF"/>
        <w:spacing w:beforeAutospacing="0" w:afterAutospacing="0"/>
        <w:ind w:left="-199" w:leftChars="-95" w:firstLine="618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484BA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722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4435E31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3370E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424D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D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28DA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0BAD5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F62C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4D856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6BD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CA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3CB2A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AA27A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81DFB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A4160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D766C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CF2A1">
            <w:pPr>
              <w:jc w:val="center"/>
              <w:rPr>
                <w:rFonts w:ascii="宋体"/>
                <w:sz w:val="24"/>
              </w:rPr>
            </w:pPr>
          </w:p>
        </w:tc>
      </w:tr>
      <w:tr w14:paraId="6A7699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2EC88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68BF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2C2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CF40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1F1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686C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83AE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37B7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9C615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99100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FCBD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FD2D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BCA0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A6DD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5D39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25AF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0ACB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885E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8E8F3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FD23A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62A9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16CD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3A4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8551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7253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3331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5C46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12D7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30554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DE0FF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2C88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8D16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EA3C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C66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9EC7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4FEC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7257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C050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B058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01164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B07C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4EB7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E728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D2FA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EC68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AC00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ED61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0953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DC85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EA32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38C1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54D1D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22B1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ABA9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911A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F308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709A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1784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D9EB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A454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54A2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76AF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CCEF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3394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671E2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A45C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F34A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1A61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DFEF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CFC5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98D64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790C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63625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05AC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D4B6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98F7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6E77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7E32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BCFD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8FC8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0D2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E5D2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02A2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88513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0671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E9C3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599CF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877F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88B8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7AFD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5B19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1D74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F0C6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8824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375A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AD89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B4A82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7DD7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A367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3090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398C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729B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B89B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BBB6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C5BE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E00CF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A16F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2C20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D6D6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A544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1F40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DCAF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0A00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59FB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25776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A80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8843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C03B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4487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EE1A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03F0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5ED8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F78C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27EB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A613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027A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EFCBB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D93E6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3FEE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7D44F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D5A1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CBD5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70CE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B947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53BD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D1D0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96A18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542FB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627AB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D7E7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B5F8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7559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A298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3F4A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DA12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67EC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2D9E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9B0D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9671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7BA6C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8512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453B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8D741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AEF7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CAF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B72A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8623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42C7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16C0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54F1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7AD2A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1D65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7867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800E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36A8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7364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B945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A0D1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02C4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3D947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5C1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DFBD4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80463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D282F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0B60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D03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B93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C7B6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B3F0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F21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3BAE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CF18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B427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470C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AD6C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8D36B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B038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314F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A250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9D7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0FCF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07B39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5BD3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27AD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B91E9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1B79B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04DF2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FEB9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BAF9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79F9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353B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B818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29200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8346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06CA3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CC607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534B366B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E404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9B93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B016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D4EB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C46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46F7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6F87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8F7CE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D3B96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2D4BE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6B70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BAB9F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64F1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550A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8E3A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C757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1C5D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B410F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EB335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AF19E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C249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F842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F5DC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EDCD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DB36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C061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4F5F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CD73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2A7CE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80DF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81A4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B229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C82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D5D3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5E5A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BD9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D3B98D5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497DEAE6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4A21D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1C81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4DB2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2289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88028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259ED62B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27F9E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7EAA4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1177B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7D0BAF77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55F4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56D77A8F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C02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CF0E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6910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732A8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51B9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1CF93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36FF3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494E2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80B1F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0C618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AF9BD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09A4D27F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23221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167E305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656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DE87B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403E0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8981886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6BBE5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510108C0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63F84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4610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FBCF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5AE0D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4F521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64BE5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D5480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B3E56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AE87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0AB0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C03C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3F02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98A4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FE31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D733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5CF3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79E6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6A2A8"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581D389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2DCC0BF2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 xml:space="preserve"> 五、存在的主要问题及改进情况</w:t>
      </w:r>
    </w:p>
    <w:p w14:paraId="4E2348D1">
      <w:pPr>
        <w:widowControl/>
        <w:spacing w:line="600" w:lineRule="exact"/>
        <w:ind w:firstLine="643" w:firstLineChars="2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（一）2019年问题整改情况。</w:t>
      </w:r>
    </w:p>
    <w:p w14:paraId="375D9385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一是进一步提升政务公开信息的质量，对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和知识产权工作相关的专利补助、质押融资、专利奖等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进行了公开。二是结合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知识产权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工作实际及时对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工作动态及上级有关方面的政策进行了公开。</w:t>
      </w:r>
    </w:p>
    <w:p w14:paraId="005B6EF8">
      <w:pPr>
        <w:widowControl/>
        <w:spacing w:line="600" w:lineRule="exact"/>
        <w:ind w:firstLine="643" w:firstLineChars="2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（二）2020年存在的问题。</w:t>
      </w:r>
    </w:p>
    <w:p w14:paraId="7F6E7864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一是公开力度需进一步加大。主动公开目录需进一步细化，公开手段不够丰富，公开内容不够深化、细化，重点工作公开信息需进一步强化。</w:t>
      </w:r>
    </w:p>
    <w:p w14:paraId="2C5A5E19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二是信息公开队伍建设需进一步加强。涉及公开信息内容科室单位对信息公开工作认识不足，对《政府信息公开条例》学习不够深刻。</w:t>
      </w:r>
    </w:p>
    <w:p w14:paraId="29B0D767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三是公开渠道比较单一。主要通过昌乐政府门户网站公开的内容多，其他渠道公开的少。</w:t>
      </w:r>
    </w:p>
    <w:p w14:paraId="7F8CCAE3">
      <w:pPr>
        <w:widowControl/>
        <w:spacing w:line="600" w:lineRule="exact"/>
        <w:ind w:firstLine="643" w:firstLineChars="2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（三）改进措施。</w:t>
      </w:r>
    </w:p>
    <w:p w14:paraId="45257696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一是加大公开力度。完善主动公开系统目录，结合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知识产权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工作实际，及时将与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企业、个人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利益相关的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专利补助、专利奖、质押融资等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工作公开。</w:t>
      </w:r>
    </w:p>
    <w:p w14:paraId="14644E57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二是加强信息公开队伍建设。各科室单位配备一名政务公开联络员，加强政务公开工作人员培训，切实提高工作人员对政务公开工作的认识水平和工作能力。</w:t>
      </w:r>
    </w:p>
    <w:p w14:paraId="736395A5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三是拓宽信息公开渠道。利用昌乐政府门户网站及时发布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产权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工作动态信息，确保政务公开工作的及时性和覆盖度。</w:t>
      </w:r>
    </w:p>
    <w:p w14:paraId="7E49E622">
      <w:pPr>
        <w:pStyle w:val="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 w14:paraId="31911DA4">
      <w:pPr>
        <w:pStyle w:val="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我单位无其他需要报告的事项。</w:t>
      </w:r>
    </w:p>
    <w:p w14:paraId="71F76511">
      <w:pPr>
        <w:pStyle w:val="5"/>
        <w:widowControl/>
        <w:shd w:val="clear" w:color="auto" w:fill="FFFFFF"/>
        <w:spacing w:beforeAutospacing="0" w:afterAutospacing="0"/>
        <w:ind w:firstLine="420"/>
        <w:jc w:val="right"/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昌乐县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知识产权保护中心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年1月2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日</w:t>
      </w:r>
    </w:p>
    <w:p w14:paraId="190FDC63">
      <w:pPr>
        <w:pStyle w:val="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default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B5B0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5238"/>
    <w:rsid w:val="00034848"/>
    <w:rsid w:val="00046E9E"/>
    <w:rsid w:val="000C5FFD"/>
    <w:rsid w:val="000F66E8"/>
    <w:rsid w:val="001076E0"/>
    <w:rsid w:val="00147E82"/>
    <w:rsid w:val="00157CDE"/>
    <w:rsid w:val="00245238"/>
    <w:rsid w:val="00316CEA"/>
    <w:rsid w:val="003247E5"/>
    <w:rsid w:val="00340665"/>
    <w:rsid w:val="00355FB3"/>
    <w:rsid w:val="005E1DC4"/>
    <w:rsid w:val="006C71BA"/>
    <w:rsid w:val="006D26F7"/>
    <w:rsid w:val="006F23FB"/>
    <w:rsid w:val="006F4832"/>
    <w:rsid w:val="0073032A"/>
    <w:rsid w:val="00765D79"/>
    <w:rsid w:val="00765EE3"/>
    <w:rsid w:val="00775D8D"/>
    <w:rsid w:val="007D2BE0"/>
    <w:rsid w:val="007E0F5D"/>
    <w:rsid w:val="0081704E"/>
    <w:rsid w:val="0094795C"/>
    <w:rsid w:val="00962195"/>
    <w:rsid w:val="00990B82"/>
    <w:rsid w:val="009B64AD"/>
    <w:rsid w:val="00A0083C"/>
    <w:rsid w:val="00A01922"/>
    <w:rsid w:val="00A04938"/>
    <w:rsid w:val="00A753A3"/>
    <w:rsid w:val="00BB31B3"/>
    <w:rsid w:val="00C5774F"/>
    <w:rsid w:val="00C74327"/>
    <w:rsid w:val="00D33036"/>
    <w:rsid w:val="00D97EE0"/>
    <w:rsid w:val="00DE0731"/>
    <w:rsid w:val="00E05266"/>
    <w:rsid w:val="00E2470A"/>
    <w:rsid w:val="00EA5251"/>
    <w:rsid w:val="00F079A6"/>
    <w:rsid w:val="00F17D27"/>
    <w:rsid w:val="00FB078E"/>
    <w:rsid w:val="09A819B0"/>
    <w:rsid w:val="0A1313AA"/>
    <w:rsid w:val="1AF06308"/>
    <w:rsid w:val="295D5D73"/>
    <w:rsid w:val="2E4659D7"/>
    <w:rsid w:val="3AD2717E"/>
    <w:rsid w:val="467E6970"/>
    <w:rsid w:val="49D25CE3"/>
    <w:rsid w:val="4A612673"/>
    <w:rsid w:val="4E392148"/>
    <w:rsid w:val="56916C03"/>
    <w:rsid w:val="5ABC5F33"/>
    <w:rsid w:val="60B155F0"/>
    <w:rsid w:val="614151D8"/>
    <w:rsid w:val="65CF6788"/>
    <w:rsid w:val="73A96EA7"/>
    <w:rsid w:val="7D0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800080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ascii="微软雅黑" w:hAnsi="微软雅黑" w:eastAsia="微软雅黑" w:cs="微软雅黑"/>
      <w:color w:val="0000FF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p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2407</Words>
  <Characters>2476</Characters>
  <Lines>16</Lines>
  <Paragraphs>4</Paragraphs>
  <TotalTime>33</TotalTime>
  <ScaleCrop>false</ScaleCrop>
  <LinksUpToDate>false</LinksUpToDate>
  <CharactersWithSpaces>2525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2020-01-14T00:49:00Z</dcterms:created>
  <dc:creator>Micorosoft</dc:creator>
  <cp:lastModifiedBy>AA</cp:lastModifiedBy>
  <cp:lastPrinted>2021-01-22T07:47:00Z</cp:lastPrinted>
  <dcterms:modified xsi:type="dcterms:W3CDTF">2026-03-25T03:06:49Z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8F2906AF01C94AD4A2B9C9C8B35F6BDD_12</vt:lpwstr>
  </property>
</Properties>
</file>