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FA9C0">
      <w:pPr>
        <w:spacing w:line="600" w:lineRule="exact"/>
        <w:jc w:val="center"/>
        <w:rPr>
          <w:rFonts w:hint="eastAsia" w:ascii="方正小标宋简体" w:eastAsia="方正小标宋简体"/>
          <w:color w:val="auto"/>
          <w:sz w:val="44"/>
          <w:szCs w:val="44"/>
          <w:lang w:eastAsia="zh-CN"/>
        </w:rPr>
      </w:pPr>
    </w:p>
    <w:p w14:paraId="6ED21E58">
      <w:pPr>
        <w:spacing w:line="600" w:lineRule="exact"/>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lang w:eastAsia="zh-CN"/>
        </w:rPr>
        <w:t>昌乐县自然资源和规划局</w:t>
      </w:r>
      <w:r>
        <w:rPr>
          <w:rFonts w:hint="eastAsia" w:ascii="方正小标宋简体" w:eastAsia="方正小标宋简体"/>
          <w:b/>
          <w:bCs/>
          <w:color w:val="auto"/>
          <w:sz w:val="44"/>
          <w:szCs w:val="44"/>
          <w:lang w:val="en-US" w:eastAsia="zh-CN"/>
        </w:rPr>
        <w:t xml:space="preserve">               2024年</w:t>
      </w:r>
      <w:r>
        <w:rPr>
          <w:rFonts w:hint="eastAsia" w:ascii="方正小标宋简体" w:eastAsia="方正小标宋简体"/>
          <w:b/>
          <w:bCs/>
          <w:color w:val="auto"/>
          <w:sz w:val="44"/>
          <w:szCs w:val="44"/>
        </w:rPr>
        <w:t>政府信息公开工作年度报告</w:t>
      </w:r>
    </w:p>
    <w:p w14:paraId="16F99FFB">
      <w:pPr>
        <w:spacing w:line="600" w:lineRule="exact"/>
        <w:ind w:firstLine="640" w:firstLineChars="200"/>
        <w:rPr>
          <w:rFonts w:ascii="仿宋_GB2312" w:eastAsia="仿宋_GB2312"/>
          <w:color w:val="auto"/>
          <w:sz w:val="32"/>
          <w:szCs w:val="32"/>
        </w:rPr>
      </w:pPr>
    </w:p>
    <w:p w14:paraId="41A24285">
      <w:pPr>
        <w:pStyle w:val="2"/>
        <w:pageBreakBefore w:val="0"/>
        <w:kinsoku/>
        <w:wordWrap/>
        <w:overflowPunct/>
        <w:topLinePunct w:val="0"/>
        <w:autoSpaceDE/>
        <w:autoSpaceDN/>
        <w:bidi w:val="0"/>
        <w:adjustRightInd/>
        <w:snapToGrid/>
        <w:spacing w:before="0" w:after="0"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b w:val="0"/>
          <w:bCs w:val="0"/>
          <w:color w:val="auto"/>
          <w:shd w:val="clear" w:color="auto" w:fill="FFFFFF"/>
        </w:rPr>
        <w:t>根据《中华人民共和国政府信息公开条例》</w:t>
      </w:r>
      <w:r>
        <w:rPr>
          <w:rFonts w:hint="eastAsia" w:ascii="仿宋_GB2312" w:hAnsi="仿宋_GB2312" w:eastAsia="仿宋_GB2312" w:cs="仿宋_GB2312"/>
          <w:b w:val="0"/>
          <w:bCs w:val="0"/>
          <w:color w:val="auto"/>
          <w:shd w:val="clear" w:color="auto" w:fill="FFFFFF"/>
          <w:lang w:eastAsia="zh-CN"/>
        </w:rPr>
        <w:t>及</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eastAsia="zh-CN"/>
        </w:rPr>
        <w:t>昌乐县</w:t>
      </w:r>
      <w:r>
        <w:rPr>
          <w:rFonts w:hint="eastAsia" w:ascii="仿宋_GB2312" w:hAnsi="仿宋_GB2312" w:eastAsia="仿宋_GB2312" w:cs="仿宋_GB2312"/>
          <w:b w:val="0"/>
          <w:bCs w:val="0"/>
          <w:i w:val="0"/>
          <w:caps w:val="0"/>
          <w:color w:val="auto"/>
          <w:spacing w:val="0"/>
          <w:sz w:val="32"/>
          <w:szCs w:val="32"/>
          <w:shd w:val="clear" w:fill="FFFFFF"/>
        </w:rPr>
        <w:t>人民政府办公室关于做好202</w:t>
      </w: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年政府信息公开工作年度报告编制发布</w:t>
      </w:r>
      <w:r>
        <w:rPr>
          <w:rFonts w:hint="eastAsia" w:ascii="仿宋_GB2312" w:hAnsi="仿宋_GB2312" w:eastAsia="仿宋_GB2312" w:cs="仿宋_GB2312"/>
          <w:b w:val="0"/>
          <w:bCs w:val="0"/>
          <w:i w:val="0"/>
          <w:caps w:val="0"/>
          <w:color w:val="auto"/>
          <w:spacing w:val="0"/>
          <w:sz w:val="32"/>
          <w:szCs w:val="32"/>
          <w:shd w:val="clear" w:fill="FFFFFF"/>
          <w:lang w:eastAsia="zh-CN"/>
        </w:rPr>
        <w:t>和报送</w:t>
      </w:r>
      <w:r>
        <w:rPr>
          <w:rFonts w:hint="eastAsia" w:ascii="仿宋_GB2312" w:hAnsi="仿宋_GB2312" w:eastAsia="仿宋_GB2312" w:cs="仿宋_GB2312"/>
          <w:b w:val="0"/>
          <w:bCs w:val="0"/>
          <w:i w:val="0"/>
          <w:caps w:val="0"/>
          <w:color w:val="auto"/>
          <w:spacing w:val="0"/>
          <w:sz w:val="32"/>
          <w:szCs w:val="32"/>
          <w:shd w:val="clear" w:fill="FFFFFF"/>
        </w:rPr>
        <w:t>工作的通知》要求</w:t>
      </w:r>
      <w:r>
        <w:rPr>
          <w:rFonts w:hint="eastAsia" w:ascii="仿宋_GB2312" w:hAnsi="仿宋_GB2312" w:eastAsia="仿宋_GB2312" w:cs="仿宋_GB2312"/>
          <w:b w:val="0"/>
          <w:bCs w:val="0"/>
          <w:color w:val="auto"/>
          <w:sz w:val="32"/>
          <w:szCs w:val="32"/>
          <w:shd w:val="clear" w:color="auto" w:fill="FFFFFF"/>
        </w:rPr>
        <w:t>，结合我局</w:t>
      </w:r>
      <w:r>
        <w:rPr>
          <w:rFonts w:hint="eastAsia" w:ascii="仿宋_GB2312" w:hAnsi="仿宋_GB2312" w:eastAsia="仿宋_GB2312" w:cs="仿宋_GB2312"/>
          <w:b w:val="0"/>
          <w:bCs w:val="0"/>
          <w:color w:val="auto"/>
          <w:sz w:val="32"/>
          <w:szCs w:val="32"/>
          <w:shd w:val="clear" w:color="auto" w:fill="FFFFFF"/>
          <w:lang w:eastAsia="zh-CN"/>
        </w:rPr>
        <w:t>工作</w:t>
      </w:r>
      <w:r>
        <w:rPr>
          <w:rFonts w:hint="eastAsia" w:ascii="仿宋_GB2312" w:hAnsi="仿宋_GB2312" w:eastAsia="仿宋_GB2312" w:cs="仿宋_GB2312"/>
          <w:b w:val="0"/>
          <w:bCs w:val="0"/>
          <w:color w:val="auto"/>
          <w:sz w:val="32"/>
          <w:szCs w:val="32"/>
          <w:shd w:val="clear" w:color="auto" w:fill="FFFFFF"/>
        </w:rPr>
        <w:t>实际，编制并向社会公布昌乐县自然资源</w:t>
      </w:r>
      <w:r>
        <w:rPr>
          <w:rFonts w:hint="eastAsia" w:ascii="仿宋_GB2312" w:hAnsi="仿宋_GB2312" w:eastAsia="仿宋_GB2312" w:cs="仿宋_GB2312"/>
          <w:b w:val="0"/>
          <w:bCs w:val="0"/>
          <w:color w:val="auto"/>
          <w:shd w:val="clear" w:color="auto" w:fill="FFFFFF"/>
        </w:rPr>
        <w:t>和规划局202</w:t>
      </w:r>
      <w:r>
        <w:rPr>
          <w:rFonts w:hint="eastAsia" w:ascii="仿宋_GB2312" w:hAnsi="仿宋_GB2312" w:eastAsia="仿宋_GB2312" w:cs="仿宋_GB2312"/>
          <w:b w:val="0"/>
          <w:bCs w:val="0"/>
          <w:color w:val="auto"/>
          <w:shd w:val="clear" w:color="auto" w:fill="FFFFFF"/>
          <w:lang w:val="en-US" w:eastAsia="zh-CN"/>
        </w:rPr>
        <w:t>4</w:t>
      </w:r>
      <w:r>
        <w:rPr>
          <w:rFonts w:hint="eastAsia" w:ascii="仿宋_GB2312" w:hAnsi="仿宋_GB2312" w:eastAsia="仿宋_GB2312" w:cs="仿宋_GB2312"/>
          <w:b w:val="0"/>
          <w:bCs w:val="0"/>
          <w:color w:val="auto"/>
          <w:shd w:val="clear" w:color="auto" w:fill="FFFFFF"/>
        </w:rPr>
        <w:t>年政府信息公开</w:t>
      </w:r>
      <w:r>
        <w:rPr>
          <w:rFonts w:hint="eastAsia" w:ascii="仿宋_GB2312" w:hAnsi="仿宋_GB2312" w:eastAsia="仿宋_GB2312" w:cs="仿宋_GB2312"/>
          <w:b w:val="0"/>
          <w:bCs w:val="0"/>
          <w:color w:val="auto"/>
          <w:shd w:val="clear" w:color="auto" w:fill="FFFFFF"/>
          <w:lang w:eastAsia="zh-CN"/>
        </w:rPr>
        <w:t>工作</w:t>
      </w:r>
      <w:r>
        <w:rPr>
          <w:rFonts w:hint="eastAsia" w:ascii="仿宋_GB2312" w:hAnsi="仿宋_GB2312" w:eastAsia="仿宋_GB2312" w:cs="仿宋_GB2312"/>
          <w:b w:val="0"/>
          <w:bCs w:val="0"/>
          <w:color w:val="auto"/>
          <w:shd w:val="clear" w:color="auto" w:fill="FFFFFF"/>
        </w:rPr>
        <w:t>年度报告。本年度报告中所列数据的统计期限自202</w:t>
      </w:r>
      <w:r>
        <w:rPr>
          <w:rFonts w:hint="eastAsia" w:ascii="仿宋_GB2312" w:hAnsi="仿宋_GB2312" w:eastAsia="仿宋_GB2312" w:cs="仿宋_GB2312"/>
          <w:b w:val="0"/>
          <w:bCs w:val="0"/>
          <w:color w:val="auto"/>
          <w:shd w:val="clear" w:color="auto" w:fill="FFFFFF"/>
          <w:lang w:val="en-US" w:eastAsia="zh-CN"/>
        </w:rPr>
        <w:t>4</w:t>
      </w:r>
      <w:r>
        <w:rPr>
          <w:rFonts w:hint="eastAsia" w:ascii="仿宋_GB2312" w:hAnsi="仿宋_GB2312" w:eastAsia="仿宋_GB2312" w:cs="仿宋_GB2312"/>
          <w:b w:val="0"/>
          <w:bCs w:val="0"/>
          <w:color w:val="auto"/>
          <w:shd w:val="clear" w:color="auto" w:fill="FFFFFF"/>
        </w:rPr>
        <w:t>年1月1日起，至202</w:t>
      </w:r>
      <w:r>
        <w:rPr>
          <w:rFonts w:hint="eastAsia" w:ascii="仿宋_GB2312" w:hAnsi="仿宋_GB2312" w:eastAsia="仿宋_GB2312" w:cs="仿宋_GB2312"/>
          <w:b w:val="0"/>
          <w:bCs w:val="0"/>
          <w:color w:val="auto"/>
          <w:shd w:val="clear" w:color="auto" w:fill="FFFFFF"/>
          <w:lang w:val="en-US" w:eastAsia="zh-CN"/>
        </w:rPr>
        <w:t>4</w:t>
      </w:r>
      <w:r>
        <w:rPr>
          <w:rFonts w:hint="eastAsia" w:ascii="仿宋_GB2312" w:hAnsi="仿宋_GB2312" w:eastAsia="仿宋_GB2312" w:cs="仿宋_GB2312"/>
          <w:b w:val="0"/>
          <w:bCs w:val="0"/>
          <w:color w:val="auto"/>
          <w:shd w:val="clear" w:color="auto" w:fill="FFFFFF"/>
        </w:rPr>
        <w:t>年12月31日止。如对本报告有疑问，请联系昌乐县自然资源和规划局政策法规科，联系电话:0536-6231693。</w:t>
      </w:r>
    </w:p>
    <w:p w14:paraId="76F750E6">
      <w:pPr>
        <w:pageBreakBefore w:val="0"/>
        <w:kinsoku/>
        <w:wordWrap/>
        <w:overflowPunct/>
        <w:topLinePunct w:val="0"/>
        <w:autoSpaceDE/>
        <w:autoSpaceDN/>
        <w:bidi w:val="0"/>
        <w:adjustRightInd/>
        <w:snapToGrid/>
        <w:spacing w:line="560" w:lineRule="exact"/>
        <w:ind w:firstLine="640" w:firstLineChars="200"/>
        <w:rPr>
          <w:rFonts w:ascii="楷体_GB2312" w:eastAsia="楷体_GB2312"/>
          <w:b/>
          <w:bCs/>
          <w:color w:val="auto"/>
          <w:sz w:val="32"/>
          <w:szCs w:val="32"/>
        </w:rPr>
      </w:pPr>
      <w:r>
        <w:rPr>
          <w:rFonts w:hint="eastAsia" w:ascii="黑体" w:hAnsi="黑体" w:eastAsia="黑体"/>
          <w:color w:val="auto"/>
          <w:sz w:val="32"/>
          <w:szCs w:val="32"/>
        </w:rPr>
        <w:t>一、</w:t>
      </w:r>
      <w:r>
        <w:rPr>
          <w:rFonts w:hint="eastAsia" w:ascii="黑体" w:hAnsi="黑体" w:eastAsia="黑体" w:cs="黑体"/>
          <w:b/>
          <w:bCs/>
          <w:color w:val="auto"/>
          <w:sz w:val="32"/>
          <w:szCs w:val="32"/>
        </w:rPr>
        <w:t>总体情况</w:t>
      </w:r>
    </w:p>
    <w:p w14:paraId="22394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2024年，</w:t>
      </w:r>
      <w:r>
        <w:rPr>
          <w:rFonts w:hint="eastAsia" w:ascii="仿宋_GB2312" w:hAnsi="仿宋_GB2312" w:eastAsia="仿宋_GB2312" w:cs="仿宋_GB2312"/>
          <w:i w:val="0"/>
          <w:caps w:val="0"/>
          <w:color w:val="333333"/>
          <w:spacing w:val="0"/>
          <w:sz w:val="32"/>
          <w:szCs w:val="32"/>
          <w:shd w:val="clear" w:fill="FFFFFF"/>
          <w:lang w:eastAsia="zh-CN"/>
        </w:rPr>
        <w:t>昌乐县自然资源和规划</w:t>
      </w:r>
      <w:r>
        <w:rPr>
          <w:rFonts w:hint="eastAsia" w:ascii="仿宋_GB2312" w:hAnsi="仿宋_GB2312" w:eastAsia="仿宋_GB2312" w:cs="仿宋_GB2312"/>
          <w:i w:val="0"/>
          <w:caps w:val="0"/>
          <w:color w:val="333333"/>
          <w:spacing w:val="0"/>
          <w:sz w:val="32"/>
          <w:szCs w:val="32"/>
          <w:shd w:val="clear" w:fill="FFFFFF"/>
        </w:rPr>
        <w:t>局认真贯彻落实省、市</w:t>
      </w:r>
      <w:r>
        <w:rPr>
          <w:rFonts w:hint="eastAsia" w:ascii="仿宋_GB2312" w:hAnsi="仿宋_GB2312" w:eastAsia="仿宋_GB2312" w:cs="仿宋_GB2312"/>
          <w:i w:val="0"/>
          <w:caps w:val="0"/>
          <w:color w:val="333333"/>
          <w:spacing w:val="0"/>
          <w:sz w:val="32"/>
          <w:szCs w:val="32"/>
          <w:shd w:val="clear" w:fill="FFFFFF"/>
          <w:lang w:eastAsia="zh-CN"/>
        </w:rPr>
        <w:t>、县</w:t>
      </w:r>
      <w:r>
        <w:rPr>
          <w:rFonts w:hint="eastAsia" w:ascii="仿宋_GB2312" w:hAnsi="仿宋_GB2312" w:eastAsia="仿宋_GB2312" w:cs="仿宋_GB2312"/>
          <w:i w:val="0"/>
          <w:caps w:val="0"/>
          <w:color w:val="333333"/>
          <w:spacing w:val="0"/>
          <w:sz w:val="32"/>
          <w:szCs w:val="32"/>
          <w:shd w:val="clear" w:fill="FFFFFF"/>
        </w:rPr>
        <w:t>关于政务公开工作的各项决策部署，围绕全</w:t>
      </w:r>
      <w:r>
        <w:rPr>
          <w:rFonts w:hint="eastAsia" w:ascii="仿宋_GB2312" w:hAnsi="仿宋_GB2312" w:eastAsia="仿宋_GB2312" w:cs="仿宋_GB2312"/>
          <w:i w:val="0"/>
          <w:caps w:val="0"/>
          <w:color w:val="333333"/>
          <w:spacing w:val="0"/>
          <w:sz w:val="32"/>
          <w:szCs w:val="32"/>
          <w:shd w:val="clear" w:fill="FFFFFF"/>
          <w:lang w:eastAsia="zh-CN"/>
        </w:rPr>
        <w:t>县自然资源</w:t>
      </w:r>
      <w:r>
        <w:rPr>
          <w:rFonts w:hint="eastAsia" w:ascii="仿宋_GB2312" w:hAnsi="仿宋_GB2312" w:eastAsia="仿宋_GB2312" w:cs="仿宋_GB2312"/>
          <w:i w:val="0"/>
          <w:caps w:val="0"/>
          <w:color w:val="333333"/>
          <w:spacing w:val="0"/>
          <w:sz w:val="32"/>
          <w:szCs w:val="32"/>
          <w:shd w:val="clear" w:fill="FFFFFF"/>
        </w:rPr>
        <w:t>工作，不断强化责任落实，依法依规做好</w:t>
      </w:r>
      <w:r>
        <w:rPr>
          <w:rFonts w:hint="eastAsia" w:ascii="仿宋_GB2312" w:hAnsi="仿宋_GB2312" w:eastAsia="仿宋_GB2312" w:cs="仿宋_GB2312"/>
          <w:i w:val="0"/>
          <w:caps w:val="0"/>
          <w:color w:val="333333"/>
          <w:spacing w:val="0"/>
          <w:sz w:val="32"/>
          <w:szCs w:val="32"/>
          <w:shd w:val="clear" w:fill="FFFFFF"/>
          <w:lang w:eastAsia="zh-CN"/>
        </w:rPr>
        <w:t>自然资源领域</w:t>
      </w:r>
      <w:r>
        <w:rPr>
          <w:rFonts w:hint="eastAsia" w:ascii="仿宋_GB2312" w:hAnsi="仿宋_GB2312" w:eastAsia="仿宋_GB2312" w:cs="仿宋_GB2312"/>
          <w:i w:val="0"/>
          <w:caps w:val="0"/>
          <w:color w:val="333333"/>
          <w:spacing w:val="0"/>
          <w:sz w:val="32"/>
          <w:szCs w:val="32"/>
          <w:shd w:val="clear" w:fill="FFFFFF"/>
        </w:rPr>
        <w:t>信息公开工作，坚持“以公开为常态、不公开为例外”原则，加大主动公开力度，</w:t>
      </w:r>
      <w:r>
        <w:rPr>
          <w:rFonts w:hint="eastAsia" w:ascii="仿宋_GB2312" w:hAnsi="仿宋_GB2312" w:eastAsia="仿宋_GB2312" w:cs="仿宋_GB2312"/>
          <w:i w:val="0"/>
          <w:caps w:val="0"/>
          <w:color w:val="333333"/>
          <w:spacing w:val="0"/>
          <w:sz w:val="32"/>
          <w:szCs w:val="32"/>
          <w:shd w:val="clear" w:fill="FFFFFF"/>
          <w:lang w:eastAsia="zh-CN"/>
        </w:rPr>
        <w:t>做好政策文件解读，</w:t>
      </w:r>
      <w:r>
        <w:rPr>
          <w:rFonts w:hint="eastAsia" w:ascii="仿宋_GB2312" w:hAnsi="仿宋_GB2312" w:eastAsia="仿宋_GB2312" w:cs="仿宋_GB2312"/>
          <w:i w:val="0"/>
          <w:caps w:val="0"/>
          <w:color w:val="333333"/>
          <w:spacing w:val="0"/>
          <w:sz w:val="32"/>
          <w:szCs w:val="32"/>
          <w:shd w:val="clear" w:fill="FFFFFF"/>
        </w:rPr>
        <w:t>及时回应社会关切，实现了</w:t>
      </w:r>
      <w:r>
        <w:rPr>
          <w:rFonts w:hint="eastAsia" w:ascii="仿宋_GB2312" w:hAnsi="仿宋_GB2312" w:eastAsia="仿宋_GB2312" w:cs="仿宋_GB2312"/>
          <w:i w:val="0"/>
          <w:caps w:val="0"/>
          <w:color w:val="333333"/>
          <w:spacing w:val="0"/>
          <w:sz w:val="32"/>
          <w:szCs w:val="32"/>
          <w:shd w:val="clear" w:fill="FFFFFF"/>
          <w:lang w:eastAsia="zh-CN"/>
        </w:rPr>
        <w:t>自然资源领域</w:t>
      </w:r>
      <w:r>
        <w:rPr>
          <w:rFonts w:hint="eastAsia" w:ascii="仿宋_GB2312" w:hAnsi="仿宋_GB2312" w:eastAsia="仿宋_GB2312" w:cs="仿宋_GB2312"/>
          <w:i w:val="0"/>
          <w:caps w:val="0"/>
          <w:color w:val="333333"/>
          <w:spacing w:val="0"/>
          <w:sz w:val="32"/>
          <w:szCs w:val="32"/>
          <w:shd w:val="clear" w:fill="FFFFFF"/>
        </w:rPr>
        <w:t>政府信息公开工作高质量发展。</w:t>
      </w:r>
    </w:p>
    <w:p w14:paraId="6F05555B">
      <w:pPr>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主动公开</w:t>
      </w:r>
    </w:p>
    <w:p w14:paraId="00E917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vertAlign w:val="baseline"/>
          <w:lang w:val="en-US" w:eastAsia="zh-CN" w:bidi="ar"/>
        </w:rPr>
        <w:t>围绕自然资源工作大局，聚焦社会关切，通过中国昌乐政府网站和各类媒体平台</w:t>
      </w:r>
      <w:r>
        <w:rPr>
          <w:rFonts w:hint="eastAsia" w:ascii="仿宋_GB2312" w:hAnsi="仿宋_GB2312" w:eastAsia="仿宋_GB2312" w:cs="仿宋_GB2312"/>
          <w:i w:val="0"/>
          <w:caps w:val="0"/>
          <w:color w:val="auto"/>
          <w:spacing w:val="0"/>
          <w:sz w:val="32"/>
          <w:szCs w:val="32"/>
          <w:shd w:val="clear" w:fill="FFFFFF"/>
          <w:lang w:eastAsia="zh-CN"/>
        </w:rPr>
        <w:t>发布自然资源领域重要政策文件和信息</w:t>
      </w:r>
      <w:r>
        <w:rPr>
          <w:rFonts w:hint="eastAsia" w:ascii="仿宋_GB2312" w:hAnsi="仿宋_GB2312" w:eastAsia="仿宋_GB2312" w:cs="仿宋_GB2312"/>
          <w:i w:val="0"/>
          <w:caps w:val="0"/>
          <w:color w:val="auto"/>
          <w:spacing w:val="0"/>
          <w:sz w:val="32"/>
          <w:szCs w:val="32"/>
          <w:shd w:val="clear" w:fill="FFFFFF"/>
        </w:rPr>
        <w:t>。截止202</w:t>
      </w: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年12月31日，我局主动公开各类政务信息共计</w:t>
      </w:r>
      <w:r>
        <w:rPr>
          <w:rFonts w:hint="eastAsia" w:ascii="仿宋_GB2312" w:hAnsi="仿宋_GB2312" w:eastAsia="仿宋_GB2312" w:cs="仿宋_GB2312"/>
          <w:i w:val="0"/>
          <w:caps w:val="0"/>
          <w:color w:val="auto"/>
          <w:spacing w:val="0"/>
          <w:sz w:val="32"/>
          <w:szCs w:val="32"/>
          <w:shd w:val="clear" w:fill="FFFFFF"/>
          <w:lang w:val="en-US" w:eastAsia="zh-CN"/>
        </w:rPr>
        <w:t>983</w:t>
      </w:r>
      <w:r>
        <w:rPr>
          <w:rFonts w:hint="eastAsia" w:ascii="仿宋_GB2312" w:hAnsi="仿宋_GB2312" w:eastAsia="仿宋_GB2312" w:cs="仿宋_GB2312"/>
          <w:i w:val="0"/>
          <w:caps w:val="0"/>
          <w:color w:val="auto"/>
          <w:spacing w:val="0"/>
          <w:sz w:val="32"/>
          <w:szCs w:val="32"/>
          <w:shd w:val="clear" w:fill="FFFFFF"/>
        </w:rPr>
        <w:t>条，其中，通过政府信息公开专栏主动公开政府信息</w:t>
      </w:r>
      <w:r>
        <w:rPr>
          <w:rFonts w:hint="eastAsia" w:ascii="仿宋_GB2312" w:hAnsi="仿宋_GB2312" w:eastAsia="仿宋_GB2312" w:cs="仿宋_GB2312"/>
          <w:i w:val="0"/>
          <w:caps w:val="0"/>
          <w:color w:val="auto"/>
          <w:spacing w:val="0"/>
          <w:sz w:val="32"/>
          <w:szCs w:val="32"/>
          <w:shd w:val="clear" w:fill="FFFFFF"/>
          <w:lang w:val="en-US" w:eastAsia="zh-CN"/>
        </w:rPr>
        <w:t>794</w:t>
      </w:r>
      <w:r>
        <w:rPr>
          <w:rFonts w:hint="eastAsia" w:ascii="仿宋_GB2312" w:hAnsi="仿宋_GB2312" w:eastAsia="仿宋_GB2312" w:cs="仿宋_GB2312"/>
          <w:i w:val="0"/>
          <w:caps w:val="0"/>
          <w:color w:val="auto"/>
          <w:spacing w:val="0"/>
          <w:sz w:val="32"/>
          <w:szCs w:val="32"/>
          <w:shd w:val="clear" w:fill="FFFFFF"/>
        </w:rPr>
        <w:t>条；通过</w:t>
      </w:r>
      <w:r>
        <w:rPr>
          <w:rFonts w:hint="eastAsia" w:ascii="仿宋_GB2312" w:hAnsi="仿宋_GB2312" w:eastAsia="仿宋_GB2312" w:cs="仿宋_GB2312"/>
          <w:i w:val="0"/>
          <w:caps w:val="0"/>
          <w:color w:val="auto"/>
          <w:spacing w:val="0"/>
          <w:sz w:val="32"/>
          <w:szCs w:val="32"/>
          <w:shd w:val="clear" w:fill="FFFFFF"/>
          <w:lang w:eastAsia="zh-CN"/>
        </w:rPr>
        <w:t>微信公众号、其他媒体公开</w:t>
      </w:r>
      <w:r>
        <w:rPr>
          <w:rFonts w:hint="eastAsia" w:ascii="仿宋_GB2312" w:hAnsi="仿宋_GB2312" w:eastAsia="仿宋_GB2312" w:cs="仿宋_GB2312"/>
          <w:i w:val="0"/>
          <w:caps w:val="0"/>
          <w:color w:val="auto"/>
          <w:spacing w:val="0"/>
          <w:sz w:val="32"/>
          <w:szCs w:val="32"/>
          <w:shd w:val="clear" w:fill="FFFFFF"/>
        </w:rPr>
        <w:t>政府信息</w:t>
      </w:r>
      <w:r>
        <w:rPr>
          <w:rFonts w:hint="eastAsia" w:ascii="仿宋_GB2312" w:hAnsi="仿宋_GB2312" w:eastAsia="仿宋_GB2312" w:cs="仿宋_GB2312"/>
          <w:i w:val="0"/>
          <w:caps w:val="0"/>
          <w:color w:val="auto"/>
          <w:spacing w:val="0"/>
          <w:sz w:val="32"/>
          <w:szCs w:val="32"/>
          <w:shd w:val="clear" w:fill="FFFFFF"/>
          <w:lang w:val="en-US" w:eastAsia="zh-CN"/>
        </w:rPr>
        <w:t>189</w:t>
      </w:r>
      <w:r>
        <w:rPr>
          <w:rFonts w:hint="eastAsia" w:ascii="仿宋_GB2312" w:hAnsi="仿宋_GB2312" w:eastAsia="仿宋_GB2312" w:cs="仿宋_GB2312"/>
          <w:b w:val="0"/>
          <w:bCs w:val="0"/>
          <w:i w:val="0"/>
          <w:caps w:val="0"/>
          <w:color w:val="auto"/>
          <w:spacing w:val="0"/>
          <w:sz w:val="32"/>
          <w:szCs w:val="32"/>
          <w:shd w:val="clear" w:fill="FFFFFF"/>
        </w:rPr>
        <w:t>条。</w:t>
      </w:r>
      <w:r>
        <w:rPr>
          <w:rFonts w:hint="eastAsia" w:ascii="仿宋_GB2312" w:hAnsi="仿宋_GB2312" w:eastAsia="仿宋_GB2312" w:cs="仿宋_GB2312"/>
          <w:b w:val="0"/>
          <w:bCs w:val="0"/>
          <w:i w:val="0"/>
          <w:caps w:val="0"/>
          <w:color w:val="auto"/>
          <w:spacing w:val="0"/>
          <w:sz w:val="32"/>
          <w:szCs w:val="32"/>
          <w:shd w:val="clear" w:fill="FFFFFF"/>
          <w:lang w:eastAsia="zh-CN"/>
        </w:rPr>
        <w:t>强化</w:t>
      </w:r>
      <w:r>
        <w:rPr>
          <w:rFonts w:hint="eastAsia" w:ascii="仿宋_GB2312" w:hAnsi="仿宋_GB2312" w:eastAsia="仿宋_GB2312" w:cs="仿宋_GB2312"/>
          <w:b w:val="0"/>
          <w:bCs w:val="0"/>
          <w:i w:val="0"/>
          <w:caps w:val="0"/>
          <w:color w:val="auto"/>
          <w:spacing w:val="0"/>
          <w:sz w:val="32"/>
          <w:szCs w:val="32"/>
          <w:shd w:val="clear" w:fill="FFFFFF"/>
        </w:rPr>
        <w:t>政策解读，积极回应群众关切</w:t>
      </w:r>
      <w:r>
        <w:rPr>
          <w:rFonts w:hint="eastAsia" w:ascii="仿宋_GB2312" w:hAnsi="仿宋_GB2312" w:eastAsia="仿宋_GB2312" w:cs="仿宋_GB2312"/>
          <w:b w:val="0"/>
          <w:bCs w:val="0"/>
          <w:i w:val="0"/>
          <w:caps w:val="0"/>
          <w:color w:val="auto"/>
          <w:spacing w:val="0"/>
          <w:sz w:val="32"/>
          <w:szCs w:val="32"/>
          <w:shd w:val="clear" w:fill="FFFFFF"/>
          <w:lang w:eastAsia="zh-CN"/>
        </w:rPr>
        <w:t>，做好《关于公布实施</w:t>
      </w:r>
      <w:r>
        <w:rPr>
          <w:rFonts w:hint="eastAsia" w:ascii="仿宋_GB2312" w:hAnsi="仿宋_GB2312" w:eastAsia="仿宋_GB2312" w:cs="仿宋_GB2312"/>
          <w:b w:val="0"/>
          <w:bCs w:val="0"/>
          <w:i w:val="0"/>
          <w:caps w:val="0"/>
          <w:color w:val="auto"/>
          <w:spacing w:val="0"/>
          <w:sz w:val="32"/>
          <w:szCs w:val="32"/>
          <w:shd w:val="clear" w:fill="FFFFFF"/>
          <w:lang w:val="en-US" w:eastAsia="zh-CN"/>
        </w:rPr>
        <w:t>2023年度昌乐县城镇土地级别调整与基准地价更新成果的通知》</w:t>
      </w:r>
      <w:r>
        <w:rPr>
          <w:rFonts w:hint="eastAsia" w:ascii="仿宋_GB2312" w:hAnsi="仿宋_GB2312" w:eastAsia="仿宋_GB2312" w:cs="仿宋_GB2312"/>
          <w:b w:val="0"/>
          <w:bCs w:val="0"/>
          <w:i w:val="0"/>
          <w:caps w:val="0"/>
          <w:color w:val="auto"/>
          <w:spacing w:val="0"/>
          <w:sz w:val="32"/>
          <w:szCs w:val="32"/>
          <w:shd w:val="clear" w:fill="FFFFFF"/>
          <w:lang w:eastAsia="zh-CN"/>
        </w:rPr>
        <w:t>《昌乐县国土空间总体规划（2021-2035年）》的解读工作。</w:t>
      </w:r>
      <w:r>
        <w:rPr>
          <w:rFonts w:hint="eastAsia" w:ascii="仿宋_GB2312" w:hAnsi="仿宋_GB2312" w:eastAsia="仿宋_GB2312" w:cs="仿宋_GB2312"/>
          <w:b w:val="0"/>
          <w:bCs w:val="0"/>
          <w:i w:val="0"/>
          <w:caps w:val="0"/>
          <w:color w:val="auto"/>
          <w:spacing w:val="0"/>
          <w:sz w:val="32"/>
          <w:szCs w:val="32"/>
          <w:shd w:val="clear" w:fill="FFFFFF"/>
        </w:rPr>
        <w:t>常态化组织开展听证会</w:t>
      </w:r>
      <w:r>
        <w:rPr>
          <w:rFonts w:hint="eastAsia" w:ascii="仿宋_GB2312" w:hAnsi="仿宋_GB2312" w:eastAsia="仿宋_GB2312" w:cs="仿宋_GB2312"/>
          <w:b w:val="0"/>
          <w:bCs w:val="0"/>
          <w:i w:val="0"/>
          <w:caps w:val="0"/>
          <w:color w:val="auto"/>
          <w:spacing w:val="0"/>
          <w:sz w:val="32"/>
          <w:szCs w:val="32"/>
          <w:shd w:val="clear" w:fill="FFFFFF"/>
          <w:lang w:eastAsia="zh-CN"/>
        </w:rPr>
        <w:t>，充分听取各方意见。积极</w:t>
      </w:r>
      <w:r>
        <w:rPr>
          <w:rFonts w:hint="eastAsia" w:ascii="仿宋_GB2312" w:hAnsi="仿宋_GB2312" w:eastAsia="仿宋_GB2312" w:cs="仿宋_GB2312"/>
          <w:b w:val="0"/>
          <w:bCs w:val="0"/>
          <w:i w:val="0"/>
          <w:iCs w:val="0"/>
          <w:caps w:val="0"/>
          <w:color w:val="auto"/>
          <w:spacing w:val="0"/>
          <w:sz w:val="32"/>
          <w:szCs w:val="32"/>
          <w:u w:val="none"/>
        </w:rPr>
        <w:t>参加</w:t>
      </w:r>
      <w:r>
        <w:rPr>
          <w:rFonts w:hint="eastAsia" w:ascii="仿宋_GB2312" w:hAnsi="仿宋_GB2312" w:eastAsia="仿宋_GB2312" w:cs="仿宋_GB2312"/>
          <w:b w:val="0"/>
          <w:bCs w:val="0"/>
          <w:i w:val="0"/>
          <w:iCs w:val="0"/>
          <w:caps w:val="0"/>
          <w:color w:val="auto"/>
          <w:spacing w:val="0"/>
          <w:sz w:val="32"/>
          <w:szCs w:val="32"/>
          <w:u w:val="none"/>
          <w:lang w:eastAsia="zh-CN"/>
        </w:rPr>
        <w:t>潍坊政务民生频道</w:t>
      </w:r>
      <w:r>
        <w:rPr>
          <w:rFonts w:hint="eastAsia" w:ascii="仿宋_GB2312" w:hAnsi="仿宋_GB2312" w:eastAsia="仿宋_GB2312" w:cs="仿宋_GB2312"/>
          <w:b w:val="0"/>
          <w:bCs w:val="0"/>
          <w:i w:val="0"/>
          <w:iCs w:val="0"/>
          <w:caps w:val="0"/>
          <w:color w:val="auto"/>
          <w:spacing w:val="0"/>
          <w:sz w:val="32"/>
          <w:szCs w:val="32"/>
          <w:u w:val="none"/>
        </w:rPr>
        <w:t>《</w:t>
      </w:r>
      <w:r>
        <w:rPr>
          <w:rFonts w:hint="eastAsia" w:ascii="仿宋_GB2312" w:hAnsi="仿宋_GB2312" w:eastAsia="仿宋_GB2312" w:cs="仿宋_GB2312"/>
          <w:b w:val="0"/>
          <w:bCs w:val="0"/>
          <w:i w:val="0"/>
          <w:iCs w:val="0"/>
          <w:caps w:val="0"/>
          <w:color w:val="auto"/>
          <w:spacing w:val="0"/>
          <w:sz w:val="32"/>
          <w:szCs w:val="32"/>
          <w:u w:val="none"/>
          <w:lang w:val="en-US" w:eastAsia="zh-CN"/>
        </w:rPr>
        <w:t>12345在线</w:t>
      </w:r>
      <w:r>
        <w:rPr>
          <w:rFonts w:hint="eastAsia" w:ascii="仿宋_GB2312" w:hAnsi="仿宋_GB2312" w:eastAsia="仿宋_GB2312" w:cs="仿宋_GB2312"/>
          <w:b w:val="0"/>
          <w:bCs w:val="0"/>
          <w:i w:val="0"/>
          <w:iCs w:val="0"/>
          <w:caps w:val="0"/>
          <w:color w:val="auto"/>
          <w:spacing w:val="0"/>
          <w:sz w:val="32"/>
          <w:szCs w:val="32"/>
          <w:u w:val="none"/>
        </w:rPr>
        <w:t>》</w:t>
      </w:r>
      <w:r>
        <w:rPr>
          <w:rFonts w:hint="eastAsia" w:ascii="仿宋_GB2312" w:hAnsi="仿宋_GB2312" w:eastAsia="仿宋_GB2312" w:cs="仿宋_GB2312"/>
          <w:b w:val="0"/>
          <w:bCs w:val="0"/>
          <w:i w:val="0"/>
          <w:iCs w:val="0"/>
          <w:caps w:val="0"/>
          <w:color w:val="auto"/>
          <w:spacing w:val="0"/>
          <w:sz w:val="32"/>
          <w:szCs w:val="32"/>
          <w:u w:val="none"/>
          <w:lang w:eastAsia="zh-CN"/>
        </w:rPr>
        <w:t>视频直播</w:t>
      </w:r>
      <w:r>
        <w:rPr>
          <w:rFonts w:hint="eastAsia" w:ascii="仿宋_GB2312" w:hAnsi="仿宋_GB2312" w:eastAsia="仿宋_GB2312" w:cs="仿宋_GB2312"/>
          <w:b w:val="0"/>
          <w:bCs w:val="0"/>
          <w:i w:val="0"/>
          <w:caps w:val="0"/>
          <w:color w:val="auto"/>
          <w:spacing w:val="0"/>
          <w:sz w:val="32"/>
          <w:szCs w:val="32"/>
          <w:shd w:val="clear" w:fill="FFFFFF"/>
        </w:rPr>
        <w:t>栏目，</w:t>
      </w:r>
      <w:r>
        <w:rPr>
          <w:rFonts w:hint="eastAsia" w:ascii="仿宋_GB2312" w:hAnsi="仿宋_GB2312" w:eastAsia="仿宋_GB2312" w:cs="仿宋_GB2312"/>
          <w:b w:val="0"/>
          <w:bCs w:val="0"/>
          <w:i w:val="0"/>
          <w:caps w:val="0"/>
          <w:color w:val="auto"/>
          <w:spacing w:val="0"/>
          <w:sz w:val="32"/>
          <w:szCs w:val="32"/>
          <w:shd w:val="clear" w:fill="FFFFFF"/>
          <w:lang w:eastAsia="zh-CN"/>
        </w:rPr>
        <w:t>对违法占地、耕地保护、不动产办证等方面的法律法规政策进行解读，对群众关心的热点问题进行耐心解答</w:t>
      </w:r>
      <w:r>
        <w:rPr>
          <w:rFonts w:hint="eastAsia" w:ascii="仿宋_GB2312" w:hAnsi="仿宋_GB2312" w:eastAsia="仿宋_GB2312" w:cs="仿宋_GB2312"/>
          <w:b w:val="0"/>
          <w:bCs w:val="0"/>
          <w:i w:val="0"/>
          <w:caps w:val="0"/>
          <w:color w:val="auto"/>
          <w:spacing w:val="0"/>
          <w:sz w:val="32"/>
          <w:szCs w:val="32"/>
          <w:shd w:val="clear" w:fill="FFFFFF"/>
        </w:rPr>
        <w:t>。</w:t>
      </w:r>
    </w:p>
    <w:p w14:paraId="6A4001FC">
      <w:pPr>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依申请公开</w:t>
      </w:r>
    </w:p>
    <w:p w14:paraId="24DF2F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依据</w:t>
      </w:r>
      <w:r>
        <w:rPr>
          <w:rFonts w:hint="eastAsia" w:ascii="仿宋_GB2312" w:hAnsi="仿宋_GB2312" w:eastAsia="仿宋_GB2312" w:cs="仿宋_GB2312"/>
          <w:i w:val="0"/>
          <w:caps w:val="0"/>
          <w:color w:val="auto"/>
          <w:spacing w:val="0"/>
          <w:sz w:val="32"/>
          <w:szCs w:val="32"/>
          <w:shd w:val="clear" w:fill="FFFFFF"/>
          <w:lang w:eastAsia="zh-CN"/>
        </w:rPr>
        <w:t>上级部门信息公开工作相关办法</w:t>
      </w:r>
      <w:r>
        <w:rPr>
          <w:rFonts w:hint="eastAsia" w:ascii="仿宋_GB2312" w:hAnsi="仿宋_GB2312" w:eastAsia="仿宋_GB2312" w:cs="仿宋_GB2312"/>
          <w:i w:val="0"/>
          <w:caps w:val="0"/>
          <w:color w:val="auto"/>
          <w:spacing w:val="0"/>
          <w:sz w:val="32"/>
          <w:szCs w:val="32"/>
          <w:shd w:val="clear" w:fill="FFFFFF"/>
        </w:rPr>
        <w:t>，完善</w:t>
      </w:r>
      <w:r>
        <w:rPr>
          <w:rFonts w:hint="eastAsia" w:ascii="仿宋_GB2312" w:hAnsi="仿宋_GB2312" w:eastAsia="仿宋_GB2312" w:cs="仿宋_GB2312"/>
          <w:i w:val="0"/>
          <w:caps w:val="0"/>
          <w:color w:val="auto"/>
          <w:spacing w:val="0"/>
          <w:sz w:val="32"/>
          <w:szCs w:val="32"/>
          <w:shd w:val="clear" w:fill="FFFFFF"/>
          <w:lang w:eastAsia="zh-CN"/>
        </w:rPr>
        <w:t>依申请政府信息公开</w:t>
      </w:r>
      <w:r>
        <w:rPr>
          <w:rFonts w:hint="eastAsia" w:ascii="仿宋_GB2312" w:hAnsi="仿宋_GB2312" w:eastAsia="仿宋_GB2312" w:cs="仿宋_GB2312"/>
          <w:i w:val="0"/>
          <w:caps w:val="0"/>
          <w:color w:val="auto"/>
          <w:spacing w:val="0"/>
          <w:sz w:val="32"/>
          <w:szCs w:val="32"/>
          <w:shd w:val="clear" w:fill="FFFFFF"/>
        </w:rPr>
        <w:t>工作流程</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提高依申请公开工作</w:t>
      </w:r>
      <w:r>
        <w:rPr>
          <w:rFonts w:hint="eastAsia" w:ascii="仿宋_GB2312" w:hAnsi="仿宋_GB2312" w:eastAsia="仿宋_GB2312" w:cs="仿宋_GB2312"/>
          <w:i w:val="0"/>
          <w:caps w:val="0"/>
          <w:color w:val="auto"/>
          <w:spacing w:val="0"/>
          <w:sz w:val="32"/>
          <w:szCs w:val="32"/>
          <w:shd w:val="clear" w:fill="FFFFFF"/>
          <w:lang w:eastAsia="zh-CN"/>
        </w:rPr>
        <w:t>质量</w:t>
      </w:r>
      <w:r>
        <w:rPr>
          <w:rFonts w:hint="eastAsia" w:ascii="仿宋_GB2312" w:hAnsi="仿宋_GB2312" w:eastAsia="仿宋_GB2312" w:cs="仿宋_GB2312"/>
          <w:i w:val="0"/>
          <w:caps w:val="0"/>
          <w:color w:val="auto"/>
          <w:spacing w:val="0"/>
          <w:sz w:val="32"/>
          <w:szCs w:val="32"/>
          <w:shd w:val="clear" w:fill="FFFFFF"/>
        </w:rPr>
        <w:t>。202</w:t>
      </w: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年收到政府信息公开申请</w:t>
      </w:r>
      <w:r>
        <w:rPr>
          <w:rFonts w:hint="eastAsia" w:ascii="仿宋_GB2312" w:hAnsi="仿宋_GB2312" w:eastAsia="仿宋_GB2312" w:cs="仿宋_GB2312"/>
          <w:i w:val="0"/>
          <w:caps w:val="0"/>
          <w:color w:val="auto"/>
          <w:spacing w:val="0"/>
          <w:sz w:val="32"/>
          <w:szCs w:val="32"/>
          <w:shd w:val="clear" w:fill="FFFFFF"/>
          <w:lang w:val="en-US" w:eastAsia="zh-CN"/>
        </w:rPr>
        <w:t>15</w:t>
      </w:r>
      <w:r>
        <w:rPr>
          <w:rFonts w:hint="eastAsia" w:ascii="仿宋_GB2312" w:hAnsi="仿宋_GB2312" w:eastAsia="仿宋_GB2312" w:cs="仿宋_GB2312"/>
          <w:i w:val="0"/>
          <w:caps w:val="0"/>
          <w:color w:val="auto"/>
          <w:spacing w:val="0"/>
          <w:sz w:val="32"/>
          <w:szCs w:val="32"/>
          <w:shd w:val="clear" w:fill="FFFFFF"/>
        </w:rPr>
        <w:t>件</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申请内容</w:t>
      </w:r>
      <w:r>
        <w:rPr>
          <w:rFonts w:hint="eastAsia" w:ascii="仿宋_GB2312" w:hAnsi="仿宋_GB2312" w:eastAsia="仿宋_GB2312" w:cs="仿宋_GB2312"/>
          <w:i w:val="0"/>
          <w:caps w:val="0"/>
          <w:color w:val="auto"/>
          <w:spacing w:val="0"/>
          <w:sz w:val="32"/>
          <w:szCs w:val="32"/>
          <w:shd w:val="clear" w:fill="FFFFFF"/>
          <w:lang w:eastAsia="zh-CN"/>
        </w:rPr>
        <w:t>主要</w:t>
      </w:r>
      <w:r>
        <w:rPr>
          <w:rFonts w:hint="eastAsia" w:ascii="仿宋_GB2312" w:hAnsi="仿宋_GB2312" w:eastAsia="仿宋_GB2312" w:cs="仿宋_GB2312"/>
          <w:i w:val="0"/>
          <w:caps w:val="0"/>
          <w:color w:val="auto"/>
          <w:spacing w:val="0"/>
          <w:sz w:val="32"/>
          <w:szCs w:val="32"/>
          <w:shd w:val="clear" w:fill="FFFFFF"/>
        </w:rPr>
        <w:t>涉及土地征收、规划用地及建筑工程方面。共答复政府信息公开申请</w:t>
      </w:r>
      <w:r>
        <w:rPr>
          <w:rFonts w:hint="eastAsia" w:ascii="仿宋_GB2312" w:hAnsi="仿宋_GB2312" w:eastAsia="仿宋_GB2312" w:cs="仿宋_GB2312"/>
          <w:i w:val="0"/>
          <w:caps w:val="0"/>
          <w:color w:val="auto"/>
          <w:spacing w:val="0"/>
          <w:sz w:val="32"/>
          <w:szCs w:val="32"/>
          <w:shd w:val="clear" w:fill="FFFFFF"/>
          <w:lang w:val="en-US" w:eastAsia="zh-CN"/>
        </w:rPr>
        <w:t>14</w:t>
      </w:r>
      <w:r>
        <w:rPr>
          <w:rFonts w:hint="eastAsia" w:ascii="仿宋_GB2312" w:hAnsi="仿宋_GB2312" w:eastAsia="仿宋_GB2312" w:cs="仿宋_GB2312"/>
          <w:i w:val="0"/>
          <w:caps w:val="0"/>
          <w:color w:val="auto"/>
          <w:spacing w:val="0"/>
          <w:sz w:val="32"/>
          <w:szCs w:val="32"/>
          <w:shd w:val="clear" w:fill="FFFFFF"/>
        </w:rPr>
        <w:t>件，按时办结率100%</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其余</w:t>
      </w: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fill="FFFFFF"/>
        </w:rPr>
        <w:t>件结转</w:t>
      </w:r>
      <w:r>
        <w:rPr>
          <w:rFonts w:hint="eastAsia" w:ascii="仿宋_GB2312" w:hAnsi="仿宋_GB2312" w:eastAsia="仿宋_GB2312" w:cs="仿宋_GB2312"/>
          <w:i w:val="0"/>
          <w:caps w:val="0"/>
          <w:color w:val="auto"/>
          <w:spacing w:val="0"/>
          <w:sz w:val="32"/>
          <w:szCs w:val="32"/>
          <w:shd w:val="clear" w:fill="FFFFFF"/>
          <w:lang w:val="en-US" w:eastAsia="zh-CN"/>
        </w:rPr>
        <w:t>2025</w:t>
      </w:r>
      <w:r>
        <w:rPr>
          <w:rFonts w:hint="eastAsia" w:ascii="仿宋_GB2312" w:hAnsi="仿宋_GB2312" w:eastAsia="仿宋_GB2312" w:cs="仿宋_GB2312"/>
          <w:i w:val="0"/>
          <w:caps w:val="0"/>
          <w:color w:val="auto"/>
          <w:spacing w:val="0"/>
          <w:sz w:val="32"/>
          <w:szCs w:val="32"/>
          <w:shd w:val="clear" w:fill="FFFFFF"/>
        </w:rPr>
        <w:t>年度办理。全年因政府信息公开引起行政复议</w:t>
      </w: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件，其中结果</w:t>
      </w:r>
      <w:r>
        <w:rPr>
          <w:rFonts w:hint="eastAsia" w:ascii="仿宋_GB2312" w:hAnsi="仿宋_GB2312" w:eastAsia="仿宋_GB2312" w:cs="仿宋_GB2312"/>
          <w:i w:val="0"/>
          <w:caps w:val="0"/>
          <w:color w:val="auto"/>
          <w:spacing w:val="0"/>
          <w:sz w:val="32"/>
          <w:szCs w:val="32"/>
          <w:shd w:val="clear" w:fill="FFFFFF"/>
          <w:lang w:eastAsia="zh-CN"/>
        </w:rPr>
        <w:t>纠正</w:t>
      </w: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件</w:t>
      </w:r>
      <w:r>
        <w:rPr>
          <w:rFonts w:hint="eastAsia" w:ascii="仿宋_GB2312" w:hAnsi="仿宋_GB2312" w:eastAsia="仿宋_GB2312" w:cs="仿宋_GB2312"/>
          <w:i w:val="0"/>
          <w:caps w:val="0"/>
          <w:color w:val="auto"/>
          <w:spacing w:val="0"/>
          <w:sz w:val="32"/>
          <w:szCs w:val="32"/>
          <w:shd w:val="clear" w:fill="FFFFFF"/>
          <w:lang w:eastAsia="zh-CN"/>
        </w:rPr>
        <w:t>。无因</w:t>
      </w:r>
      <w:r>
        <w:rPr>
          <w:rFonts w:hint="eastAsia" w:ascii="仿宋_GB2312" w:hAnsi="仿宋_GB2312" w:eastAsia="仿宋_GB2312" w:cs="仿宋_GB2312"/>
          <w:i w:val="0"/>
          <w:caps w:val="0"/>
          <w:color w:val="auto"/>
          <w:spacing w:val="0"/>
          <w:sz w:val="32"/>
          <w:szCs w:val="32"/>
          <w:shd w:val="clear" w:fill="FFFFFF"/>
        </w:rPr>
        <w:t>政府信息公开引起</w:t>
      </w:r>
      <w:r>
        <w:rPr>
          <w:rFonts w:hint="eastAsia" w:ascii="仿宋_GB2312" w:hAnsi="仿宋_GB2312" w:eastAsia="仿宋_GB2312" w:cs="仿宋_GB2312"/>
          <w:i w:val="0"/>
          <w:caps w:val="0"/>
          <w:color w:val="auto"/>
          <w:spacing w:val="0"/>
          <w:sz w:val="32"/>
          <w:szCs w:val="32"/>
          <w:shd w:val="clear" w:fill="FFFFFF"/>
          <w:lang w:eastAsia="zh-CN"/>
        </w:rPr>
        <w:t>的</w:t>
      </w:r>
      <w:r>
        <w:rPr>
          <w:rFonts w:hint="eastAsia" w:ascii="仿宋_GB2312" w:hAnsi="仿宋_GB2312" w:eastAsia="仿宋_GB2312" w:cs="仿宋_GB2312"/>
          <w:i w:val="0"/>
          <w:caps w:val="0"/>
          <w:color w:val="auto"/>
          <w:spacing w:val="0"/>
          <w:sz w:val="32"/>
          <w:szCs w:val="32"/>
          <w:shd w:val="clear" w:fill="FFFFFF"/>
        </w:rPr>
        <w:t>行政诉讼</w:t>
      </w:r>
      <w:r>
        <w:rPr>
          <w:rFonts w:hint="eastAsia" w:ascii="仿宋_GB2312" w:hAnsi="仿宋_GB2312" w:eastAsia="仿宋_GB2312" w:cs="仿宋_GB2312"/>
          <w:i w:val="0"/>
          <w:caps w:val="0"/>
          <w:color w:val="auto"/>
          <w:spacing w:val="0"/>
          <w:sz w:val="32"/>
          <w:szCs w:val="32"/>
          <w:shd w:val="clear" w:fill="FFFFFF"/>
          <w:lang w:eastAsia="zh-CN"/>
        </w:rPr>
        <w:t>案件</w:t>
      </w:r>
      <w:r>
        <w:rPr>
          <w:rFonts w:hint="eastAsia" w:ascii="仿宋_GB2312" w:hAnsi="仿宋_GB2312" w:eastAsia="仿宋_GB2312" w:cs="仿宋_GB2312"/>
          <w:i w:val="0"/>
          <w:caps w:val="0"/>
          <w:color w:val="auto"/>
          <w:spacing w:val="0"/>
          <w:sz w:val="32"/>
          <w:szCs w:val="32"/>
          <w:shd w:val="clear" w:fill="FFFFFF"/>
        </w:rPr>
        <w:t>。</w:t>
      </w:r>
    </w:p>
    <w:p w14:paraId="787DC360">
      <w:pPr>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政府信息管理</w:t>
      </w:r>
    </w:p>
    <w:p w14:paraId="50AB4C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编制昌乐县自然资源领域主动公开事项目录指引，按</w:t>
      </w:r>
      <w:r>
        <w:rPr>
          <w:rFonts w:hint="eastAsia" w:ascii="仿宋_GB2312" w:hAnsi="Times New Roman" w:eastAsia="仿宋_GB2312" w:cs="仿宋_GB2312"/>
          <w:i w:val="0"/>
          <w:caps w:val="0"/>
          <w:color w:val="333333"/>
          <w:spacing w:val="0"/>
          <w:sz w:val="32"/>
          <w:szCs w:val="32"/>
          <w:shd w:val="clear" w:fill="FFFFFF"/>
        </w:rPr>
        <w:t>政府信息主动公开</w:t>
      </w:r>
      <w:r>
        <w:rPr>
          <w:rFonts w:hint="eastAsia" w:ascii="仿宋_GB2312" w:hAnsi="Times New Roman" w:eastAsia="仿宋_GB2312" w:cs="仿宋_GB2312"/>
          <w:i w:val="0"/>
          <w:caps w:val="0"/>
          <w:color w:val="333333"/>
          <w:spacing w:val="0"/>
          <w:sz w:val="32"/>
          <w:szCs w:val="32"/>
          <w:shd w:val="clear" w:fill="FFFFFF"/>
          <w:lang w:eastAsia="zh-CN"/>
        </w:rPr>
        <w:t>内容对</w:t>
      </w:r>
      <w:r>
        <w:rPr>
          <w:rFonts w:hint="eastAsia" w:ascii="仿宋_GB2312" w:hAnsi="宋体" w:eastAsia="仿宋_GB2312" w:cs="仿宋_GB2312"/>
          <w:i w:val="0"/>
          <w:caps w:val="0"/>
          <w:color w:val="333333"/>
          <w:spacing w:val="0"/>
          <w:sz w:val="32"/>
          <w:szCs w:val="32"/>
          <w:shd w:val="clear" w:fill="FFFFFF"/>
        </w:rPr>
        <w:t>科室责任</w:t>
      </w:r>
      <w:r>
        <w:rPr>
          <w:rFonts w:hint="eastAsia" w:ascii="仿宋_GB2312" w:hAnsi="宋体" w:eastAsia="仿宋_GB2312" w:cs="仿宋_GB2312"/>
          <w:i w:val="0"/>
          <w:caps w:val="0"/>
          <w:color w:val="333333"/>
          <w:spacing w:val="0"/>
          <w:sz w:val="32"/>
          <w:szCs w:val="32"/>
          <w:shd w:val="clear" w:fill="FFFFFF"/>
          <w:lang w:eastAsia="zh-CN"/>
        </w:rPr>
        <w:t>进行细化，督促相关责任科室</w:t>
      </w:r>
      <w:r>
        <w:rPr>
          <w:rFonts w:hint="eastAsia" w:ascii="仿宋_GB2312" w:hAnsi="仿宋_GB2312" w:eastAsia="仿宋_GB2312" w:cs="仿宋_GB2312"/>
          <w:i w:val="0"/>
          <w:caps w:val="0"/>
          <w:color w:val="auto"/>
          <w:spacing w:val="0"/>
          <w:sz w:val="32"/>
          <w:szCs w:val="32"/>
          <w:shd w:val="clear" w:fill="FFFFFF"/>
          <w:lang w:eastAsia="zh-CN"/>
        </w:rPr>
        <w:t>依照目录指引相关要求，定期对相关信息进行更新维护</w:t>
      </w:r>
      <w:r>
        <w:rPr>
          <w:rFonts w:hint="eastAsia" w:ascii="仿宋_GB2312" w:hAnsi="仿宋_GB2312" w:eastAsia="仿宋_GB2312" w:cs="仿宋_GB2312"/>
          <w:i w:val="0"/>
          <w:caps w:val="0"/>
          <w:color w:val="auto"/>
          <w:spacing w:val="0"/>
          <w:sz w:val="32"/>
          <w:szCs w:val="32"/>
          <w:shd w:val="clear" w:fill="FFFFFF"/>
        </w:rPr>
        <w:t>。加强</w:t>
      </w:r>
      <w:r>
        <w:rPr>
          <w:rFonts w:hint="eastAsia" w:ascii="仿宋_GB2312" w:hAnsi="仿宋_GB2312" w:eastAsia="仿宋_GB2312" w:cs="仿宋_GB2312"/>
          <w:i w:val="0"/>
          <w:caps w:val="0"/>
          <w:color w:val="auto"/>
          <w:spacing w:val="0"/>
          <w:sz w:val="32"/>
          <w:szCs w:val="32"/>
          <w:shd w:val="clear" w:fill="FFFFFF"/>
          <w:lang w:eastAsia="zh-CN"/>
        </w:rPr>
        <w:t>行政规范性文件审查工作</w:t>
      </w:r>
      <w:r>
        <w:rPr>
          <w:rFonts w:hint="eastAsia" w:ascii="仿宋_GB2312" w:hAnsi="仿宋_GB2312" w:eastAsia="仿宋_GB2312" w:cs="仿宋_GB2312"/>
          <w:i w:val="0"/>
          <w:caps w:val="0"/>
          <w:color w:val="auto"/>
          <w:spacing w:val="0"/>
          <w:sz w:val="32"/>
          <w:szCs w:val="32"/>
          <w:shd w:val="clear" w:fill="FFFFFF"/>
        </w:rPr>
        <w:t>，</w:t>
      </w:r>
      <w:r>
        <w:rPr>
          <w:rFonts w:ascii="仿宋_GB2312" w:hAnsi="宋体" w:eastAsia="仿宋_GB2312" w:cs="仿宋_GB2312"/>
          <w:i w:val="0"/>
          <w:caps w:val="0"/>
          <w:color w:val="333333"/>
          <w:spacing w:val="0"/>
          <w:sz w:val="32"/>
          <w:szCs w:val="32"/>
          <w:shd w:val="clear" w:fill="FFFFFF"/>
        </w:rPr>
        <w:t>严格落实政府信息公开保密审查制度，</w:t>
      </w:r>
      <w:r>
        <w:rPr>
          <w:rFonts w:hint="eastAsia" w:ascii="仿宋_GB2312" w:hAnsi="宋体" w:eastAsia="仿宋_GB2312" w:cs="仿宋_GB2312"/>
          <w:i w:val="0"/>
          <w:caps w:val="0"/>
          <w:color w:val="333333"/>
          <w:spacing w:val="0"/>
          <w:sz w:val="32"/>
          <w:szCs w:val="32"/>
          <w:shd w:val="clear" w:fill="FFFFFF"/>
          <w:lang w:eastAsia="zh-CN"/>
        </w:rPr>
        <w:t>对于发布信息认真进行核查，确保不存在涉密问题。制定完善</w:t>
      </w:r>
      <w:r>
        <w:rPr>
          <w:rFonts w:hint="eastAsia" w:ascii="仿宋_GB2312" w:hAnsi="宋体" w:eastAsia="仿宋_GB2312" w:cs="仿宋_GB2312"/>
          <w:i w:val="0"/>
          <w:caps w:val="0"/>
          <w:color w:val="333333"/>
          <w:spacing w:val="0"/>
          <w:sz w:val="32"/>
          <w:szCs w:val="32"/>
          <w:shd w:val="clear" w:fill="FFFFFF"/>
        </w:rPr>
        <w:t>“双随机一公开”随机抽查事项清单</w:t>
      </w:r>
      <w:r>
        <w:rPr>
          <w:rFonts w:hint="eastAsia" w:ascii="仿宋_GB2312" w:hAnsi="宋体" w:eastAsia="仿宋_GB2312" w:cs="仿宋_GB2312"/>
          <w:i w:val="0"/>
          <w:caps w:val="0"/>
          <w:color w:val="333333"/>
          <w:spacing w:val="0"/>
          <w:sz w:val="32"/>
          <w:szCs w:val="32"/>
          <w:shd w:val="clear" w:fill="FFFFFF"/>
          <w:lang w:eastAsia="zh-CN"/>
        </w:rPr>
        <w:t>计划</w:t>
      </w:r>
      <w:r>
        <w:rPr>
          <w:rFonts w:hint="eastAsia" w:ascii="仿宋_GB2312" w:hAnsi="宋体" w:eastAsia="仿宋_GB2312" w:cs="仿宋_GB2312"/>
          <w:i w:val="0"/>
          <w:caps w:val="0"/>
          <w:color w:val="333333"/>
          <w:spacing w:val="0"/>
          <w:sz w:val="32"/>
          <w:szCs w:val="32"/>
          <w:shd w:val="clear" w:fill="FFFFFF"/>
        </w:rPr>
        <w:t>等内容，按照时间节点组织</w:t>
      </w:r>
      <w:r>
        <w:rPr>
          <w:rFonts w:hint="eastAsia" w:ascii="仿宋_GB2312" w:hAnsi="宋体" w:eastAsia="仿宋_GB2312" w:cs="仿宋_GB2312"/>
          <w:i w:val="0"/>
          <w:caps w:val="0"/>
          <w:color w:val="333333"/>
          <w:spacing w:val="0"/>
          <w:sz w:val="32"/>
          <w:szCs w:val="32"/>
          <w:shd w:val="clear" w:fill="FFFFFF"/>
          <w:lang w:eastAsia="zh-CN"/>
        </w:rPr>
        <w:t>检查</w:t>
      </w:r>
      <w:r>
        <w:rPr>
          <w:rFonts w:hint="eastAsia" w:ascii="仿宋_GB2312" w:hAnsi="宋体" w:eastAsia="仿宋_GB2312" w:cs="仿宋_GB2312"/>
          <w:i w:val="0"/>
          <w:caps w:val="0"/>
          <w:color w:val="333333"/>
          <w:spacing w:val="0"/>
          <w:sz w:val="32"/>
          <w:szCs w:val="32"/>
          <w:shd w:val="clear" w:fill="FFFFFF"/>
        </w:rPr>
        <w:t>并</w:t>
      </w:r>
      <w:r>
        <w:rPr>
          <w:rFonts w:hint="eastAsia" w:ascii="仿宋_GB2312" w:hAnsi="宋体" w:eastAsia="仿宋_GB2312" w:cs="仿宋_GB2312"/>
          <w:i w:val="0"/>
          <w:caps w:val="0"/>
          <w:color w:val="333333"/>
          <w:spacing w:val="0"/>
          <w:sz w:val="32"/>
          <w:szCs w:val="32"/>
          <w:shd w:val="clear" w:fill="FFFFFF"/>
          <w:lang w:eastAsia="zh-CN"/>
        </w:rPr>
        <w:t>在网站</w:t>
      </w:r>
      <w:r>
        <w:rPr>
          <w:rFonts w:hint="eastAsia" w:ascii="仿宋_GB2312" w:hAnsi="宋体" w:eastAsia="仿宋_GB2312" w:cs="仿宋_GB2312"/>
          <w:i w:val="0"/>
          <w:caps w:val="0"/>
          <w:color w:val="333333"/>
          <w:spacing w:val="0"/>
          <w:sz w:val="32"/>
          <w:szCs w:val="32"/>
          <w:shd w:val="clear" w:fill="FFFFFF"/>
        </w:rPr>
        <w:t>适时公布抽查结果，真正做到每项检查有法可依、有据可查。</w:t>
      </w:r>
    </w:p>
    <w:p w14:paraId="493242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政府信息公开平台建设</w:t>
      </w:r>
    </w:p>
    <w:p w14:paraId="38A2D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强化融媒体合作，</w:t>
      </w:r>
      <w:r>
        <w:rPr>
          <w:rFonts w:hint="eastAsia" w:ascii="仿宋_GB2312" w:hAnsi="仿宋_GB2312" w:eastAsia="仿宋_GB2312" w:cs="仿宋_GB2312"/>
          <w:i w:val="0"/>
          <w:caps w:val="0"/>
          <w:color w:val="auto"/>
          <w:spacing w:val="0"/>
          <w:sz w:val="32"/>
          <w:szCs w:val="32"/>
          <w:shd w:val="clear" w:fill="FFFFFF"/>
        </w:rPr>
        <w:t>拓展信息公开渠道。2024年共在</w:t>
      </w:r>
      <w:r>
        <w:rPr>
          <w:rFonts w:hint="eastAsia" w:ascii="仿宋_GB2312" w:hAnsi="仿宋_GB2312" w:eastAsia="仿宋_GB2312" w:cs="仿宋_GB2312"/>
          <w:i w:val="0"/>
          <w:caps w:val="0"/>
          <w:color w:val="auto"/>
          <w:spacing w:val="0"/>
          <w:sz w:val="32"/>
          <w:szCs w:val="32"/>
          <w:shd w:val="clear" w:fill="FFFFFF"/>
          <w:lang w:eastAsia="zh-CN"/>
        </w:rPr>
        <w:t>昌乐自然资源和规划</w:t>
      </w:r>
      <w:r>
        <w:rPr>
          <w:rFonts w:hint="eastAsia" w:ascii="仿宋_GB2312" w:hAnsi="仿宋_GB2312" w:eastAsia="仿宋_GB2312" w:cs="仿宋_GB2312"/>
          <w:i w:val="0"/>
          <w:caps w:val="0"/>
          <w:color w:val="auto"/>
          <w:spacing w:val="0"/>
          <w:sz w:val="32"/>
          <w:szCs w:val="32"/>
          <w:shd w:val="clear" w:fill="FFFFFF"/>
        </w:rPr>
        <w:t>微信公众号发布信息129条</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在《大众日报》、闪电新闻、《潍坊日报》等主流媒体</w:t>
      </w:r>
      <w:r>
        <w:rPr>
          <w:rFonts w:hint="eastAsia" w:ascii="仿宋_GB2312" w:hAnsi="仿宋_GB2312" w:eastAsia="仿宋_GB2312" w:cs="仿宋_GB2312"/>
          <w:i w:val="0"/>
          <w:caps w:val="0"/>
          <w:color w:val="auto"/>
          <w:spacing w:val="0"/>
          <w:sz w:val="32"/>
          <w:szCs w:val="32"/>
          <w:shd w:val="clear" w:fill="FFFFFF"/>
          <w:lang w:eastAsia="zh-CN"/>
        </w:rPr>
        <w:t>发布信息</w:t>
      </w:r>
      <w:r>
        <w:rPr>
          <w:rFonts w:hint="eastAsia" w:ascii="仿宋_GB2312" w:hAnsi="仿宋_GB2312" w:eastAsia="仿宋_GB2312" w:cs="仿宋_GB2312"/>
          <w:i w:val="0"/>
          <w:caps w:val="0"/>
          <w:color w:val="auto"/>
          <w:spacing w:val="0"/>
          <w:sz w:val="32"/>
          <w:szCs w:val="32"/>
          <w:shd w:val="clear" w:fill="FFFFFF"/>
        </w:rPr>
        <w:t>60余</w:t>
      </w:r>
      <w:r>
        <w:rPr>
          <w:rFonts w:hint="eastAsia" w:ascii="仿宋_GB2312" w:hAnsi="仿宋_GB2312" w:eastAsia="仿宋_GB2312" w:cs="仿宋_GB2312"/>
          <w:i w:val="0"/>
          <w:caps w:val="0"/>
          <w:color w:val="auto"/>
          <w:spacing w:val="0"/>
          <w:sz w:val="32"/>
          <w:szCs w:val="32"/>
          <w:shd w:val="clear" w:fill="FFFFFF"/>
          <w:lang w:eastAsia="zh-CN"/>
        </w:rPr>
        <w:t>条</w:t>
      </w:r>
      <w:r>
        <w:rPr>
          <w:rFonts w:hint="eastAsia" w:ascii="仿宋_GB2312" w:hAnsi="仿宋_GB2312" w:eastAsia="仿宋_GB2312" w:cs="仿宋_GB2312"/>
          <w:i w:val="0"/>
          <w:caps w:val="0"/>
          <w:color w:val="auto"/>
          <w:spacing w:val="0"/>
          <w:sz w:val="32"/>
          <w:szCs w:val="32"/>
          <w:shd w:val="clear" w:fill="FFFFFF"/>
        </w:rPr>
        <w:t>。同时通过微信公众号、微信工作群、政务网站等平台及时宣传和解读各项政策、工作，发挥舆论阵地的作用。</w:t>
      </w:r>
    </w:p>
    <w:p w14:paraId="330C00E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baseline"/>
        <w:rPr>
          <w:rFonts w:hint="eastAsia" w:ascii="楷体" w:hAnsi="楷体" w:eastAsia="楷体" w:cs="楷体"/>
          <w:color w:val="auto"/>
          <w:sz w:val="32"/>
          <w:szCs w:val="32"/>
        </w:rPr>
      </w:pPr>
      <w:r>
        <w:rPr>
          <w:rFonts w:hint="eastAsia" w:ascii="楷体" w:hAnsi="楷体" w:eastAsia="楷体" w:cs="楷体"/>
          <w:color w:val="auto"/>
          <w:sz w:val="32"/>
          <w:szCs w:val="32"/>
        </w:rPr>
        <w:t>监督保障</w:t>
      </w:r>
    </w:p>
    <w:p w14:paraId="36E568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i w:val="0"/>
          <w:caps w:val="0"/>
          <w:color w:val="auto"/>
          <w:spacing w:val="0"/>
          <w:sz w:val="32"/>
          <w:szCs w:val="32"/>
          <w:shd w:val="clear" w:fill="FFFFFF"/>
          <w:lang w:eastAsia="zh-CN"/>
        </w:rPr>
        <w:t>强化</w:t>
      </w:r>
      <w:r>
        <w:rPr>
          <w:rFonts w:hint="eastAsia" w:ascii="仿宋_GB2312" w:hAnsi="仿宋_GB2312" w:eastAsia="仿宋_GB2312" w:cs="仿宋_GB2312"/>
          <w:i w:val="0"/>
          <w:caps w:val="0"/>
          <w:color w:val="auto"/>
          <w:spacing w:val="0"/>
          <w:sz w:val="32"/>
          <w:szCs w:val="32"/>
          <w:shd w:val="clear" w:fill="FFFFFF"/>
        </w:rPr>
        <w:t>组织领导</w:t>
      </w:r>
      <w:r>
        <w:rPr>
          <w:rFonts w:hint="eastAsia" w:ascii="仿宋_GB2312" w:hAnsi="仿宋_GB2312" w:eastAsia="仿宋_GB2312" w:cs="仿宋_GB2312"/>
          <w:i w:val="0"/>
          <w:caps w:val="0"/>
          <w:color w:val="auto"/>
          <w:spacing w:val="0"/>
          <w:sz w:val="32"/>
          <w:szCs w:val="32"/>
          <w:shd w:val="clear" w:fill="FFFFFF"/>
          <w:lang w:eastAsia="zh-CN"/>
        </w:rPr>
        <w:t>，确保依法公开</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rPr>
        <w:t>根据单位</w:t>
      </w:r>
      <w:r>
        <w:rPr>
          <w:rFonts w:hint="eastAsia" w:ascii="仿宋_GB2312" w:hAnsi="仿宋_GB2312" w:eastAsia="仿宋_GB2312" w:cs="仿宋_GB2312"/>
          <w:i w:val="0"/>
          <w:caps w:val="0"/>
          <w:color w:val="333333"/>
          <w:spacing w:val="0"/>
          <w:sz w:val="32"/>
          <w:szCs w:val="32"/>
          <w:shd w:val="clear" w:fill="FFFFFF"/>
          <w:lang w:eastAsia="zh-CN"/>
        </w:rPr>
        <w:t>分管领导及相关业务科室人员变动情况，对于局政务公开工作领导小组进行适时调整。</w:t>
      </w:r>
      <w:r>
        <w:rPr>
          <w:rFonts w:hint="eastAsia" w:ascii="仿宋_GB2312" w:hAnsi="仿宋_GB2312" w:eastAsia="仿宋_GB2312" w:cs="仿宋_GB2312"/>
          <w:i w:val="0"/>
          <w:caps w:val="0"/>
          <w:color w:val="auto"/>
          <w:spacing w:val="0"/>
          <w:sz w:val="32"/>
          <w:szCs w:val="32"/>
          <w:shd w:val="clear" w:fill="FFFFFF"/>
        </w:rPr>
        <w:t>各科室配备</w:t>
      </w:r>
      <w:r>
        <w:rPr>
          <w:rFonts w:hint="eastAsia" w:ascii="仿宋_GB2312" w:hAnsi="仿宋_GB2312" w:eastAsia="仿宋_GB2312" w:cs="仿宋_GB2312"/>
          <w:i w:val="0"/>
          <w:caps w:val="0"/>
          <w:color w:val="auto"/>
          <w:spacing w:val="0"/>
          <w:sz w:val="32"/>
          <w:szCs w:val="32"/>
          <w:shd w:val="clear" w:fill="FFFFFF"/>
          <w:lang w:eastAsia="zh-CN"/>
        </w:rPr>
        <w:t>专门的工作人员负责</w:t>
      </w:r>
      <w:r>
        <w:rPr>
          <w:rFonts w:hint="eastAsia" w:ascii="仿宋_GB2312" w:hAnsi="仿宋_GB2312" w:eastAsia="仿宋_GB2312" w:cs="仿宋_GB2312"/>
          <w:i w:val="0"/>
          <w:caps w:val="0"/>
          <w:color w:val="auto"/>
          <w:spacing w:val="0"/>
          <w:sz w:val="32"/>
          <w:szCs w:val="32"/>
          <w:shd w:val="clear" w:fill="FFFFFF"/>
        </w:rPr>
        <w:t>依申请</w:t>
      </w:r>
      <w:r>
        <w:rPr>
          <w:rFonts w:hint="eastAsia" w:ascii="仿宋_GB2312" w:hAnsi="仿宋_GB2312" w:eastAsia="仿宋_GB2312" w:cs="仿宋_GB2312"/>
          <w:i w:val="0"/>
          <w:caps w:val="0"/>
          <w:color w:val="auto"/>
          <w:spacing w:val="0"/>
          <w:sz w:val="32"/>
          <w:szCs w:val="32"/>
          <w:shd w:val="clear" w:fill="FFFFFF"/>
          <w:lang w:eastAsia="zh-CN"/>
        </w:rPr>
        <w:t>信息</w:t>
      </w:r>
      <w:r>
        <w:rPr>
          <w:rFonts w:hint="eastAsia" w:ascii="仿宋_GB2312" w:hAnsi="仿宋_GB2312" w:eastAsia="仿宋_GB2312" w:cs="仿宋_GB2312"/>
          <w:i w:val="0"/>
          <w:caps w:val="0"/>
          <w:color w:val="auto"/>
          <w:spacing w:val="0"/>
          <w:sz w:val="32"/>
          <w:szCs w:val="32"/>
          <w:shd w:val="clear" w:fill="FFFFFF"/>
        </w:rPr>
        <w:t>公开办理</w:t>
      </w:r>
      <w:r>
        <w:rPr>
          <w:rFonts w:hint="eastAsia" w:ascii="仿宋_GB2312" w:hAnsi="仿宋_GB2312" w:eastAsia="仿宋_GB2312" w:cs="仿宋_GB2312"/>
          <w:i w:val="0"/>
          <w:caps w:val="0"/>
          <w:color w:val="auto"/>
          <w:spacing w:val="0"/>
          <w:sz w:val="32"/>
          <w:szCs w:val="32"/>
          <w:shd w:val="clear" w:fill="FFFFFF"/>
          <w:lang w:eastAsia="zh-CN"/>
        </w:rPr>
        <w:t>工作</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rPr>
        <w:t>积极参加上级组织的政府信息公开工作会议和培训，提高政务公开业务水平</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rPr>
        <w:t>更新</w:t>
      </w:r>
      <w:r>
        <w:rPr>
          <w:rFonts w:hint="eastAsia" w:ascii="仿宋_GB2312" w:hAnsi="仿宋_GB2312" w:eastAsia="仿宋_GB2312" w:cs="仿宋_GB2312"/>
          <w:i w:val="0"/>
          <w:caps w:val="0"/>
          <w:color w:val="333333"/>
          <w:spacing w:val="0"/>
          <w:sz w:val="32"/>
          <w:szCs w:val="32"/>
          <w:shd w:val="clear" w:fill="FFFFFF"/>
          <w:lang w:eastAsia="zh-CN"/>
        </w:rPr>
        <w:t>完善自然资源领域</w:t>
      </w:r>
      <w:r>
        <w:rPr>
          <w:rFonts w:hint="eastAsia" w:ascii="仿宋_GB2312" w:hAnsi="仿宋_GB2312" w:eastAsia="仿宋_GB2312" w:cs="仿宋_GB2312"/>
          <w:i w:val="0"/>
          <w:caps w:val="0"/>
          <w:color w:val="333333"/>
          <w:spacing w:val="0"/>
          <w:sz w:val="32"/>
          <w:szCs w:val="32"/>
          <w:shd w:val="clear" w:fill="FFFFFF"/>
        </w:rPr>
        <w:t>主动公开基本目录，</w:t>
      </w:r>
      <w:r>
        <w:rPr>
          <w:rFonts w:hint="eastAsia" w:ascii="仿宋_GB2312" w:hAnsi="仿宋_GB2312" w:eastAsia="仿宋_GB2312" w:cs="仿宋_GB2312"/>
          <w:i w:val="0"/>
          <w:caps w:val="0"/>
          <w:color w:val="333333"/>
          <w:spacing w:val="0"/>
          <w:sz w:val="32"/>
          <w:szCs w:val="32"/>
          <w:shd w:val="clear" w:fill="FFFFFF"/>
          <w:lang w:eastAsia="zh-CN"/>
        </w:rPr>
        <w:t>按公开内容进行细化分工，将责任落实到具体业务科室，形成协调联动的工作机制。</w:t>
      </w:r>
    </w:p>
    <w:p w14:paraId="53159258">
      <w:pPr>
        <w:spacing w:line="60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行政机关主动公开政府信息情况</w:t>
      </w:r>
    </w:p>
    <w:tbl>
      <w:tblPr>
        <w:tblStyle w:val="7"/>
        <w:tblW w:w="9060" w:type="dxa"/>
        <w:tblInd w:w="0" w:type="dxa"/>
        <w:tblLayout w:type="fixed"/>
        <w:tblCellMar>
          <w:top w:w="0" w:type="dxa"/>
          <w:left w:w="108" w:type="dxa"/>
          <w:bottom w:w="0" w:type="dxa"/>
          <w:right w:w="108" w:type="dxa"/>
        </w:tblCellMar>
      </w:tblPr>
      <w:tblGrid>
        <w:gridCol w:w="2265"/>
        <w:gridCol w:w="2265"/>
        <w:gridCol w:w="2265"/>
        <w:gridCol w:w="2265"/>
      </w:tblGrid>
      <w:tr w14:paraId="767BC2AE">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45F103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06D00B26">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3CB0D2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77E60F3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EFD290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770A8B9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252A753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63D76F0">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227DABD3">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 xml:space="preserve">    0</w:t>
            </w:r>
          </w:p>
        </w:tc>
        <w:tc>
          <w:tcPr>
            <w:tcW w:w="2265" w:type="dxa"/>
            <w:tcBorders>
              <w:top w:val="nil"/>
              <w:left w:val="nil"/>
              <w:bottom w:val="single" w:color="auto" w:sz="8" w:space="0"/>
              <w:right w:val="single" w:color="auto" w:sz="8" w:space="0"/>
            </w:tcBorders>
            <w:shd w:val="clear" w:color="auto" w:fill="auto"/>
            <w:vAlign w:val="center"/>
          </w:tcPr>
          <w:p w14:paraId="77BAF9F1">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0968299E">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 xml:space="preserve">      0</w:t>
            </w:r>
          </w:p>
        </w:tc>
      </w:tr>
      <w:tr w14:paraId="4D1C432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794B341">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101D759C">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 xml:space="preserve">    0</w:t>
            </w:r>
          </w:p>
        </w:tc>
        <w:tc>
          <w:tcPr>
            <w:tcW w:w="2265" w:type="dxa"/>
            <w:tcBorders>
              <w:top w:val="nil"/>
              <w:left w:val="nil"/>
              <w:bottom w:val="single" w:color="auto" w:sz="8" w:space="0"/>
              <w:right w:val="single" w:color="auto" w:sz="8" w:space="0"/>
            </w:tcBorders>
            <w:shd w:val="clear" w:color="auto" w:fill="auto"/>
            <w:vAlign w:val="center"/>
          </w:tcPr>
          <w:p w14:paraId="2B043F0A">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 xml:space="preserve">    </w:t>
            </w: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1815BD6">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 xml:space="preserve">      0</w:t>
            </w:r>
          </w:p>
        </w:tc>
      </w:tr>
      <w:tr w14:paraId="6666EA74">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AF3F7F9">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626CA5B3">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42BC015">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34A5410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0CC0092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43EA611">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EAC8B75">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 xml:space="preserve">                           0</w:t>
            </w:r>
          </w:p>
        </w:tc>
      </w:tr>
      <w:tr w14:paraId="0B027DF0">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DFF2A8">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34306EF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FE584C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6299645">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74E122D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3A9145D">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6188E16">
            <w:pPr>
              <w:widowControl/>
              <w:jc w:val="left"/>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 xml:space="preserve">                           0</w:t>
            </w:r>
          </w:p>
        </w:tc>
      </w:tr>
      <w:tr w14:paraId="7C9F77D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DD7230">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0B5BF64">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　</w:t>
            </w:r>
            <w:r>
              <w:rPr>
                <w:rFonts w:hint="eastAsia" w:ascii="仿宋_GB2312" w:hAnsi="宋体" w:eastAsia="仿宋_GB2312" w:cs="宋体"/>
                <w:color w:val="auto"/>
                <w:kern w:val="0"/>
                <w:szCs w:val="21"/>
                <w:lang w:val="en-US" w:eastAsia="zh-CN"/>
              </w:rPr>
              <w:t xml:space="preserve">                           0</w:t>
            </w:r>
          </w:p>
        </w:tc>
      </w:tr>
      <w:tr w14:paraId="2E8CD92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68518B3">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2E24B27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D67A26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3C3A66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305FCA8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BA057C6">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3752E774">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rPr>
              <w:t>　</w:t>
            </w:r>
            <w:r>
              <w:rPr>
                <w:rFonts w:hint="eastAsia" w:ascii="仿宋_GB2312" w:hAnsi="Calibri" w:eastAsia="仿宋_GB2312" w:cs="Calibri"/>
                <w:color w:val="auto"/>
                <w:kern w:val="0"/>
                <w:szCs w:val="21"/>
                <w:lang w:val="en-US" w:eastAsia="zh-CN"/>
              </w:rPr>
              <w:t xml:space="preserve">                          0</w:t>
            </w:r>
          </w:p>
        </w:tc>
      </w:tr>
    </w:tbl>
    <w:p w14:paraId="59447C55">
      <w:pPr>
        <w:spacing w:line="60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三、</w:t>
      </w:r>
      <w:r>
        <w:rPr>
          <w:rFonts w:hint="eastAsia" w:ascii="黑体" w:hAnsi="黑体" w:eastAsia="黑体" w:cs="黑体"/>
          <w:b/>
          <w:bCs/>
          <w:color w:val="auto"/>
          <w:sz w:val="32"/>
          <w:szCs w:val="32"/>
        </w:rPr>
        <w:t>行政机关收到和处理政府信息公开申请情况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2CE51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559DBFB">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4A87AFE0">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shd w:val="clear" w:color="auto" w:fill="auto"/>
            <w:tcMar>
              <w:left w:w="108" w:type="dxa"/>
              <w:right w:w="108" w:type="dxa"/>
            </w:tcMar>
            <w:vAlign w:val="center"/>
          </w:tcPr>
          <w:p w14:paraId="3B6BDC80">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6A9F5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190C0C0">
            <w:pPr>
              <w:jc w:val="center"/>
              <w:rPr>
                <w:rFonts w:ascii="仿宋_GB2312" w:hAnsi="Times New Roman" w:eastAsia="仿宋_GB2312"/>
                <w:color w:val="auto"/>
                <w:szCs w:val="21"/>
              </w:rPr>
            </w:pPr>
          </w:p>
        </w:tc>
        <w:tc>
          <w:tcPr>
            <w:tcW w:w="829" w:type="dxa"/>
            <w:vMerge w:val="restart"/>
            <w:shd w:val="clear" w:color="auto" w:fill="auto"/>
            <w:tcMar>
              <w:left w:w="108" w:type="dxa"/>
              <w:right w:w="108" w:type="dxa"/>
            </w:tcMar>
            <w:vAlign w:val="center"/>
          </w:tcPr>
          <w:p w14:paraId="4543E8B6">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shd w:val="clear" w:color="auto" w:fill="auto"/>
            <w:tcMar>
              <w:left w:w="108" w:type="dxa"/>
              <w:right w:w="108" w:type="dxa"/>
            </w:tcMar>
            <w:vAlign w:val="center"/>
          </w:tcPr>
          <w:p w14:paraId="302DF586">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shd w:val="clear" w:color="auto" w:fill="auto"/>
            <w:tcMar>
              <w:left w:w="108" w:type="dxa"/>
              <w:right w:w="108" w:type="dxa"/>
            </w:tcMar>
            <w:vAlign w:val="center"/>
          </w:tcPr>
          <w:p w14:paraId="66B50FC5">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7FFD9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C7B622B">
            <w:pPr>
              <w:jc w:val="center"/>
              <w:rPr>
                <w:rFonts w:ascii="仿宋_GB2312" w:hAnsi="Times New Roman" w:eastAsia="仿宋_GB2312"/>
                <w:color w:val="auto"/>
                <w:szCs w:val="21"/>
              </w:rPr>
            </w:pPr>
          </w:p>
        </w:tc>
        <w:tc>
          <w:tcPr>
            <w:tcW w:w="829" w:type="dxa"/>
            <w:vMerge w:val="continue"/>
            <w:shd w:val="clear" w:color="auto" w:fill="auto"/>
            <w:tcMar>
              <w:left w:w="108" w:type="dxa"/>
              <w:right w:w="108" w:type="dxa"/>
            </w:tcMar>
            <w:vAlign w:val="center"/>
          </w:tcPr>
          <w:p w14:paraId="33A8CD73">
            <w:pPr>
              <w:jc w:val="center"/>
              <w:rPr>
                <w:rFonts w:ascii="黑体" w:hAnsi="黑体" w:eastAsia="黑体"/>
                <w:color w:val="auto"/>
                <w:szCs w:val="21"/>
              </w:rPr>
            </w:pPr>
          </w:p>
        </w:tc>
        <w:tc>
          <w:tcPr>
            <w:tcW w:w="567" w:type="dxa"/>
            <w:shd w:val="clear" w:color="auto" w:fill="auto"/>
            <w:tcMar>
              <w:left w:w="108" w:type="dxa"/>
              <w:right w:w="108" w:type="dxa"/>
            </w:tcMar>
            <w:vAlign w:val="center"/>
          </w:tcPr>
          <w:p w14:paraId="18B0BE93">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shd w:val="clear" w:color="auto" w:fill="auto"/>
            <w:tcMar>
              <w:left w:w="108" w:type="dxa"/>
              <w:right w:w="108" w:type="dxa"/>
            </w:tcMar>
            <w:vAlign w:val="center"/>
          </w:tcPr>
          <w:p w14:paraId="48262538">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shd w:val="clear" w:color="auto" w:fill="auto"/>
            <w:tcMar>
              <w:left w:w="108" w:type="dxa"/>
              <w:right w:w="108" w:type="dxa"/>
            </w:tcMar>
            <w:vAlign w:val="center"/>
          </w:tcPr>
          <w:p w14:paraId="2AAAEC38">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shd w:val="clear" w:color="auto" w:fill="auto"/>
            <w:tcMar>
              <w:left w:w="108" w:type="dxa"/>
              <w:right w:w="108" w:type="dxa"/>
            </w:tcMar>
            <w:vAlign w:val="center"/>
          </w:tcPr>
          <w:p w14:paraId="66F3BDEE">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shd w:val="clear" w:color="auto" w:fill="auto"/>
            <w:tcMar>
              <w:left w:w="108" w:type="dxa"/>
              <w:right w:w="108" w:type="dxa"/>
            </w:tcMar>
            <w:vAlign w:val="center"/>
          </w:tcPr>
          <w:p w14:paraId="710E9164">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shd w:val="clear" w:color="auto" w:fill="auto"/>
            <w:tcMar>
              <w:left w:w="108" w:type="dxa"/>
              <w:right w:w="108" w:type="dxa"/>
            </w:tcMar>
            <w:vAlign w:val="center"/>
          </w:tcPr>
          <w:p w14:paraId="3108B61B">
            <w:pPr>
              <w:jc w:val="center"/>
              <w:rPr>
                <w:rFonts w:ascii="仿宋_GB2312" w:hAnsi="Times New Roman" w:eastAsia="仿宋_GB2312"/>
                <w:color w:val="auto"/>
                <w:szCs w:val="21"/>
              </w:rPr>
            </w:pPr>
          </w:p>
        </w:tc>
      </w:tr>
      <w:tr w14:paraId="3AA87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E343B94">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shd w:val="clear" w:color="auto" w:fill="auto"/>
            <w:tcMar>
              <w:left w:w="108" w:type="dxa"/>
              <w:right w:w="108" w:type="dxa"/>
            </w:tcMar>
            <w:vAlign w:val="center"/>
          </w:tcPr>
          <w:p w14:paraId="7FD495E7">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14</w:t>
            </w:r>
          </w:p>
        </w:tc>
        <w:tc>
          <w:tcPr>
            <w:tcW w:w="567" w:type="dxa"/>
            <w:shd w:val="clear" w:color="auto" w:fill="auto"/>
            <w:tcMar>
              <w:left w:w="108" w:type="dxa"/>
              <w:right w:w="108" w:type="dxa"/>
            </w:tcMar>
            <w:vAlign w:val="center"/>
          </w:tcPr>
          <w:p w14:paraId="30B2A89C">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67" w:type="dxa"/>
            <w:shd w:val="clear" w:color="auto" w:fill="auto"/>
            <w:tcMar>
              <w:left w:w="108" w:type="dxa"/>
              <w:right w:w="108" w:type="dxa"/>
            </w:tcMar>
            <w:vAlign w:val="center"/>
          </w:tcPr>
          <w:p w14:paraId="726CB3E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99B1D4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05FC5ED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C5D5A44">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9A50C03">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15</w:t>
            </w:r>
          </w:p>
        </w:tc>
      </w:tr>
      <w:tr w14:paraId="08FE4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8DF1B90">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shd w:val="clear" w:color="auto" w:fill="auto"/>
            <w:tcMar>
              <w:left w:w="108" w:type="dxa"/>
              <w:right w:w="108" w:type="dxa"/>
            </w:tcMar>
            <w:vAlign w:val="center"/>
          </w:tcPr>
          <w:p w14:paraId="19D4075D">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67" w:type="dxa"/>
            <w:shd w:val="clear" w:color="auto" w:fill="auto"/>
            <w:tcMar>
              <w:left w:w="108" w:type="dxa"/>
              <w:right w:w="108" w:type="dxa"/>
            </w:tcMar>
            <w:vAlign w:val="center"/>
          </w:tcPr>
          <w:p w14:paraId="15EE2D3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c>
          <w:tcPr>
            <w:tcW w:w="567" w:type="dxa"/>
            <w:shd w:val="clear" w:color="auto" w:fill="auto"/>
            <w:tcMar>
              <w:left w:w="108" w:type="dxa"/>
              <w:right w:w="108" w:type="dxa"/>
            </w:tcMar>
            <w:vAlign w:val="center"/>
          </w:tcPr>
          <w:p w14:paraId="7462126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BD2A40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0372041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3B7475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3FC586E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r>
      <w:tr w14:paraId="12D80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6EF651DB">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14:paraId="7982A701">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shd w:val="clear" w:color="auto" w:fill="auto"/>
            <w:tcMar>
              <w:left w:w="108" w:type="dxa"/>
              <w:right w:w="108" w:type="dxa"/>
            </w:tcMar>
            <w:vAlign w:val="center"/>
          </w:tcPr>
          <w:p w14:paraId="78AC918F">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14</w:t>
            </w:r>
          </w:p>
        </w:tc>
        <w:tc>
          <w:tcPr>
            <w:tcW w:w="567" w:type="dxa"/>
            <w:shd w:val="clear" w:color="auto" w:fill="auto"/>
            <w:tcMar>
              <w:left w:w="108" w:type="dxa"/>
              <w:right w:w="108" w:type="dxa"/>
            </w:tcMar>
            <w:vAlign w:val="center"/>
          </w:tcPr>
          <w:p w14:paraId="48A232E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c>
          <w:tcPr>
            <w:tcW w:w="567" w:type="dxa"/>
            <w:shd w:val="clear" w:color="auto" w:fill="auto"/>
            <w:tcMar>
              <w:left w:w="108" w:type="dxa"/>
              <w:right w:w="108" w:type="dxa"/>
            </w:tcMar>
            <w:vAlign w:val="center"/>
          </w:tcPr>
          <w:p w14:paraId="5842D8E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8BDFA1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EFD820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7A5853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6F49EA18">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17</w:t>
            </w:r>
          </w:p>
        </w:tc>
      </w:tr>
      <w:tr w14:paraId="35989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6911308">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2D82CEDD">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shd w:val="clear" w:color="auto" w:fill="auto"/>
            <w:tcMar>
              <w:left w:w="108" w:type="dxa"/>
              <w:right w:w="108" w:type="dxa"/>
            </w:tcMar>
            <w:vAlign w:val="center"/>
          </w:tcPr>
          <w:p w14:paraId="6181A6F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DFFDE8D">
            <w:pPr>
              <w:widowControl/>
              <w:spacing w:after="180"/>
              <w:jc w:val="center"/>
              <w:rPr>
                <w:rFonts w:hint="default"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BB2861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8783EF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F58740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FCBB80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1ECE6A3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3F05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B1C766E">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3E41B970">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14:paraId="49A9037B">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shd w:val="clear" w:color="auto" w:fill="auto"/>
            <w:tcMar>
              <w:left w:w="108" w:type="dxa"/>
              <w:right w:w="108" w:type="dxa"/>
            </w:tcMar>
            <w:vAlign w:val="center"/>
          </w:tcPr>
          <w:p w14:paraId="26658EA9">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1409F9D">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437BB4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F9B553A">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300DED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07EADF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784C17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1C67F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9571E4F">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FE1000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61ACB58">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shd w:val="clear" w:color="auto" w:fill="auto"/>
            <w:tcMar>
              <w:left w:w="108" w:type="dxa"/>
              <w:right w:w="108" w:type="dxa"/>
            </w:tcMar>
            <w:vAlign w:val="center"/>
          </w:tcPr>
          <w:p w14:paraId="4B6E2B3A">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0B4CBFD">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337938F">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B59B2C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CBBB2B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5B8690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44CFC0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0A28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8DDDF5">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50FD37D6">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6F9A0FD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shd w:val="clear" w:color="auto" w:fill="auto"/>
            <w:tcMar>
              <w:left w:w="108" w:type="dxa"/>
              <w:right w:w="108" w:type="dxa"/>
            </w:tcMar>
            <w:vAlign w:val="center"/>
          </w:tcPr>
          <w:p w14:paraId="78A0928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B18950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C9727A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FA74BD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26F094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4B179B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739E500F">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099CE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4283D42">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5905DBA0">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993001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shd w:val="clear" w:color="auto" w:fill="auto"/>
            <w:tcMar>
              <w:left w:w="108" w:type="dxa"/>
              <w:right w:w="108" w:type="dxa"/>
            </w:tcMar>
            <w:vAlign w:val="center"/>
          </w:tcPr>
          <w:p w14:paraId="07CC999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5067DF5">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EB0D03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E103A4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3D4348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4ACB02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3FFF51A">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EDD6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1C6B621">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555FF737">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5BBE581E">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shd w:val="clear" w:color="auto" w:fill="auto"/>
            <w:tcMar>
              <w:left w:w="108" w:type="dxa"/>
              <w:right w:w="108" w:type="dxa"/>
            </w:tcMar>
            <w:vAlign w:val="center"/>
          </w:tcPr>
          <w:p w14:paraId="08F0A61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34EE68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B4EF0D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B47AA6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8ABB21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EC2BDD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6D1D4C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5F306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EDE2608">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472142E4">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6CCBB1DD">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shd w:val="clear" w:color="auto" w:fill="auto"/>
            <w:tcMar>
              <w:left w:w="108" w:type="dxa"/>
              <w:right w:w="108" w:type="dxa"/>
            </w:tcMar>
            <w:vAlign w:val="center"/>
          </w:tcPr>
          <w:p w14:paraId="31D6B48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03AA30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4510C8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6DA4BA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50F6259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33F606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9EE4F1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4CB7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AAE24B4">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3125BAB">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94D7C9E">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shd w:val="clear" w:color="auto" w:fill="auto"/>
            <w:tcMar>
              <w:left w:w="108" w:type="dxa"/>
              <w:right w:w="108" w:type="dxa"/>
            </w:tcMar>
            <w:vAlign w:val="center"/>
          </w:tcPr>
          <w:p w14:paraId="475AE82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C7EDAD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946B86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3D2F8E3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01FDC44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6B8B55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203CF3AE">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5361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A18302A">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4E412C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37F1EA78">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shd w:val="clear" w:color="auto" w:fill="auto"/>
            <w:tcMar>
              <w:left w:w="108" w:type="dxa"/>
              <w:right w:w="108" w:type="dxa"/>
            </w:tcMar>
            <w:vAlign w:val="center"/>
          </w:tcPr>
          <w:p w14:paraId="08A989BF">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11A059F">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CED1C9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D92C22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5975852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39BAC6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CFE42CE">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1BC64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56796C">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424E61DF">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14:paraId="44070CD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shd w:val="clear" w:color="auto" w:fill="auto"/>
            <w:tcMar>
              <w:left w:w="108" w:type="dxa"/>
              <w:right w:w="108" w:type="dxa"/>
            </w:tcMar>
            <w:vAlign w:val="center"/>
          </w:tcPr>
          <w:p w14:paraId="7752C8A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D5D262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F097C6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5385D5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4BE4C0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5A8DD9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65F4FCC1">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03AB2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FE0BDD4">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6BB07E8">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14:paraId="7F93172D">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shd w:val="clear" w:color="auto" w:fill="auto"/>
            <w:tcMar>
              <w:left w:w="108" w:type="dxa"/>
              <w:right w:w="108" w:type="dxa"/>
            </w:tcMar>
            <w:vAlign w:val="center"/>
          </w:tcPr>
          <w:p w14:paraId="79404E7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2841A0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F0F741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5603B5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123BC0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839138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B4DBC3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4C7FA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624585D">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797458E">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14:paraId="58A96DA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shd w:val="clear" w:color="auto" w:fill="auto"/>
            <w:tcMar>
              <w:left w:w="108" w:type="dxa"/>
              <w:right w:w="108" w:type="dxa"/>
            </w:tcMar>
            <w:vAlign w:val="center"/>
          </w:tcPr>
          <w:p w14:paraId="70590DA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57D952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C59B57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CFFFA9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F816B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0D51A1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C83785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F4C6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3A905E1">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14BA8709">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14:paraId="6748D30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shd w:val="clear" w:color="auto" w:fill="auto"/>
            <w:tcMar>
              <w:left w:w="108" w:type="dxa"/>
              <w:right w:w="108" w:type="dxa"/>
            </w:tcMar>
            <w:vAlign w:val="center"/>
          </w:tcPr>
          <w:p w14:paraId="47A90E2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4EA1F1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013569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0FC7B4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5F1E2C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1E4480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3B61596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506C4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4C0A32">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3E34CC0F">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98ECB6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shd w:val="clear" w:color="auto" w:fill="auto"/>
            <w:tcMar>
              <w:left w:w="108" w:type="dxa"/>
              <w:right w:w="108" w:type="dxa"/>
            </w:tcMar>
            <w:vAlign w:val="center"/>
          </w:tcPr>
          <w:p w14:paraId="509E239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1E271C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9AFDEA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508E80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CA9660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09EB67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4D3DB8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8C15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13884D7">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3BA25DF">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39B07C8">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shd w:val="clear" w:color="auto" w:fill="auto"/>
            <w:tcMar>
              <w:left w:w="108" w:type="dxa"/>
              <w:right w:w="108" w:type="dxa"/>
            </w:tcMar>
            <w:vAlign w:val="center"/>
          </w:tcPr>
          <w:p w14:paraId="253C8A9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2CEEFE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2AF69F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A36C08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7A0D71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132868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263BB1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5CA8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30DE6F2C">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67B37F1">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72E142B6">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shd w:val="clear" w:color="auto" w:fill="auto"/>
            <w:tcMar>
              <w:left w:w="108" w:type="dxa"/>
              <w:right w:w="108" w:type="dxa"/>
            </w:tcMar>
            <w:vAlign w:val="center"/>
          </w:tcPr>
          <w:p w14:paraId="6B6F2C7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0DD1284">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B33B6B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FD6E54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BA42FE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F812DC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3D2AAA4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03485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536831D">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01625A8">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E3167FB">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5FB8B25F">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shd w:val="clear" w:color="auto" w:fill="auto"/>
            <w:tcMar>
              <w:left w:w="108" w:type="dxa"/>
              <w:right w:w="108" w:type="dxa"/>
            </w:tcMar>
            <w:vAlign w:val="center"/>
          </w:tcPr>
          <w:p w14:paraId="4506A9F5">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759F03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112A84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36B2989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BCA74D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912B4A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57678E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30AA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A208454">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3AAB5340">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14:paraId="01686E21">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14:paraId="442DADC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D4CD90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203A19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441F8A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F7BA2E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61F0EC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37E40E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65146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EE19C50">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5FA764B">
            <w:pPr>
              <w:widowControl/>
              <w:spacing w:line="300" w:lineRule="exact"/>
              <w:rPr>
                <w:rFonts w:ascii="黑体" w:hAnsi="黑体" w:eastAsia="黑体"/>
                <w:color w:val="auto"/>
                <w:kern w:val="0"/>
                <w:szCs w:val="21"/>
              </w:rPr>
            </w:pPr>
          </w:p>
        </w:tc>
        <w:tc>
          <w:tcPr>
            <w:tcW w:w="2976" w:type="dxa"/>
            <w:shd w:val="clear" w:color="auto" w:fill="auto"/>
            <w:vAlign w:val="center"/>
          </w:tcPr>
          <w:p w14:paraId="4CE6446C">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76E0E6F">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ACFD2A9">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E2E6B1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1E6879A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35DA5E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775AF9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A551A1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5453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4FA3C5">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B103DF1">
            <w:pPr>
              <w:widowControl/>
              <w:spacing w:line="300" w:lineRule="exact"/>
              <w:rPr>
                <w:rFonts w:ascii="黑体" w:hAnsi="黑体" w:eastAsia="黑体"/>
                <w:color w:val="auto"/>
                <w:kern w:val="0"/>
                <w:szCs w:val="21"/>
              </w:rPr>
            </w:pPr>
          </w:p>
        </w:tc>
        <w:tc>
          <w:tcPr>
            <w:tcW w:w="2976" w:type="dxa"/>
            <w:shd w:val="clear" w:color="auto" w:fill="auto"/>
            <w:vAlign w:val="center"/>
          </w:tcPr>
          <w:p w14:paraId="42C8CC22">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shd w:val="clear" w:color="auto" w:fill="auto"/>
            <w:tcMar>
              <w:left w:w="108" w:type="dxa"/>
              <w:right w:w="108" w:type="dxa"/>
            </w:tcMar>
            <w:vAlign w:val="center"/>
          </w:tcPr>
          <w:p w14:paraId="0F5DF862">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84C8ADA">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774CD4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D84331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30658FC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2C1C21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E2FDECF">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6934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FB18CB">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63B334F7">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shd w:val="clear" w:color="auto" w:fill="auto"/>
            <w:tcMar>
              <w:left w:w="108" w:type="dxa"/>
              <w:right w:w="108" w:type="dxa"/>
            </w:tcMar>
            <w:vAlign w:val="center"/>
          </w:tcPr>
          <w:p w14:paraId="52DDA9C0">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14</w:t>
            </w:r>
          </w:p>
        </w:tc>
        <w:tc>
          <w:tcPr>
            <w:tcW w:w="567" w:type="dxa"/>
            <w:shd w:val="clear" w:color="auto" w:fill="auto"/>
            <w:tcMar>
              <w:left w:w="108" w:type="dxa"/>
              <w:right w:w="108" w:type="dxa"/>
            </w:tcMar>
            <w:vAlign w:val="center"/>
          </w:tcPr>
          <w:p w14:paraId="337642D5">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c>
          <w:tcPr>
            <w:tcW w:w="567" w:type="dxa"/>
            <w:shd w:val="clear" w:color="auto" w:fill="auto"/>
            <w:tcMar>
              <w:left w:w="108" w:type="dxa"/>
              <w:right w:w="108" w:type="dxa"/>
            </w:tcMar>
            <w:vAlign w:val="center"/>
          </w:tcPr>
          <w:p w14:paraId="150EEDE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EA4F3C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00337A3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77EB91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60592247">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17</w:t>
            </w:r>
          </w:p>
        </w:tc>
      </w:tr>
      <w:tr w14:paraId="7ABDA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9F46857">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shd w:val="clear" w:color="auto" w:fill="auto"/>
            <w:tcMar>
              <w:left w:w="108" w:type="dxa"/>
              <w:right w:w="108" w:type="dxa"/>
            </w:tcMar>
            <w:vAlign w:val="center"/>
          </w:tcPr>
          <w:p w14:paraId="5F2A3355">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67" w:type="dxa"/>
            <w:shd w:val="clear" w:color="auto" w:fill="auto"/>
            <w:tcMar>
              <w:left w:w="108" w:type="dxa"/>
              <w:right w:w="108" w:type="dxa"/>
            </w:tcMar>
            <w:vAlign w:val="center"/>
          </w:tcPr>
          <w:p w14:paraId="30A38D5F">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A83E19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C224AA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CAA992E">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C60F39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499B8A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r>
    </w:tbl>
    <w:p w14:paraId="2FF9E63F">
      <w:pPr>
        <w:spacing w:line="600" w:lineRule="exact"/>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四、</w:t>
      </w:r>
      <w:r>
        <w:rPr>
          <w:rFonts w:hint="eastAsia" w:ascii="黑体" w:hAnsi="黑体" w:eastAsia="黑体" w:cs="黑体"/>
          <w:b/>
          <w:bCs/>
          <w:color w:val="auto"/>
          <w:sz w:val="32"/>
          <w:szCs w:val="32"/>
        </w:rPr>
        <w:t>因政府信息公开工作被申请行政复议、提起行政诉讼情况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D0D5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236872">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35B414">
            <w:pPr>
              <w:widowControl/>
              <w:jc w:val="center"/>
              <w:rPr>
                <w:rFonts w:ascii="黑体" w:hAnsi="黑体" w:eastAsia="黑体"/>
                <w:color w:val="auto"/>
              </w:rPr>
            </w:pPr>
            <w:r>
              <w:rPr>
                <w:rFonts w:ascii="黑体" w:hAnsi="黑体" w:eastAsia="黑体"/>
                <w:color w:val="auto"/>
                <w:kern w:val="0"/>
                <w:sz w:val="20"/>
                <w:szCs w:val="20"/>
              </w:rPr>
              <w:t>行政诉讼</w:t>
            </w:r>
          </w:p>
        </w:tc>
      </w:tr>
      <w:tr w14:paraId="487F2B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B4B9A9">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14:paraId="14EE2199">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9D94810">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0F6BF2">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2D237D">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14:paraId="3D33228E">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6EFEAE">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14:paraId="736E5FA6">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7B8C36">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FC37A5">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14:paraId="48EA51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189965">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C27CA05">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6C580D">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E699E1">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986C4A">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CC4258B">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7C16264">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A59A62">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14:paraId="6DA69B82">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515E01">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14:paraId="54E776CB">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7C7387">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DD709A">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EF362F">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14:paraId="661C5F7F">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280EB5">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14:paraId="62D73C62">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7E7FDD">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DA6742">
            <w:pPr>
              <w:widowControl/>
              <w:jc w:val="center"/>
              <w:rPr>
                <w:rFonts w:ascii="黑体" w:hAnsi="黑体" w:eastAsia="黑体"/>
                <w:color w:val="auto"/>
              </w:rPr>
            </w:pPr>
            <w:r>
              <w:rPr>
                <w:rFonts w:ascii="黑体" w:hAnsi="黑体" w:eastAsia="黑体"/>
                <w:color w:val="auto"/>
                <w:kern w:val="0"/>
                <w:sz w:val="20"/>
                <w:szCs w:val="20"/>
              </w:rPr>
              <w:t>总计</w:t>
            </w:r>
          </w:p>
        </w:tc>
      </w:tr>
      <w:tr w14:paraId="38690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A7A1D1">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B64C95">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2</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6C27EF">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EBD951A">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C1D7083">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E9EE1AC">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98B678C">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D771DE9">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385B752">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EF27F7E">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DC88F08">
            <w:pPr>
              <w:widowControl/>
              <w:spacing w:after="180"/>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B246178">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AC0EF32">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D99D809">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bookmarkStart w:id="10" w:name="_GoBack"/>
            <w:bookmarkEnd w:id="10"/>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CE758B8">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r>
    </w:tbl>
    <w:p w14:paraId="375C8948">
      <w:pPr>
        <w:numPr>
          <w:ilvl w:val="0"/>
          <w:numId w:val="2"/>
        </w:numPr>
        <w:spacing w:line="60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存在的主要问题及</w:t>
      </w:r>
      <w:r>
        <w:rPr>
          <w:rFonts w:hint="eastAsia" w:ascii="黑体" w:hAnsi="黑体" w:eastAsia="黑体" w:cs="黑体"/>
          <w:b/>
          <w:bCs/>
          <w:color w:val="auto"/>
          <w:sz w:val="32"/>
          <w:szCs w:val="32"/>
          <w:lang w:eastAsia="zh-CN"/>
        </w:rPr>
        <w:t>下步整改措施</w:t>
      </w:r>
    </w:p>
    <w:p w14:paraId="38015FC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虽然2024年政府信息公开工作取得了一定的成效，但是仍然存在一些问题，</w:t>
      </w:r>
      <w:r>
        <w:rPr>
          <w:rFonts w:hint="eastAsia" w:ascii="仿宋_GB2312" w:hAnsi="仿宋_GB2312" w:eastAsia="仿宋_GB2312" w:cs="仿宋_GB2312"/>
          <w:color w:val="auto"/>
          <w:kern w:val="2"/>
          <w:sz w:val="32"/>
          <w:szCs w:val="32"/>
          <w:highlight w:val="none"/>
          <w:lang w:val="en-US" w:eastAsia="zh-CN" w:bidi="ar-SA"/>
        </w:rPr>
        <w:t>主要表现为：</w:t>
      </w:r>
      <w:r>
        <w:rPr>
          <w:rFonts w:hint="eastAsia" w:ascii="仿宋_GB2312" w:hAnsi="仿宋_GB2312" w:eastAsia="仿宋_GB2312" w:cs="仿宋_GB2312"/>
          <w:color w:val="auto"/>
          <w:kern w:val="2"/>
          <w:sz w:val="32"/>
          <w:szCs w:val="32"/>
          <w:lang w:val="en-US" w:eastAsia="zh-CN" w:bidi="ar-SA"/>
        </w:rPr>
        <w:t>公开内容不够丰富、政策文件解读方式不够新颖、协调沟通机制不健全等问题。</w:t>
      </w:r>
    </w:p>
    <w:p w14:paraId="78636EE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针对上述问题，</w:t>
      </w:r>
      <w:r>
        <w:rPr>
          <w:rFonts w:hint="eastAsia" w:ascii="仿宋_GB2312" w:hAnsi="仿宋_GB2312" w:eastAsia="仿宋_GB2312" w:cs="仿宋_GB2312"/>
          <w:color w:val="auto"/>
          <w:kern w:val="2"/>
          <w:sz w:val="32"/>
          <w:szCs w:val="32"/>
          <w:lang w:val="en-US" w:eastAsia="zh-CN" w:bidi="ar-SA"/>
        </w:rPr>
        <w:t>下一步，县自然资源和规划局将从以下三个方面进行整改，以更好的提高自己政务公开水平。</w:t>
      </w:r>
    </w:p>
    <w:p w14:paraId="29E400B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一是</w:t>
      </w:r>
      <w:r>
        <w:rPr>
          <w:rFonts w:hint="eastAsia" w:ascii="仿宋_GB2312" w:hAnsi="仿宋_GB2312" w:eastAsia="仿宋_GB2312" w:cs="仿宋_GB2312"/>
          <w:i w:val="0"/>
          <w:caps w:val="0"/>
          <w:color w:val="auto"/>
          <w:spacing w:val="0"/>
          <w:sz w:val="32"/>
          <w:szCs w:val="32"/>
          <w:shd w:val="clear" w:fill="FFFFFF"/>
          <w:lang w:eastAsia="zh-CN"/>
        </w:rPr>
        <w:t>进一步丰富公开内容</w:t>
      </w:r>
      <w:r>
        <w:rPr>
          <w:rFonts w:hint="eastAsia" w:ascii="仿宋_GB2312" w:hAnsi="仿宋_GB2312" w:eastAsia="仿宋_GB2312" w:cs="仿宋_GB2312"/>
          <w:i w:val="0"/>
          <w:caps w:val="0"/>
          <w:color w:val="auto"/>
          <w:spacing w:val="0"/>
          <w:sz w:val="32"/>
          <w:szCs w:val="32"/>
          <w:shd w:val="clear" w:fill="FFFFFF"/>
        </w:rPr>
        <w:t>。明确“以公开为常态，不公开为例外”的公开原则，严格按照《政府信息公开条例》等相关规定，持续扩大公开广度和深度，</w:t>
      </w:r>
      <w:r>
        <w:rPr>
          <w:rFonts w:hint="eastAsia" w:ascii="仿宋_GB2312" w:hAnsi="仿宋_GB2312" w:eastAsia="仿宋_GB2312" w:cs="仿宋_GB2312"/>
          <w:i w:val="0"/>
          <w:caps w:val="0"/>
          <w:color w:val="auto"/>
          <w:spacing w:val="0"/>
          <w:sz w:val="32"/>
          <w:szCs w:val="32"/>
          <w:shd w:val="clear" w:fill="FFFFFF"/>
          <w:lang w:eastAsia="zh-CN"/>
        </w:rPr>
        <w:t>推动依申请信息公开内容向主动公开转变，</w:t>
      </w:r>
      <w:r>
        <w:rPr>
          <w:rFonts w:hint="eastAsia" w:ascii="仿宋_GB2312" w:hAnsi="仿宋_GB2312" w:eastAsia="仿宋_GB2312" w:cs="仿宋_GB2312"/>
          <w:i w:val="0"/>
          <w:caps w:val="0"/>
          <w:color w:val="auto"/>
          <w:spacing w:val="0"/>
          <w:sz w:val="32"/>
          <w:szCs w:val="32"/>
          <w:shd w:val="clear" w:fill="FFFFFF"/>
        </w:rPr>
        <w:t>切实满足人民群众获取政府信息的合理需求。</w:t>
      </w:r>
    </w:p>
    <w:p w14:paraId="1D81CA0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二</w:t>
      </w:r>
      <w:r>
        <w:rPr>
          <w:rFonts w:hint="eastAsia" w:ascii="仿宋_GB2312" w:hAnsi="仿宋_GB2312" w:eastAsia="仿宋_GB2312" w:cs="仿宋_GB2312"/>
          <w:i w:val="0"/>
          <w:caps w:val="0"/>
          <w:color w:val="auto"/>
          <w:spacing w:val="0"/>
          <w:sz w:val="32"/>
          <w:szCs w:val="32"/>
          <w:shd w:val="clear" w:fill="FFFFFF"/>
        </w:rPr>
        <w:t>是</w:t>
      </w:r>
      <w:r>
        <w:rPr>
          <w:rFonts w:hint="eastAsia" w:ascii="仿宋_GB2312" w:hAnsi="仿宋_GB2312" w:eastAsia="仿宋_GB2312" w:cs="仿宋_GB2312"/>
          <w:i w:val="0"/>
          <w:caps w:val="0"/>
          <w:color w:val="auto"/>
          <w:spacing w:val="0"/>
          <w:sz w:val="32"/>
          <w:szCs w:val="32"/>
          <w:shd w:val="clear" w:fill="FFFFFF"/>
          <w:lang w:eastAsia="zh-CN"/>
        </w:rPr>
        <w:t>创新政策文件解读形式。改变以往以图片文字解读的传统方式，</w:t>
      </w:r>
      <w:r>
        <w:rPr>
          <w:rFonts w:hint="eastAsia" w:ascii="仿宋_GB2312" w:hAnsi="仿宋_GB2312" w:eastAsia="仿宋_GB2312" w:cs="仿宋_GB2312"/>
          <w:i w:val="0"/>
          <w:caps w:val="0"/>
          <w:color w:val="auto"/>
          <w:spacing w:val="0"/>
          <w:sz w:val="32"/>
          <w:szCs w:val="32"/>
          <w:shd w:val="clear" w:fill="FFFFFF"/>
        </w:rPr>
        <w:t>多用视频等通俗易懂的解读形式</w:t>
      </w:r>
      <w:r>
        <w:rPr>
          <w:rFonts w:hint="eastAsia" w:ascii="仿宋_GB2312" w:hAnsi="仿宋_GB2312" w:eastAsia="仿宋_GB2312" w:cs="仿宋_GB2312"/>
          <w:i w:val="0"/>
          <w:caps w:val="0"/>
          <w:color w:val="auto"/>
          <w:spacing w:val="0"/>
          <w:sz w:val="32"/>
          <w:szCs w:val="32"/>
          <w:shd w:val="clear" w:fill="FFFFFF"/>
          <w:lang w:eastAsia="zh-CN"/>
        </w:rPr>
        <w:t>，提高解读内容的可理解性，以便于群众更好的理解政策文件。</w:t>
      </w:r>
    </w:p>
    <w:p w14:paraId="72C7D99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三是</w:t>
      </w:r>
      <w:r>
        <w:rPr>
          <w:rFonts w:hint="eastAsia" w:ascii="仿宋_GB2312" w:hAnsi="仿宋_GB2312" w:eastAsia="仿宋_GB2312" w:cs="仿宋_GB2312"/>
          <w:i w:val="0"/>
          <w:caps w:val="0"/>
          <w:color w:val="auto"/>
          <w:spacing w:val="0"/>
          <w:sz w:val="32"/>
          <w:szCs w:val="32"/>
          <w:shd w:val="clear" w:fill="FFFFFF"/>
        </w:rPr>
        <w:t>畅通沟通协调机制。</w:t>
      </w:r>
      <w:r>
        <w:rPr>
          <w:rFonts w:hint="eastAsia" w:ascii="仿宋_GB2312" w:hAnsi="仿宋_GB2312" w:eastAsia="仿宋_GB2312" w:cs="仿宋_GB2312"/>
          <w:i w:val="0"/>
          <w:caps w:val="0"/>
          <w:color w:val="auto"/>
          <w:spacing w:val="0"/>
          <w:sz w:val="32"/>
          <w:szCs w:val="32"/>
          <w:shd w:val="clear" w:fill="FFFFFF"/>
          <w:lang w:eastAsia="zh-CN"/>
        </w:rPr>
        <w:t>实行</w:t>
      </w:r>
      <w:r>
        <w:rPr>
          <w:rFonts w:hint="eastAsia" w:ascii="仿宋_GB2312" w:hAnsi="仿宋_GB2312" w:eastAsia="仿宋_GB2312" w:cs="仿宋_GB2312"/>
          <w:i w:val="0"/>
          <w:caps w:val="0"/>
          <w:color w:val="auto"/>
          <w:spacing w:val="0"/>
          <w:sz w:val="32"/>
          <w:szCs w:val="32"/>
          <w:shd w:val="clear" w:fill="FFFFFF"/>
        </w:rPr>
        <w:t>疑难事项会商协调机制，针对疑难事项，由业务科室提出专业意见、法律顾问提出法治意见，进行集中会审研判，审慎稳妥答复，提高答复质量。</w:t>
      </w:r>
    </w:p>
    <w:p w14:paraId="610D80BB">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六、</w:t>
      </w:r>
      <w:r>
        <w:rPr>
          <w:rFonts w:hint="eastAsia" w:ascii="黑体" w:hAnsi="黑体" w:eastAsia="黑体" w:cs="黑体"/>
          <w:b/>
          <w:bCs/>
          <w:color w:val="auto"/>
          <w:sz w:val="32"/>
          <w:szCs w:val="32"/>
        </w:rPr>
        <w:t>其他需要报告的事项</w:t>
      </w:r>
    </w:p>
    <w:p w14:paraId="76A1E07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 w:hAnsi="楷体" w:eastAsia="楷体" w:cs="楷体_GB2312"/>
          <w:color w:val="auto"/>
          <w:sz w:val="32"/>
          <w:szCs w:val="32"/>
          <w:shd w:val="clear" w:color="auto" w:fill="FFFFFF"/>
        </w:rPr>
      </w:pPr>
      <w:r>
        <w:rPr>
          <w:rFonts w:hint="eastAsia" w:ascii="楷体" w:hAnsi="楷体" w:eastAsia="楷体" w:cs="楷体_GB2312"/>
          <w:color w:val="auto"/>
          <w:sz w:val="32"/>
          <w:szCs w:val="32"/>
          <w:shd w:val="clear" w:color="auto" w:fill="FFFFFF"/>
        </w:rPr>
        <w:t>（一）信息处理费收取情况</w:t>
      </w:r>
    </w:p>
    <w:p w14:paraId="737B587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年度我局无收取信息处理费的情况。</w:t>
      </w:r>
    </w:p>
    <w:p w14:paraId="1E41684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 w:hAnsi="楷体" w:eastAsia="楷体" w:cs="楷体_GB2312"/>
          <w:color w:val="auto"/>
          <w:sz w:val="32"/>
          <w:szCs w:val="32"/>
          <w:shd w:val="clear" w:color="auto" w:fill="FFFFFF"/>
        </w:rPr>
      </w:pPr>
      <w:r>
        <w:rPr>
          <w:rFonts w:hint="eastAsia" w:ascii="楷体" w:hAnsi="楷体" w:eastAsia="楷体" w:cs="楷体_GB2312"/>
          <w:color w:val="auto"/>
          <w:sz w:val="32"/>
          <w:szCs w:val="32"/>
          <w:shd w:val="clear" w:color="auto" w:fill="FFFFFF"/>
          <w:lang w:eastAsia="zh-CN"/>
        </w:rPr>
        <w:t>（二）</w:t>
      </w:r>
      <w:r>
        <w:rPr>
          <w:rFonts w:hint="eastAsia" w:ascii="楷体" w:hAnsi="楷体" w:eastAsia="楷体" w:cs="楷体_GB2312"/>
          <w:color w:val="auto"/>
          <w:sz w:val="32"/>
          <w:szCs w:val="32"/>
          <w:shd w:val="clear" w:color="auto" w:fill="FFFFFF"/>
        </w:rPr>
        <w:t>上级年度政务公开工作要点落实情况</w:t>
      </w:r>
    </w:p>
    <w:p w14:paraId="0B0BEFC4">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_GB2312" w:hAnsi="楷体_GB2312" w:eastAsia="仿宋_GB2312" w:cs="楷体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严格按照《202</w:t>
      </w:r>
      <w:r>
        <w:rPr>
          <w:rFonts w:hint="eastAsia" w:ascii="仿宋_GB2312" w:hAnsi="宋体" w:eastAsia="仿宋_GB2312" w:cs="仿宋_GB2312"/>
          <w:color w:val="auto"/>
          <w:sz w:val="32"/>
          <w:szCs w:val="32"/>
          <w:shd w:val="clear" w:color="auto" w:fill="FFFFFF"/>
          <w:lang w:val="en-US" w:eastAsia="zh-CN"/>
        </w:rPr>
        <w:t>4</w:t>
      </w:r>
      <w:r>
        <w:rPr>
          <w:rFonts w:hint="eastAsia" w:ascii="仿宋_GB2312" w:hAnsi="宋体" w:eastAsia="仿宋_GB2312" w:cs="仿宋_GB2312"/>
          <w:color w:val="auto"/>
          <w:sz w:val="32"/>
          <w:szCs w:val="32"/>
          <w:shd w:val="clear" w:color="auto" w:fill="FFFFFF"/>
        </w:rPr>
        <w:t>年昌乐县政务公开重点工作任务分工》的</w:t>
      </w:r>
      <w:r>
        <w:rPr>
          <w:rFonts w:hint="eastAsia" w:ascii="仿宋_GB2312" w:hAnsi="宋体" w:eastAsia="仿宋_GB2312" w:cs="仿宋_GB2312"/>
          <w:color w:val="auto"/>
          <w:sz w:val="32"/>
          <w:szCs w:val="32"/>
          <w:shd w:val="clear" w:color="auto" w:fill="FFFFFF"/>
          <w:lang w:eastAsia="zh-CN"/>
        </w:rPr>
        <w:t>要求</w:t>
      </w:r>
      <w:r>
        <w:rPr>
          <w:rFonts w:hint="eastAsia" w:ascii="仿宋_GB2312" w:hAnsi="宋体" w:eastAsia="仿宋_GB2312" w:cs="仿宋_GB2312"/>
          <w:color w:val="auto"/>
          <w:sz w:val="32"/>
          <w:szCs w:val="32"/>
          <w:shd w:val="clear" w:color="auto" w:fill="FFFFFF"/>
        </w:rPr>
        <w:t>，</w:t>
      </w:r>
      <w:r>
        <w:rPr>
          <w:rFonts w:ascii="仿宋_GB2312" w:hAnsi="宋体" w:eastAsia="仿宋_GB2312" w:cs="仿宋_GB2312"/>
          <w:i w:val="0"/>
          <w:caps w:val="0"/>
          <w:color w:val="auto"/>
          <w:spacing w:val="0"/>
          <w:sz w:val="32"/>
          <w:szCs w:val="32"/>
          <w:shd w:val="clear" w:fill="FFFFFF"/>
        </w:rPr>
        <w:t>根据</w:t>
      </w:r>
      <w:r>
        <w:rPr>
          <w:rFonts w:hint="eastAsia" w:ascii="仿宋_GB2312" w:hAnsi="宋体" w:eastAsia="仿宋_GB2312" w:cs="仿宋_GB2312"/>
          <w:i w:val="0"/>
          <w:caps w:val="0"/>
          <w:color w:val="auto"/>
          <w:spacing w:val="0"/>
          <w:sz w:val="32"/>
          <w:szCs w:val="32"/>
          <w:shd w:val="clear" w:fill="FFFFFF"/>
          <w:lang w:eastAsia="zh-CN"/>
        </w:rPr>
        <w:t>责任</w:t>
      </w:r>
      <w:r>
        <w:rPr>
          <w:rFonts w:ascii="仿宋_GB2312" w:hAnsi="宋体" w:eastAsia="仿宋_GB2312" w:cs="仿宋_GB2312"/>
          <w:i w:val="0"/>
          <w:caps w:val="0"/>
          <w:color w:val="auto"/>
          <w:spacing w:val="0"/>
          <w:sz w:val="32"/>
          <w:szCs w:val="32"/>
          <w:shd w:val="clear" w:fill="FFFFFF"/>
        </w:rPr>
        <w:t>分工将全年的政务公开工作落实到位。</w:t>
      </w:r>
    </w:p>
    <w:p w14:paraId="2BA1EFCF">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楷体" w:hAnsi="楷体" w:eastAsia="楷体" w:cs="楷体_GB2312"/>
          <w:color w:val="auto"/>
          <w:sz w:val="32"/>
          <w:szCs w:val="32"/>
          <w:shd w:val="clear" w:color="auto" w:fill="FFFFFF"/>
        </w:rPr>
      </w:pPr>
      <w:r>
        <w:rPr>
          <w:rFonts w:hint="eastAsia" w:ascii="楷体" w:hAnsi="楷体" w:eastAsia="楷体" w:cs="楷体_GB2312"/>
          <w:color w:val="auto"/>
          <w:sz w:val="32"/>
          <w:szCs w:val="32"/>
          <w:shd w:val="clear" w:color="auto" w:fill="FFFFFF"/>
          <w:lang w:eastAsia="zh-CN"/>
        </w:rPr>
        <w:t>（三）</w:t>
      </w:r>
      <w:r>
        <w:rPr>
          <w:rFonts w:hint="eastAsia" w:ascii="楷体" w:hAnsi="楷体" w:eastAsia="楷体" w:cs="楷体_GB2312"/>
          <w:color w:val="auto"/>
          <w:sz w:val="32"/>
          <w:szCs w:val="32"/>
          <w:shd w:val="clear" w:color="auto" w:fill="FFFFFF"/>
        </w:rPr>
        <w:t>人大代表建议和政协提案办理情况</w:t>
      </w:r>
    </w:p>
    <w:p w14:paraId="1E974A7E">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color w:val="auto"/>
          <w:sz w:val="32"/>
          <w:szCs w:val="32"/>
          <w:shd w:val="clear" w:color="auto" w:fill="FFFFFF"/>
          <w:lang w:eastAsia="zh-CN"/>
        </w:rPr>
      </w:pPr>
      <w:r>
        <w:rPr>
          <w:rFonts w:hint="eastAsia" w:ascii="仿宋_GB2312" w:hAnsi="仿宋_GB2312" w:eastAsia="仿宋_GB2312" w:cs="仿宋_GB2312"/>
          <w:b w:val="0"/>
          <w:bCs/>
          <w:color w:val="auto"/>
          <w:spacing w:val="0"/>
          <w:kern w:val="0"/>
          <w:sz w:val="32"/>
          <w:szCs w:val="32"/>
          <w:lang w:val="en-US" w:eastAsia="zh-CN" w:bidi="ar"/>
        </w:rPr>
        <w:t>2024年,我局共收到人大代表建议1件，</w:t>
      </w:r>
      <w:r>
        <w:rPr>
          <w:rFonts w:hint="eastAsia" w:ascii="仿宋_GB2312" w:hAnsi="仿宋_GB2312" w:eastAsia="仿宋_GB2312" w:cs="仿宋_GB2312"/>
          <w:b w:val="0"/>
          <w:bCs/>
          <w:color w:val="auto"/>
          <w:sz w:val="32"/>
          <w:szCs w:val="32"/>
          <w:shd w:val="clear" w:color="auto" w:fill="FFFFFF"/>
        </w:rPr>
        <w:t>均在规定时间内办结，</w:t>
      </w:r>
      <w:r>
        <w:rPr>
          <w:rFonts w:hint="eastAsia" w:ascii="仿宋_GB2312" w:hAnsi="仿宋_GB2312" w:eastAsia="仿宋_GB2312" w:cs="仿宋_GB2312"/>
          <w:b w:val="0"/>
          <w:bCs/>
          <w:color w:val="auto"/>
          <w:sz w:val="32"/>
          <w:szCs w:val="32"/>
          <w:shd w:val="clear" w:color="auto" w:fill="FFFFFF"/>
          <w:lang w:eastAsia="zh-CN"/>
        </w:rPr>
        <w:t>办结率和答复率</w:t>
      </w:r>
      <w:r>
        <w:rPr>
          <w:rFonts w:hint="eastAsia" w:ascii="仿宋_GB2312" w:hAnsi="仿宋_GB2312" w:eastAsia="仿宋_GB2312" w:cs="仿宋_GB2312"/>
          <w:b w:val="0"/>
          <w:bCs/>
          <w:color w:val="auto"/>
          <w:sz w:val="32"/>
          <w:szCs w:val="32"/>
          <w:shd w:val="clear" w:color="auto" w:fill="FFFFFF"/>
        </w:rPr>
        <w:t>达100%</w:t>
      </w:r>
      <w:r>
        <w:rPr>
          <w:rFonts w:hint="eastAsia" w:ascii="仿宋_GB2312" w:hAnsi="仿宋_GB2312" w:eastAsia="仿宋_GB2312" w:cs="仿宋_GB2312"/>
          <w:b w:val="0"/>
          <w:bCs/>
          <w:color w:val="auto"/>
          <w:sz w:val="32"/>
          <w:szCs w:val="32"/>
          <w:shd w:val="clear" w:color="auto" w:fill="FFFFFF"/>
          <w:lang w:eastAsia="zh-CN"/>
        </w:rPr>
        <w:t>。</w:t>
      </w:r>
    </w:p>
    <w:p w14:paraId="244FF023">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 w:hAnsi="楷体" w:eastAsia="楷体" w:cs="楷体_GB2312"/>
          <w:color w:val="auto"/>
          <w:sz w:val="32"/>
          <w:szCs w:val="32"/>
          <w:shd w:val="clear" w:color="auto" w:fill="FFFFFF"/>
        </w:rPr>
      </w:pPr>
      <w:r>
        <w:rPr>
          <w:rFonts w:hint="eastAsia" w:ascii="楷体" w:hAnsi="楷体" w:eastAsia="楷体" w:cs="楷体_GB2312"/>
          <w:color w:val="auto"/>
          <w:sz w:val="32"/>
          <w:szCs w:val="32"/>
          <w:shd w:val="clear" w:color="auto" w:fill="FFFFFF"/>
          <w:lang w:eastAsia="zh-CN"/>
        </w:rPr>
        <w:t>（四）</w:t>
      </w:r>
      <w:r>
        <w:rPr>
          <w:rFonts w:hint="eastAsia" w:ascii="楷体" w:hAnsi="楷体" w:eastAsia="楷体" w:cs="楷体_GB2312"/>
          <w:color w:val="auto"/>
          <w:sz w:val="32"/>
          <w:szCs w:val="32"/>
          <w:shd w:val="clear" w:color="auto" w:fill="FFFFFF"/>
        </w:rPr>
        <w:t>年度政务公开工作创新情况</w:t>
      </w:r>
    </w:p>
    <w:p w14:paraId="6BCBDA2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lang w:eastAsia="zh-CN"/>
        </w:rPr>
      </w:pPr>
      <w:r>
        <w:rPr>
          <w:rFonts w:hint="eastAsia" w:ascii="仿宋_GB2312" w:hAnsi="仿宋_GB2312" w:eastAsia="仿宋_GB2312" w:cs="仿宋_GB2312"/>
          <w:b w:val="0"/>
          <w:bCs w:val="0"/>
          <w:i w:val="0"/>
          <w:iCs w:val="0"/>
          <w:caps w:val="0"/>
          <w:color w:val="auto"/>
          <w:spacing w:val="0"/>
          <w:sz w:val="32"/>
          <w:szCs w:val="32"/>
          <w:u w:val="none"/>
          <w:lang w:eastAsia="zh-CN"/>
        </w:rPr>
        <w:t>推动依申请公开向主动公开转变，对申请内容出现频率较高、反映较为集中的申请，如房地产项目规划信息，推动其向主动公开转化。把公众需要的信息在政府网站上主动公开，申请人可直接查询下载，无需再通过提交政府信息公开申请的方式等待多日才能获取相关信息，节省了群众跑腿时间或邮寄纸质申请费用，简化了办事流程，降低了行政成本，为群众提供了便利。</w:t>
      </w:r>
    </w:p>
    <w:p w14:paraId="7E6BB32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lang w:eastAsia="zh-CN"/>
        </w:rPr>
        <w:t>（五）</w:t>
      </w:r>
      <w:r>
        <w:rPr>
          <w:rFonts w:hint="eastAsia" w:ascii="楷体" w:hAnsi="楷体" w:eastAsia="楷体" w:cs="楷体"/>
          <w:color w:val="auto"/>
          <w:sz w:val="32"/>
          <w:szCs w:val="32"/>
          <w:shd w:val="clear" w:color="auto" w:fill="FFFFFF"/>
        </w:rPr>
        <w:t>报告数据统计需要说明</w:t>
      </w:r>
    </w:p>
    <w:p w14:paraId="17D8DA89">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本报告所列数据统计期限为202</w:t>
      </w:r>
      <w:r>
        <w:rPr>
          <w:rFonts w:hint="eastAsia" w:ascii="仿宋_GB2312" w:hAnsi="宋体" w:eastAsia="仿宋_GB2312" w:cs="仿宋_GB2312"/>
          <w:color w:val="auto"/>
          <w:sz w:val="32"/>
          <w:szCs w:val="32"/>
          <w:shd w:val="clear" w:color="auto" w:fill="FFFFFF"/>
          <w:lang w:val="en-US" w:eastAsia="zh-CN"/>
        </w:rPr>
        <w:t>4</w:t>
      </w:r>
      <w:r>
        <w:rPr>
          <w:rFonts w:hint="eastAsia" w:ascii="仿宋_GB2312" w:hAnsi="宋体" w:eastAsia="仿宋_GB2312" w:cs="仿宋_GB2312"/>
          <w:color w:val="auto"/>
          <w:sz w:val="32"/>
          <w:szCs w:val="32"/>
          <w:shd w:val="clear" w:color="auto" w:fill="FFFFFF"/>
        </w:rPr>
        <w:t>年1月1日至202</w:t>
      </w:r>
      <w:r>
        <w:rPr>
          <w:rFonts w:hint="eastAsia" w:ascii="仿宋_GB2312" w:hAnsi="宋体" w:eastAsia="仿宋_GB2312" w:cs="仿宋_GB2312"/>
          <w:color w:val="auto"/>
          <w:sz w:val="32"/>
          <w:szCs w:val="32"/>
          <w:shd w:val="clear" w:color="auto" w:fill="FFFFFF"/>
          <w:lang w:val="en-US" w:eastAsia="zh-CN"/>
        </w:rPr>
        <w:t>4</w:t>
      </w:r>
      <w:r>
        <w:rPr>
          <w:rFonts w:hint="eastAsia" w:ascii="仿宋_GB2312" w:hAnsi="宋体" w:eastAsia="仿宋_GB2312" w:cs="仿宋_GB2312"/>
          <w:color w:val="auto"/>
          <w:sz w:val="32"/>
          <w:szCs w:val="32"/>
          <w:shd w:val="clear" w:color="auto" w:fill="FFFFFF"/>
        </w:rPr>
        <w:t>年12月31日。</w:t>
      </w:r>
    </w:p>
    <w:p w14:paraId="6A6B35ED">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楷体" w:hAnsi="楷体" w:eastAsia="楷体" w:cs="楷体_GB2312"/>
          <w:color w:val="auto"/>
          <w:sz w:val="32"/>
          <w:szCs w:val="32"/>
          <w:shd w:val="clear" w:color="auto" w:fill="FFFFFF"/>
        </w:rPr>
      </w:pPr>
      <w:r>
        <w:rPr>
          <w:rFonts w:hint="eastAsia" w:ascii="楷体" w:hAnsi="楷体" w:eastAsia="楷体" w:cs="楷体_GB2312"/>
          <w:color w:val="auto"/>
          <w:sz w:val="32"/>
          <w:szCs w:val="32"/>
          <w:shd w:val="clear" w:color="auto" w:fill="FFFFFF"/>
          <w:lang w:eastAsia="zh-CN"/>
        </w:rPr>
        <w:t>（六）</w:t>
      </w:r>
      <w:r>
        <w:rPr>
          <w:rFonts w:hint="eastAsia" w:ascii="楷体" w:hAnsi="楷体" w:eastAsia="楷体" w:cs="楷体_GB2312"/>
          <w:color w:val="auto"/>
          <w:sz w:val="32"/>
          <w:szCs w:val="32"/>
          <w:shd w:val="clear" w:color="auto" w:fill="FFFFFF"/>
        </w:rPr>
        <w:t>本行政机关认为需要报告的其他事项</w:t>
      </w:r>
    </w:p>
    <w:p w14:paraId="14559F4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无。</w:t>
      </w:r>
    </w:p>
    <w:p w14:paraId="71B16D68">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楷体" w:hAnsi="楷体" w:eastAsia="楷体" w:cs="楷体_GB2312"/>
          <w:color w:val="auto"/>
          <w:sz w:val="32"/>
          <w:szCs w:val="32"/>
          <w:shd w:val="clear" w:color="auto" w:fill="FFFFFF"/>
        </w:rPr>
      </w:pPr>
      <w:r>
        <w:rPr>
          <w:rFonts w:hint="eastAsia" w:ascii="楷体" w:hAnsi="楷体" w:eastAsia="楷体" w:cs="楷体_GB2312"/>
          <w:color w:val="auto"/>
          <w:sz w:val="32"/>
          <w:szCs w:val="32"/>
          <w:shd w:val="clear" w:color="auto" w:fill="FFFFFF"/>
          <w:lang w:eastAsia="zh-CN"/>
        </w:rPr>
        <w:t>（七）</w:t>
      </w:r>
      <w:r>
        <w:rPr>
          <w:rFonts w:hint="eastAsia" w:ascii="楷体" w:hAnsi="楷体" w:eastAsia="楷体" w:cs="楷体_GB2312"/>
          <w:color w:val="auto"/>
          <w:sz w:val="32"/>
          <w:szCs w:val="32"/>
          <w:shd w:val="clear" w:color="auto" w:fill="FFFFFF"/>
        </w:rPr>
        <w:t>其他有关文件专门要求报告的事项</w:t>
      </w:r>
    </w:p>
    <w:p w14:paraId="30027D2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无。</w:t>
      </w:r>
    </w:p>
    <w:p w14:paraId="568E67D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仿宋_GB2312"/>
          <w:color w:val="auto"/>
          <w:sz w:val="32"/>
          <w:szCs w:val="32"/>
          <w:shd w:val="clear" w:color="auto" w:fill="FFFFFF"/>
        </w:rPr>
      </w:pPr>
    </w:p>
    <w:p w14:paraId="216CB08A">
      <w:pPr>
        <w:pStyle w:val="2"/>
        <w:rPr>
          <w:rFonts w:hint="eastAsia" w:ascii="仿宋_GB2312" w:eastAsia="仿宋_GB2312"/>
          <w:b w:val="0"/>
          <w:bCs w:val="0"/>
          <w:color w:val="auto"/>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b w:val="0"/>
          <w:bCs w:val="0"/>
          <w:color w:val="auto"/>
          <w:sz w:val="32"/>
          <w:szCs w:val="32"/>
          <w:lang w:val="en-US" w:eastAsia="zh-CN"/>
        </w:rPr>
        <w:t>昌乐县自然资源和规划局</w:t>
      </w:r>
    </w:p>
    <w:p w14:paraId="71B531C5">
      <w:pPr>
        <w:pStyle w:val="2"/>
        <w:ind w:left="5040" w:leftChars="0" w:firstLine="420" w:firstLineChars="0"/>
        <w:rPr>
          <w:rFonts w:hint="default"/>
          <w:b w:val="0"/>
          <w:bCs w:val="0"/>
          <w:color w:val="auto"/>
          <w:lang w:val="en-US" w:eastAsia="zh-CN"/>
        </w:rPr>
      </w:pPr>
      <w:r>
        <w:rPr>
          <w:rFonts w:hint="eastAsia" w:ascii="仿宋_GB2312" w:eastAsia="仿宋_GB2312"/>
          <w:b w:val="0"/>
          <w:bCs w:val="0"/>
          <w:color w:val="auto"/>
          <w:sz w:val="32"/>
          <w:szCs w:val="32"/>
          <w:lang w:val="en-US" w:eastAsia="zh-CN"/>
        </w:rPr>
        <w:t>2025年1月8日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36994">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5D1468A3">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F66521A">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5D1468A3">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F66521A">
                    <w:pPr>
                      <w:rPr>
                        <w:rFonts w:ascii="宋体" w:hAnsi="宋体" w:eastAsia="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90CBB"/>
    <w:multiLevelType w:val="singleLevel"/>
    <w:tmpl w:val="9F690CBB"/>
    <w:lvl w:ilvl="0" w:tentative="0">
      <w:start w:val="5"/>
      <w:numFmt w:val="chineseCounting"/>
      <w:suff w:val="nothing"/>
      <w:lvlText w:val="（%1）"/>
      <w:lvlJc w:val="left"/>
      <w:rPr>
        <w:rFonts w:hint="eastAsia"/>
      </w:rPr>
    </w:lvl>
  </w:abstractNum>
  <w:abstractNum w:abstractNumId="1">
    <w:nsid w:val="0F920D59"/>
    <w:multiLevelType w:val="singleLevel"/>
    <w:tmpl w:val="0F920D5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2MzQyNmE3NTAxNTJiZmY3MDQwOTI2MTA0YTQ2N2MifQ=="/>
    <w:docVar w:name="KSO_WPS_MARK_KEY" w:val="1591a543-888e-4a2b-851b-ef42d98fd893"/>
  </w:docVars>
  <w:rsids>
    <w:rsidRoot w:val="00CB63D1"/>
    <w:rsid w:val="00022AAA"/>
    <w:rsid w:val="000E1E7C"/>
    <w:rsid w:val="001E1F91"/>
    <w:rsid w:val="00221F1F"/>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13014E9"/>
    <w:rsid w:val="046E26CD"/>
    <w:rsid w:val="0C4E7F74"/>
    <w:rsid w:val="131C1D42"/>
    <w:rsid w:val="136378E0"/>
    <w:rsid w:val="19D51717"/>
    <w:rsid w:val="1A3C722B"/>
    <w:rsid w:val="1AFB51C9"/>
    <w:rsid w:val="209A02B4"/>
    <w:rsid w:val="20A83C30"/>
    <w:rsid w:val="21083493"/>
    <w:rsid w:val="2166014E"/>
    <w:rsid w:val="2215561F"/>
    <w:rsid w:val="221E07F8"/>
    <w:rsid w:val="252D31FF"/>
    <w:rsid w:val="2584615C"/>
    <w:rsid w:val="29182F0B"/>
    <w:rsid w:val="296A53CC"/>
    <w:rsid w:val="31562395"/>
    <w:rsid w:val="373E5875"/>
    <w:rsid w:val="3A9A69A9"/>
    <w:rsid w:val="3B1C639C"/>
    <w:rsid w:val="3CDA3140"/>
    <w:rsid w:val="3D7A5F93"/>
    <w:rsid w:val="400422C0"/>
    <w:rsid w:val="46EB0C41"/>
    <w:rsid w:val="47C57D61"/>
    <w:rsid w:val="4CF8113F"/>
    <w:rsid w:val="4FB227F8"/>
    <w:rsid w:val="52307A13"/>
    <w:rsid w:val="52AB40F2"/>
    <w:rsid w:val="52CE3533"/>
    <w:rsid w:val="54E31071"/>
    <w:rsid w:val="5AE506F3"/>
    <w:rsid w:val="5C6D55DF"/>
    <w:rsid w:val="5F035B31"/>
    <w:rsid w:val="614D092A"/>
    <w:rsid w:val="639236D8"/>
    <w:rsid w:val="63CC4C3C"/>
    <w:rsid w:val="650F60D2"/>
    <w:rsid w:val="66AE44AD"/>
    <w:rsid w:val="6B6F4B24"/>
    <w:rsid w:val="6C0535E9"/>
    <w:rsid w:val="6CA51A6C"/>
    <w:rsid w:val="6D8212EA"/>
    <w:rsid w:val="6DB34BC2"/>
    <w:rsid w:val="6FE31766"/>
    <w:rsid w:val="70A1726D"/>
    <w:rsid w:val="73901C40"/>
    <w:rsid w:val="78E95E4C"/>
    <w:rsid w:val="797A6DAA"/>
    <w:rsid w:val="7C9570F1"/>
    <w:rsid w:val="7C9C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8"/>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1715</Words>
  <Characters>1795</Characters>
  <Lines>30</Lines>
  <Paragraphs>8</Paragraphs>
  <TotalTime>5</TotalTime>
  <ScaleCrop>false</ScaleCrop>
  <LinksUpToDate>false</LinksUpToDate>
  <CharactersWithSpaces>1959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Administrator</cp:lastModifiedBy>
  <cp:lastPrinted>2025-01-08T06:05:00Z</cp:lastPrinted>
  <dcterms:modified xsi:type="dcterms:W3CDTF">2025-01-17T09:36:26Z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BC4601EAF03940E1B24FC4889E358CEC_13</vt:lpwstr>
  </property>
  <property fmtid="{D5CDD505-2E9C-101B-9397-08002B2CF9AE}" pid="4" name="KSOTemplateDocerSaveRecord">
    <vt:lpwstr>eyJoZGlkIjoiMWJiNDJhYTY3OThkMzhjNGFkMDEzOTIxN2VmMjkwOGEifQ==</vt:lpwstr>
  </property>
</Properties>
</file>