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2D454">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880" w:firstLineChars="200"/>
        <w:jc w:val="center"/>
        <w:textAlignment w:val="auto"/>
      </w:pPr>
      <w:bookmarkStart w:id="0" w:name="_GoBack"/>
      <w:r>
        <w:rPr>
          <w:rFonts w:ascii="方正小标宋简体" w:hAnsi="方正小标宋简体" w:eastAsia="方正小标宋简体" w:cs="方正小标宋简体"/>
          <w:sz w:val="44"/>
          <w:szCs w:val="44"/>
        </w:rPr>
        <w:t>潍坊市生态环境局昌乐分局</w:t>
      </w:r>
    </w:p>
    <w:p w14:paraId="6356D366">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880" w:firstLineChars="200"/>
        <w:jc w:val="center"/>
        <w:textAlignment w:val="auto"/>
      </w:pPr>
      <w:r>
        <w:rPr>
          <w:rFonts w:hint="default" w:ascii="方正小标宋简体" w:hAnsi="方正小标宋简体" w:eastAsia="方正小标宋简体" w:cs="方正小标宋简体"/>
          <w:sz w:val="44"/>
          <w:szCs w:val="44"/>
          <w:lang w:val="en-US"/>
        </w:rPr>
        <w:t>20</w:t>
      </w:r>
      <w:r>
        <w:rPr>
          <w:rFonts w:hint="eastAsia" w:ascii="方正小标宋简体" w:hAnsi="方正小标宋简体" w:eastAsia="方正小标宋简体" w:cs="方正小标宋简体"/>
          <w:sz w:val="44"/>
          <w:szCs w:val="44"/>
          <w:lang w:val="en-US" w:eastAsia="zh-CN"/>
        </w:rPr>
        <w:t>20</w:t>
      </w:r>
      <w:r>
        <w:rPr>
          <w:rFonts w:hint="default" w:ascii="方正小标宋简体" w:hAnsi="方正小标宋简体" w:eastAsia="方正小标宋简体" w:cs="方正小标宋简体"/>
          <w:sz w:val="44"/>
          <w:szCs w:val="44"/>
        </w:rPr>
        <w:t>年政府信息公开工作年度报告</w:t>
      </w:r>
    </w:p>
    <w:bookmarkEnd w:id="0"/>
    <w:p w14:paraId="3C7F054C">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default"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根据《中华人民共和国政府信息公开条例》《山东省政府信息公开办法》《潍坊市人民政府办公室关于做好2020年政府信息公开工作年度报告编制发布和报送工作的通知》要求，结合我局实际，编制并向社会公布潍坊市生态环境局昌乐分局2020年政府信息公开工作年度报告。本年度报告中所列数据的统计期限自2020年1月1日起，至2020年工作年度报告的报告12月31日止。如对本报告有疑问，请联系潍坊市生态环境局昌乐分局办公室，联系电话：0536-6221451。</w:t>
      </w:r>
    </w:p>
    <w:p w14:paraId="30A95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一、总体情况</w:t>
      </w:r>
    </w:p>
    <w:p w14:paraId="16F7FA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2020年，市生态环境局昌乐分局认真贯彻落实党中央、国务院和省、市关于政府信息公开工作的部署要求，进一步调整优化公开目录，深入拓展公开渠道，持续丰富公开形式，及时回应社会关切，不断提升政府信息公开工作力度和实效，政府信息公开水平实现新的突破。</w:t>
      </w:r>
    </w:p>
    <w:p w14:paraId="5BA1D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楷体_GB2312" w:hAnsi="楷体_GB2312" w:eastAsia="楷体_GB2312" w:cs="楷体_GB2312"/>
          <w:b w:val="0"/>
          <w:bCs w:val="0"/>
          <w:kern w:val="2"/>
          <w:sz w:val="32"/>
          <w:szCs w:val="32"/>
          <w:lang w:val="en-US" w:eastAsia="zh-CN"/>
        </w:rPr>
        <w:t>（一）主动公开情况。</w:t>
      </w:r>
      <w:r>
        <w:rPr>
          <w:rFonts w:hint="eastAsia" w:ascii="仿宋_GB2312" w:hAnsi="仿宋_GB2312" w:eastAsia="仿宋_GB2312" w:cs="仿宋_GB2312"/>
          <w:bCs/>
          <w:kern w:val="2"/>
          <w:sz w:val="32"/>
          <w:szCs w:val="32"/>
          <w:lang w:val="en-US" w:eastAsia="zh-CN"/>
        </w:rPr>
        <w:t>在昌乐政务网</w:t>
      </w:r>
      <w:r>
        <w:rPr>
          <w:rFonts w:hint="default" w:ascii="仿宋_GB2312" w:hAnsi="仿宋_GB2312" w:eastAsia="仿宋_GB2312" w:cs="仿宋_GB2312"/>
          <w:bCs/>
          <w:kern w:val="2"/>
          <w:sz w:val="32"/>
          <w:szCs w:val="32"/>
          <w:lang w:val="en-US" w:eastAsia="zh-CN"/>
        </w:rPr>
        <w:t>潍坊市生态环境局昌乐分局专栏公布了局日常工作动态、随机抽查事项、环境保护执法情况、重点企业监测情况、大范围重污染天气灾情预警提示等信息，及时通报集中式饮用水源地状况、环境行政处罚信息、环保专项行动等情况，全年</w:t>
      </w:r>
      <w:r>
        <w:rPr>
          <w:rFonts w:hint="eastAsia" w:ascii="仿宋_GB2312" w:hAnsi="仿宋_GB2312" w:eastAsia="仿宋_GB2312" w:cs="仿宋_GB2312"/>
          <w:bCs/>
          <w:kern w:val="2"/>
          <w:sz w:val="32"/>
          <w:szCs w:val="32"/>
          <w:lang w:val="en-US" w:eastAsia="zh-CN"/>
        </w:rPr>
        <w:t>通过政务公开平台</w:t>
      </w:r>
      <w:r>
        <w:rPr>
          <w:rFonts w:hint="default" w:ascii="仿宋_GB2312" w:hAnsi="仿宋_GB2312" w:eastAsia="仿宋_GB2312" w:cs="仿宋_GB2312"/>
          <w:bCs/>
          <w:kern w:val="2"/>
          <w:sz w:val="32"/>
          <w:szCs w:val="32"/>
          <w:lang w:val="en-US" w:eastAsia="zh-CN"/>
        </w:rPr>
        <w:t>公开信息</w:t>
      </w:r>
      <w:r>
        <w:rPr>
          <w:rFonts w:hint="eastAsia" w:ascii="仿宋_GB2312" w:hAnsi="仿宋_GB2312" w:eastAsia="仿宋_GB2312" w:cs="仿宋_GB2312"/>
          <w:bCs/>
          <w:kern w:val="2"/>
          <w:sz w:val="32"/>
          <w:szCs w:val="32"/>
          <w:lang w:val="en-US" w:eastAsia="zh-CN"/>
        </w:rPr>
        <w:t>272</w:t>
      </w:r>
      <w:r>
        <w:rPr>
          <w:rFonts w:hint="default" w:ascii="仿宋_GB2312" w:hAnsi="仿宋_GB2312" w:eastAsia="仿宋_GB2312" w:cs="仿宋_GB2312"/>
          <w:bCs/>
          <w:kern w:val="2"/>
          <w:sz w:val="32"/>
          <w:szCs w:val="32"/>
          <w:lang w:val="en-US" w:eastAsia="zh-CN"/>
        </w:rPr>
        <w:t>条</w:t>
      </w:r>
      <w:r>
        <w:rPr>
          <w:rFonts w:hint="eastAsia" w:ascii="仿宋_GB2312" w:hAnsi="仿宋_GB2312" w:eastAsia="仿宋_GB2312" w:cs="仿宋_GB2312"/>
          <w:bCs/>
          <w:kern w:val="2"/>
          <w:sz w:val="32"/>
          <w:szCs w:val="32"/>
          <w:lang w:val="en-US" w:eastAsia="zh-CN"/>
        </w:rPr>
        <w:t>，通过政务微博主动公开信息200多条。</w:t>
      </w:r>
    </w:p>
    <w:p w14:paraId="4F9180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1、及时公开机构概况。根据《政府信息公开条例》第二十条第（二）款要求，在机构改革完成后，第一时间更新机关职能、虎沟设置、办公地址、办公时间、联系方式等，并在政务信息公开专栏进行公布。</w:t>
      </w:r>
    </w:p>
    <w:p w14:paraId="71A453E9">
      <w:pPr>
        <w:pStyle w:val="2"/>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drawing>
          <wp:anchor distT="0" distB="0" distL="114300" distR="114300" simplePos="0" relativeHeight="251661312" behindDoc="1" locked="0" layoutInCell="1" allowOverlap="1">
            <wp:simplePos x="0" y="0"/>
            <wp:positionH relativeFrom="column">
              <wp:posOffset>-39370</wp:posOffset>
            </wp:positionH>
            <wp:positionV relativeFrom="paragraph">
              <wp:posOffset>71755</wp:posOffset>
            </wp:positionV>
            <wp:extent cx="5598160" cy="5132705"/>
            <wp:effectExtent l="0" t="0" r="2540" b="10795"/>
            <wp:wrapTight wrapText="bothSides">
              <wp:wrapPolygon>
                <wp:start x="0" y="0"/>
                <wp:lineTo x="0" y="21485"/>
                <wp:lineTo x="21536" y="21485"/>
                <wp:lineTo x="21536" y="0"/>
                <wp:lineTo x="0" y="0"/>
              </wp:wrapPolygon>
            </wp:wrapTight>
            <wp:docPr id="2" name="图片 2" descr="微信截图_2021012015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120151400"/>
                    <pic:cNvPicPr>
                      <a:picLocks noChangeAspect="1"/>
                    </pic:cNvPicPr>
                  </pic:nvPicPr>
                  <pic:blipFill>
                    <a:blip r:embed="rId4"/>
                    <a:stretch>
                      <a:fillRect/>
                    </a:stretch>
                  </pic:blipFill>
                  <pic:spPr>
                    <a:xfrm>
                      <a:off x="0" y="0"/>
                      <a:ext cx="5598160" cy="5132705"/>
                    </a:xfrm>
                    <a:prstGeom prst="rect">
                      <a:avLst/>
                    </a:prstGeom>
                  </pic:spPr>
                </pic:pic>
              </a:graphicData>
            </a:graphic>
          </wp:anchor>
        </w:drawing>
      </w:r>
    </w:p>
    <w:p w14:paraId="3B7C0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2、按月公开空气质量与水质报告。根据相关文件及上级要求，每月在政务公开平台上公布上月的空气和水质情况，努力做到环境质量透明化。</w:t>
      </w:r>
    </w:p>
    <w:p w14:paraId="44697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楷体_GB2312" w:hAnsi="楷体_GB2312" w:eastAsia="楷体_GB2312" w:cs="楷体_GB2312"/>
          <w:b w:val="0"/>
          <w:bCs w:val="0"/>
          <w:kern w:val="2"/>
          <w:sz w:val="32"/>
          <w:szCs w:val="32"/>
          <w:lang w:val="en-US" w:eastAsia="zh-CN"/>
        </w:rPr>
      </w:pPr>
      <w:r>
        <w:rPr>
          <w:rFonts w:hint="eastAsia" w:ascii="仿宋_GB2312" w:hAnsi="仿宋_GB2312" w:eastAsia="仿宋_GB2312" w:cs="仿宋_GB2312"/>
          <w:bCs/>
          <w:kern w:val="2"/>
          <w:sz w:val="32"/>
          <w:szCs w:val="32"/>
          <w:lang w:val="en-US" w:eastAsia="zh-CN"/>
        </w:rPr>
        <w:drawing>
          <wp:anchor distT="0" distB="0" distL="114300" distR="114300" simplePos="0" relativeHeight="251659264" behindDoc="1" locked="0" layoutInCell="1" allowOverlap="1">
            <wp:simplePos x="0" y="0"/>
            <wp:positionH relativeFrom="column">
              <wp:posOffset>-184150</wp:posOffset>
            </wp:positionH>
            <wp:positionV relativeFrom="paragraph">
              <wp:posOffset>188595</wp:posOffset>
            </wp:positionV>
            <wp:extent cx="5802630" cy="4223385"/>
            <wp:effectExtent l="0" t="0" r="0" b="0"/>
            <wp:wrapTight wrapText="bothSides">
              <wp:wrapPolygon>
                <wp:start x="0" y="0"/>
                <wp:lineTo x="0" y="21532"/>
                <wp:lineTo x="21557" y="21532"/>
                <wp:lineTo x="21557" y="0"/>
                <wp:lineTo x="0" y="0"/>
              </wp:wrapPolygon>
            </wp:wrapTight>
            <wp:docPr id="4" name="图片 4" descr="微信截图_2021012016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10120161735"/>
                    <pic:cNvPicPr>
                      <a:picLocks noChangeAspect="1"/>
                    </pic:cNvPicPr>
                  </pic:nvPicPr>
                  <pic:blipFill>
                    <a:blip r:embed="rId5"/>
                    <a:stretch>
                      <a:fillRect/>
                    </a:stretch>
                  </pic:blipFill>
                  <pic:spPr>
                    <a:xfrm>
                      <a:off x="0" y="0"/>
                      <a:ext cx="5802630" cy="4223385"/>
                    </a:xfrm>
                    <a:prstGeom prst="rect">
                      <a:avLst/>
                    </a:prstGeom>
                  </pic:spPr>
                </pic:pic>
              </a:graphicData>
            </a:graphic>
          </wp:anchor>
        </w:drawing>
      </w:r>
      <w:r>
        <w:rPr>
          <w:rFonts w:hint="default" w:ascii="楷体_GB2312" w:hAnsi="楷体_GB2312" w:eastAsia="楷体_GB2312" w:cs="楷体_GB2312"/>
          <w:b w:val="0"/>
          <w:bCs w:val="0"/>
          <w:kern w:val="2"/>
          <w:sz w:val="32"/>
          <w:szCs w:val="32"/>
          <w:lang w:val="en-US" w:eastAsia="zh-CN"/>
        </w:rPr>
        <w:t>（二）依申请公开情况。</w:t>
      </w:r>
    </w:p>
    <w:p w14:paraId="063FB6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default" w:ascii="仿宋_GB2312" w:hAnsi="仿宋_GB2312" w:eastAsia="仿宋_GB2312" w:cs="仿宋_GB2312"/>
          <w:bCs/>
          <w:kern w:val="2"/>
          <w:sz w:val="32"/>
          <w:szCs w:val="32"/>
          <w:lang w:val="en-US" w:eastAsia="zh-CN"/>
        </w:rPr>
        <w:t>20</w:t>
      </w:r>
      <w:r>
        <w:rPr>
          <w:rFonts w:hint="eastAsia" w:ascii="仿宋_GB2312" w:hAnsi="仿宋_GB2312" w:eastAsia="仿宋_GB2312" w:cs="仿宋_GB2312"/>
          <w:bCs/>
          <w:kern w:val="2"/>
          <w:sz w:val="32"/>
          <w:szCs w:val="32"/>
          <w:lang w:val="en-US" w:eastAsia="zh-CN"/>
        </w:rPr>
        <w:t>20</w:t>
      </w:r>
      <w:r>
        <w:rPr>
          <w:rFonts w:hint="default" w:ascii="仿宋_GB2312" w:hAnsi="仿宋_GB2312" w:eastAsia="仿宋_GB2312" w:cs="仿宋_GB2312"/>
          <w:bCs/>
          <w:kern w:val="2"/>
          <w:sz w:val="32"/>
          <w:szCs w:val="32"/>
          <w:lang w:val="en-US" w:eastAsia="zh-CN"/>
        </w:rPr>
        <w:t>年，我局受理依申请公开</w:t>
      </w:r>
      <w:r>
        <w:rPr>
          <w:rFonts w:hint="eastAsia" w:ascii="仿宋_GB2312" w:hAnsi="仿宋_GB2312" w:eastAsia="仿宋_GB2312" w:cs="仿宋_GB2312"/>
          <w:bCs/>
          <w:kern w:val="2"/>
          <w:sz w:val="32"/>
          <w:szCs w:val="32"/>
          <w:lang w:val="en-US" w:eastAsia="zh-CN"/>
        </w:rPr>
        <w:t>0</w:t>
      </w:r>
      <w:r>
        <w:rPr>
          <w:rFonts w:hint="default" w:ascii="仿宋_GB2312" w:hAnsi="仿宋_GB2312" w:eastAsia="仿宋_GB2312" w:cs="仿宋_GB2312"/>
          <w:bCs/>
          <w:kern w:val="2"/>
          <w:sz w:val="32"/>
          <w:szCs w:val="32"/>
          <w:lang w:val="en-US" w:eastAsia="zh-CN"/>
        </w:rPr>
        <w:t>件。</w:t>
      </w:r>
    </w:p>
    <w:p w14:paraId="4BA8B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（三）</w:t>
      </w:r>
      <w:r>
        <w:rPr>
          <w:rFonts w:hint="default" w:ascii="楷体_GB2312" w:hAnsi="楷体_GB2312" w:eastAsia="楷体_GB2312" w:cs="楷体_GB2312"/>
          <w:b w:val="0"/>
          <w:bCs w:val="0"/>
          <w:kern w:val="2"/>
          <w:sz w:val="32"/>
          <w:szCs w:val="32"/>
          <w:lang w:val="en-US" w:eastAsia="zh-CN"/>
        </w:rPr>
        <w:t>政府信息管理。</w:t>
      </w:r>
    </w:p>
    <w:p w14:paraId="6C6D8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default" w:ascii="仿宋_GB2312" w:hAnsi="仿宋_GB2312" w:eastAsia="仿宋_GB2312" w:cs="仿宋_GB2312"/>
          <w:bCs/>
          <w:kern w:val="2"/>
          <w:sz w:val="32"/>
          <w:szCs w:val="32"/>
          <w:lang w:val="en-US" w:eastAsia="zh-CN"/>
        </w:rPr>
        <w:t>一是进一步完善政务信息常态化管理机制，不断建立健全政务信息制作、公开等制度。二是及时开展对生态环境保护相关政策措施进行解读和宣传，并按照立改废的要求，及时动态调整。</w:t>
      </w:r>
    </w:p>
    <w:p w14:paraId="529D2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Cs/>
          <w:kern w:val="2"/>
          <w:sz w:val="32"/>
          <w:szCs w:val="32"/>
          <w:lang w:val="en-US" w:eastAsia="zh-CN"/>
        </w:rPr>
      </w:pPr>
      <w:r>
        <w:rPr>
          <w:rFonts w:hint="eastAsia" w:ascii="楷体_GB2312" w:hAnsi="楷体_GB2312" w:eastAsia="楷体_GB2312" w:cs="楷体_GB2312"/>
          <w:b w:val="0"/>
          <w:bCs w:val="0"/>
          <w:kern w:val="2"/>
          <w:sz w:val="32"/>
          <w:szCs w:val="32"/>
          <w:lang w:val="en-US" w:eastAsia="zh-CN"/>
        </w:rPr>
        <w:t>（四）平台建设情况</w:t>
      </w:r>
      <w:r>
        <w:rPr>
          <w:rFonts w:hint="default" w:ascii="楷体_GB2312" w:hAnsi="楷体_GB2312" w:eastAsia="楷体_GB2312" w:cs="楷体_GB2312"/>
          <w:b w:val="0"/>
          <w:bCs w:val="0"/>
          <w:kern w:val="2"/>
          <w:sz w:val="32"/>
          <w:szCs w:val="32"/>
          <w:lang w:val="en-US" w:eastAsia="zh-CN"/>
        </w:rPr>
        <w:t>。</w:t>
      </w:r>
    </w:p>
    <w:p w14:paraId="2560BC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Cs/>
          <w:kern w:val="2"/>
          <w:sz w:val="32"/>
          <w:szCs w:val="32"/>
          <w:lang w:val="en-US" w:eastAsia="zh-CN"/>
        </w:rPr>
      </w:pPr>
      <w:r>
        <w:rPr>
          <w:rFonts w:hint="default" w:ascii="仿宋_GB2312" w:hAnsi="仿宋_GB2312" w:eastAsia="仿宋_GB2312" w:cs="仿宋_GB2312"/>
          <w:bCs/>
          <w:kern w:val="2"/>
          <w:sz w:val="32"/>
          <w:szCs w:val="32"/>
          <w:lang w:val="en-US" w:eastAsia="zh-CN"/>
        </w:rPr>
        <w:t>潍坊市生态环境局昌乐分局政府信息主要通过潍坊市生态环境局昌乐分局信息公开专栏</w:t>
      </w:r>
      <w:r>
        <w:rPr>
          <w:rFonts w:hint="eastAsia" w:ascii="仿宋_GB2312" w:hAnsi="仿宋_GB2312" w:eastAsia="仿宋_GB2312" w:cs="仿宋_GB2312"/>
          <w:bCs/>
          <w:kern w:val="2"/>
          <w:sz w:val="32"/>
          <w:szCs w:val="32"/>
          <w:lang w:val="en-US" w:eastAsia="zh-CN"/>
        </w:rPr>
        <w:t>和“</w:t>
      </w:r>
      <w:r>
        <w:rPr>
          <w:rFonts w:hint="default" w:ascii="仿宋_GB2312" w:hAnsi="仿宋_GB2312" w:eastAsia="仿宋_GB2312" w:cs="仿宋_GB2312"/>
          <w:bCs/>
          <w:kern w:val="2"/>
          <w:sz w:val="32"/>
          <w:szCs w:val="32"/>
          <w:lang w:val="en-US" w:eastAsia="zh-CN"/>
        </w:rPr>
        <w:t>昌乐环境</w:t>
      </w:r>
      <w:r>
        <w:rPr>
          <w:rFonts w:hint="eastAsia" w:ascii="仿宋_GB2312" w:hAnsi="仿宋_GB2312" w:eastAsia="仿宋_GB2312" w:cs="仿宋_GB2312"/>
          <w:bCs/>
          <w:kern w:val="2"/>
          <w:sz w:val="32"/>
          <w:szCs w:val="32"/>
          <w:lang w:val="en-US" w:eastAsia="zh-CN"/>
        </w:rPr>
        <w:t>”</w:t>
      </w:r>
      <w:r>
        <w:rPr>
          <w:rFonts w:hint="default" w:ascii="仿宋_GB2312" w:hAnsi="仿宋_GB2312" w:eastAsia="仿宋_GB2312" w:cs="仿宋_GB2312"/>
          <w:bCs/>
          <w:kern w:val="2"/>
          <w:sz w:val="32"/>
          <w:szCs w:val="32"/>
          <w:lang w:val="en-US" w:eastAsia="zh-CN"/>
        </w:rPr>
        <w:t>微博主动公开政府信息。</w:t>
      </w:r>
    </w:p>
    <w:p w14:paraId="1FD01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（五）机构建设及人员配置情况。</w:t>
      </w:r>
    </w:p>
    <w:p w14:paraId="0E0CB0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按照有关要求结合内部科室实际情况，确定了政务公开分管责任人，全面负责做好全局信息公开管理工作，办公室作为信息公开工作机构，并安排了专人具体负责，同时，局内各科室也将信息公开工作作为日常工作的规定动作，适合公开发布的信息及时主动报送办公室，确保信息准确性和时效性</w:t>
      </w:r>
    </w:p>
    <w:p w14:paraId="5F0A5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（六）</w:t>
      </w:r>
      <w:r>
        <w:rPr>
          <w:rFonts w:hint="default" w:ascii="楷体_GB2312" w:hAnsi="楷体_GB2312" w:eastAsia="楷体_GB2312" w:cs="楷体_GB2312"/>
          <w:b w:val="0"/>
          <w:bCs w:val="0"/>
          <w:kern w:val="2"/>
          <w:sz w:val="32"/>
          <w:szCs w:val="32"/>
          <w:lang w:val="en-US" w:eastAsia="zh-CN"/>
        </w:rPr>
        <w:t>监督保障</w:t>
      </w:r>
      <w:r>
        <w:rPr>
          <w:rFonts w:hint="eastAsia" w:ascii="楷体_GB2312" w:hAnsi="楷体_GB2312" w:eastAsia="楷体_GB2312" w:cs="楷体_GB2312"/>
          <w:b w:val="0"/>
          <w:bCs w:val="0"/>
          <w:kern w:val="2"/>
          <w:sz w:val="32"/>
          <w:szCs w:val="32"/>
          <w:lang w:val="en-US" w:eastAsia="zh-CN"/>
        </w:rPr>
        <w:t>情况</w:t>
      </w:r>
      <w:r>
        <w:rPr>
          <w:rFonts w:hint="default" w:ascii="楷体_GB2312" w:hAnsi="楷体_GB2312" w:eastAsia="楷体_GB2312" w:cs="楷体_GB2312"/>
          <w:b w:val="0"/>
          <w:bCs w:val="0"/>
          <w:kern w:val="2"/>
          <w:sz w:val="32"/>
          <w:szCs w:val="32"/>
          <w:lang w:val="en-US" w:eastAsia="zh-CN"/>
        </w:rPr>
        <w:t>。</w:t>
      </w:r>
    </w:p>
    <w:p w14:paraId="729889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rPr>
      </w:pPr>
      <w:r>
        <w:rPr>
          <w:rFonts w:hint="default" w:ascii="仿宋_GB2312" w:hAnsi="仿宋_GB2312" w:eastAsia="仿宋_GB2312" w:cs="仿宋_GB2312"/>
          <w:bCs/>
          <w:kern w:val="2"/>
          <w:sz w:val="32"/>
          <w:szCs w:val="32"/>
          <w:lang w:val="en-US" w:eastAsia="zh-CN"/>
        </w:rPr>
        <w:t>一是成立领导小组，安排专人负责政务公开工作；二是完善公开制度，提高公开质量，建立完善政府信息公开机制；三是强化监督机制，确保公开到位，建立</w:t>
      </w:r>
      <w:r>
        <w:rPr>
          <w:rFonts w:hint="eastAsia" w:ascii="仿宋_GB2312" w:hAnsi="仿宋_GB2312" w:eastAsia="仿宋_GB2312" w:cs="仿宋_GB2312"/>
          <w:bCs/>
          <w:kern w:val="2"/>
          <w:sz w:val="32"/>
          <w:szCs w:val="32"/>
          <w:lang w:val="en-US" w:eastAsia="zh-CN"/>
        </w:rPr>
        <w:t>长</w:t>
      </w:r>
      <w:r>
        <w:rPr>
          <w:rFonts w:hint="default" w:ascii="仿宋_GB2312" w:hAnsi="仿宋_GB2312" w:eastAsia="仿宋_GB2312" w:cs="仿宋_GB2312"/>
          <w:bCs/>
          <w:kern w:val="2"/>
          <w:sz w:val="32"/>
          <w:szCs w:val="32"/>
          <w:lang w:val="en-US" w:eastAsia="zh-CN"/>
        </w:rPr>
        <w:t>效管理机制，进一步规范各项流程操作，确保政务公开工作扎实有效地推进</w:t>
      </w:r>
      <w:r>
        <w:rPr>
          <w:rFonts w:hint="eastAsia" w:ascii="仿宋_GB2312" w:hAnsi="仿宋_GB2312" w:eastAsia="仿宋_GB2312" w:cs="仿宋_GB2312"/>
          <w:bCs/>
          <w:kern w:val="2"/>
          <w:sz w:val="32"/>
          <w:szCs w:val="32"/>
          <w:lang w:val="en-US" w:eastAsia="zh-CN"/>
        </w:rPr>
        <w:t>；四是抓好队伍培训，积极参加县政府组织的信息公开工作会议和业务培训，主动对各科室政务信息公开负责人进行培训，切实提高对政务公开工作的认识水平和工作能力。</w:t>
      </w:r>
    </w:p>
    <w:p w14:paraId="531D03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人大</w:t>
      </w:r>
      <w:r>
        <w:rPr>
          <w:rFonts w:hint="default" w:ascii="楷体_GB2312" w:hAnsi="楷体_GB2312" w:eastAsia="楷体_GB2312" w:cs="楷体_GB2312"/>
          <w:b w:val="0"/>
          <w:bCs w:val="0"/>
          <w:kern w:val="2"/>
          <w:sz w:val="32"/>
          <w:szCs w:val="32"/>
          <w:lang w:val="en-US" w:eastAsia="zh-CN"/>
        </w:rPr>
        <w:t>建议</w:t>
      </w:r>
      <w:r>
        <w:rPr>
          <w:rFonts w:hint="eastAsia" w:ascii="楷体_GB2312" w:hAnsi="楷体_GB2312" w:eastAsia="楷体_GB2312" w:cs="楷体_GB2312"/>
          <w:b w:val="0"/>
          <w:bCs w:val="0"/>
          <w:kern w:val="2"/>
          <w:sz w:val="32"/>
          <w:szCs w:val="32"/>
          <w:lang w:val="en-US" w:eastAsia="zh-CN"/>
        </w:rPr>
        <w:t>、政协</w:t>
      </w:r>
      <w:r>
        <w:rPr>
          <w:rFonts w:hint="default" w:ascii="楷体_GB2312" w:hAnsi="楷体_GB2312" w:eastAsia="楷体_GB2312" w:cs="楷体_GB2312"/>
          <w:b w:val="0"/>
          <w:bCs w:val="0"/>
          <w:kern w:val="2"/>
          <w:sz w:val="32"/>
          <w:szCs w:val="32"/>
          <w:lang w:val="en-US" w:eastAsia="zh-CN"/>
        </w:rPr>
        <w:t>提案办理结果公开情况。</w:t>
      </w:r>
    </w:p>
    <w:p w14:paraId="6A77DE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2020年，潍坊市生态环境局昌乐分局承办人大代表建议0件，政协提案3件。局党组召开专题会议，对政协提案进行专题研究、全面调研，提出切实可行的措施和方案，使答复满意率达到100%，提案办理情况通过中国·昌乐门户网站向社会公开。</w:t>
      </w:r>
    </w:p>
    <w:p w14:paraId="26550293">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exact"/>
        <w:jc w:val="both"/>
        <w:textAlignment w:val="auto"/>
        <w:rPr>
          <w:rFonts w:hint="eastAsia" w:ascii="黑体" w:hAnsi="黑体" w:eastAsia="黑体" w:cs="黑体"/>
          <w:b w:val="0"/>
          <w:bCs w:val="0"/>
          <w:kern w:val="2"/>
          <w:sz w:val="32"/>
          <w:szCs w:val="32"/>
          <w:lang w:val="en-US" w:eastAsia="zh-CN" w:bidi="ar-SA"/>
        </w:rPr>
      </w:pPr>
      <w:r>
        <w:rPr>
          <w:rFonts w:hint="eastAsia" w:ascii="仿宋_GB2312" w:hAnsi="仿宋_GB2312" w:eastAsia="仿宋_GB2312" w:cs="仿宋_GB2312"/>
          <w:bCs/>
          <w:kern w:val="2"/>
          <w:sz w:val="32"/>
          <w:szCs w:val="32"/>
          <w:lang w:val="en-US" w:eastAsia="zh-CN"/>
        </w:rPr>
        <w:drawing>
          <wp:anchor distT="0" distB="0" distL="114300" distR="114300" simplePos="0" relativeHeight="251660288" behindDoc="1" locked="0" layoutInCell="1" allowOverlap="1">
            <wp:simplePos x="0" y="0"/>
            <wp:positionH relativeFrom="column">
              <wp:posOffset>-523875</wp:posOffset>
            </wp:positionH>
            <wp:positionV relativeFrom="paragraph">
              <wp:posOffset>-7585075</wp:posOffset>
            </wp:positionV>
            <wp:extent cx="6039485" cy="4113530"/>
            <wp:effectExtent l="0" t="0" r="0" b="0"/>
            <wp:wrapTight wrapText="bothSides">
              <wp:wrapPolygon>
                <wp:start x="0" y="0"/>
                <wp:lineTo x="0" y="21507"/>
                <wp:lineTo x="21530" y="21507"/>
                <wp:lineTo x="21530" y="0"/>
                <wp:lineTo x="0" y="0"/>
              </wp:wrapPolygon>
            </wp:wrapTight>
            <wp:docPr id="5" name="图片 5" descr="微信截图_2021012016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10120163202"/>
                    <pic:cNvPicPr>
                      <a:picLocks noChangeAspect="1"/>
                    </pic:cNvPicPr>
                  </pic:nvPicPr>
                  <pic:blipFill>
                    <a:blip r:embed="rId6"/>
                    <a:stretch>
                      <a:fillRect/>
                    </a:stretch>
                  </pic:blipFill>
                  <pic:spPr>
                    <a:xfrm>
                      <a:off x="0" y="0"/>
                      <a:ext cx="6039485" cy="4113530"/>
                    </a:xfrm>
                    <a:prstGeom prst="rect">
                      <a:avLst/>
                    </a:prstGeom>
                  </pic:spPr>
                </pic:pic>
              </a:graphicData>
            </a:graphic>
          </wp:anchor>
        </w:drawing>
      </w:r>
      <w:r>
        <w:rPr>
          <w:rFonts w:hint="eastAsia" w:ascii="黑体" w:hAnsi="黑体" w:eastAsia="黑体" w:cs="黑体"/>
          <w:b w:val="0"/>
          <w:bCs w:val="0"/>
          <w:kern w:val="2"/>
          <w:sz w:val="32"/>
          <w:szCs w:val="32"/>
          <w:lang w:val="en-US" w:eastAsia="zh-CN" w:bidi="ar-SA"/>
        </w:rPr>
        <w:t>二、主动公开政府信息情况</w:t>
      </w:r>
    </w:p>
    <w:tbl>
      <w:tblPr>
        <w:tblStyle w:val="6"/>
        <w:tblW w:w="8715" w:type="dxa"/>
        <w:jc w:val="center"/>
        <w:shd w:val="clear" w:color="auto" w:fill="auto"/>
        <w:tblLayout w:type="autofit"/>
        <w:tblCellMar>
          <w:top w:w="0" w:type="dxa"/>
          <w:left w:w="0" w:type="dxa"/>
          <w:bottom w:w="0" w:type="dxa"/>
          <w:right w:w="0" w:type="dxa"/>
        </w:tblCellMar>
      </w:tblPr>
      <w:tblGrid>
        <w:gridCol w:w="3075"/>
        <w:gridCol w:w="17"/>
        <w:gridCol w:w="2097"/>
        <w:gridCol w:w="1506"/>
        <w:gridCol w:w="2020"/>
      </w:tblGrid>
      <w:tr w14:paraId="1C2A425B">
        <w:tblPrEx>
          <w:shd w:val="clear" w:color="auto" w:fill="auto"/>
          <w:tblCellMar>
            <w:top w:w="0" w:type="dxa"/>
            <w:left w:w="0" w:type="dxa"/>
            <w:bottom w:w="0" w:type="dxa"/>
            <w:right w:w="0"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E01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第二十条第（一）项</w:t>
            </w:r>
          </w:p>
        </w:tc>
      </w:tr>
      <w:tr w14:paraId="213BF45B">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C72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5A1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4DC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本年新</w:t>
            </w:r>
            <w:r>
              <w:rPr>
                <w:rFonts w:hint="eastAsia" w:ascii="楷体" w:hAnsi="楷体" w:eastAsia="楷体" w:cs="楷体"/>
                <w:kern w:val="0"/>
                <w:sz w:val="24"/>
                <w:szCs w:val="24"/>
                <w:lang w:val="en-US" w:eastAsia="zh-CN" w:bidi="ar"/>
              </w:rPr>
              <w:br w:type="textWrapping"/>
            </w:r>
            <w:r>
              <w:rPr>
                <w:rFonts w:hint="eastAsia" w:ascii="楷体" w:hAnsi="楷体" w:eastAsia="楷体" w:cs="楷体"/>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40586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right="0"/>
              <w:jc w:val="both"/>
              <w:textAlignment w:val="auto"/>
              <w:rPr>
                <w:rFonts w:hint="eastAsia" w:ascii="楷体" w:hAnsi="楷体" w:eastAsia="楷体" w:cs="楷体"/>
              </w:rPr>
            </w:pPr>
            <w:r>
              <w:rPr>
                <w:rFonts w:hint="eastAsia" w:ascii="楷体" w:hAnsi="楷体" w:eastAsia="楷体" w:cs="楷体"/>
                <w:kern w:val="0"/>
                <w:sz w:val="24"/>
                <w:szCs w:val="24"/>
                <w:lang w:val="en-US" w:eastAsia="zh-CN" w:bidi="ar"/>
              </w:rPr>
              <w:t>对外公开总数量</w:t>
            </w:r>
          </w:p>
        </w:tc>
      </w:tr>
      <w:tr w14:paraId="0D89736F">
        <w:tblPrEx>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F5E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19DA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14:paraId="684C8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7DAC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42310119">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9E9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3950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14:paraId="33E31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69921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17641CD3">
        <w:tblPrEx>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99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第二十条第（五）项</w:t>
            </w:r>
          </w:p>
        </w:tc>
      </w:tr>
      <w:tr w14:paraId="79F867C4">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B5A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B7B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D8A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79836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处理决定数量</w:t>
            </w:r>
          </w:p>
        </w:tc>
      </w:tr>
      <w:tr w14:paraId="0F79315D">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5E1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F06D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lang w:val="en-US"/>
              </w:rPr>
            </w:pPr>
            <w:r>
              <w:rPr>
                <w:rFonts w:hint="eastAsia" w:ascii="楷体" w:hAnsi="楷体" w:eastAsia="楷体" w:cs="楷体"/>
                <w:kern w:val="0"/>
                <w:sz w:val="24"/>
                <w:szCs w:val="24"/>
                <w:lang w:val="en-US" w:eastAsia="zh-CN" w:bidi="ar"/>
              </w:rPr>
              <w:t>6</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14:paraId="7F8F8149">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rPr>
                <w:rFonts w:hint="default" w:ascii="楷体" w:hAnsi="楷体" w:eastAsia="楷体" w:cs="楷体"/>
                <w:lang w:val="en-US"/>
              </w:rPr>
            </w:pPr>
            <w:r>
              <w:rPr>
                <w:rFonts w:hint="eastAsia" w:ascii="楷体" w:hAnsi="楷体" w:eastAsia="楷体" w:cs="楷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24DE9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lang w:val="en-US"/>
              </w:rPr>
            </w:pPr>
            <w:r>
              <w:rPr>
                <w:rFonts w:hint="eastAsia" w:ascii="楷体" w:hAnsi="楷体" w:eastAsia="楷体" w:cs="楷体"/>
                <w:kern w:val="0"/>
                <w:sz w:val="24"/>
                <w:szCs w:val="24"/>
                <w:lang w:val="en-US" w:eastAsia="zh-CN" w:bidi="ar"/>
              </w:rPr>
              <w:t>269</w:t>
            </w:r>
          </w:p>
        </w:tc>
      </w:tr>
      <w:tr w14:paraId="1E121393">
        <w:tblPrEx>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379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796D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14:paraId="696B7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32A27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38C502B6">
        <w:tblPrEx>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953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第二十条第（六）项</w:t>
            </w:r>
          </w:p>
        </w:tc>
      </w:tr>
      <w:tr w14:paraId="2D5BB6BC">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395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CA0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D22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05B45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处理决定数量</w:t>
            </w:r>
          </w:p>
        </w:tc>
      </w:tr>
      <w:tr w14:paraId="6F6CCFC4">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126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5235C7B">
            <w:pPr>
              <w:keepNext w:val="0"/>
              <w:keepLines w:val="0"/>
              <w:pageBreakBefore w:val="0"/>
              <w:widowControl/>
              <w:suppressLineNumbers w:val="0"/>
              <w:kinsoku/>
              <w:wordWrap/>
              <w:overflowPunct/>
              <w:topLinePunct w:val="0"/>
              <w:autoSpaceDE/>
              <w:autoSpaceDN/>
              <w:bidi w:val="0"/>
              <w:adjustRightInd/>
              <w:snapToGrid/>
              <w:spacing w:beforeAutospacing="0" w:line="560" w:lineRule="exact"/>
              <w:jc w:val="left"/>
              <w:textAlignment w:val="auto"/>
              <w:rPr>
                <w:rFonts w:hint="eastAsia" w:ascii="楷体" w:hAnsi="楷体" w:eastAsia="楷体" w:cs="楷体"/>
                <w:lang w:val="en-US"/>
              </w:rPr>
            </w:pPr>
            <w:r>
              <w:rPr>
                <w:rFonts w:hint="eastAsia" w:ascii="楷体" w:hAnsi="楷体" w:eastAsia="楷体" w:cs="楷体"/>
                <w:kern w:val="0"/>
                <w:sz w:val="24"/>
                <w:szCs w:val="24"/>
                <w:lang w:val="en-US" w:eastAsia="zh-CN" w:bidi="ar"/>
              </w:rPr>
              <w:t>        2</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14:paraId="0BA4E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default" w:ascii="楷体" w:hAnsi="楷体" w:eastAsia="楷体" w:cs="楷体"/>
                <w:lang w:val="en-US"/>
              </w:rPr>
            </w:pPr>
            <w:r>
              <w:rPr>
                <w:rFonts w:hint="eastAsia" w:ascii="楷体" w:hAnsi="楷体" w:eastAsia="楷体" w:cs="楷体"/>
                <w:kern w:val="0"/>
                <w:sz w:val="24"/>
                <w:szCs w:val="24"/>
                <w:lang w:val="en-US" w:eastAsia="zh-CN" w:bidi="ar"/>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1178C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lang w:val="en-US"/>
              </w:rPr>
            </w:pPr>
            <w:r>
              <w:rPr>
                <w:rFonts w:hint="eastAsia" w:ascii="楷体" w:hAnsi="楷体" w:eastAsia="楷体" w:cs="楷体"/>
                <w:kern w:val="0"/>
                <w:sz w:val="24"/>
                <w:szCs w:val="24"/>
                <w:lang w:val="en-US" w:eastAsia="zh-CN" w:bidi="ar"/>
              </w:rPr>
              <w:t>170</w:t>
            </w:r>
          </w:p>
        </w:tc>
      </w:tr>
      <w:tr w14:paraId="66D536CA">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0E2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330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lang w:val="en-US"/>
              </w:rPr>
            </w:pPr>
            <w:r>
              <w:rPr>
                <w:rFonts w:hint="eastAsia" w:ascii="楷体" w:hAnsi="楷体" w:eastAsia="楷体" w:cs="楷体"/>
                <w:kern w:val="0"/>
                <w:sz w:val="24"/>
                <w:szCs w:val="24"/>
                <w:lang w:val="en-US" w:eastAsia="zh-CN" w:bidi="ar"/>
              </w:rPr>
              <w:t>3</w:t>
            </w:r>
          </w:p>
        </w:tc>
        <w:tc>
          <w:tcPr>
            <w:tcW w:w="1505" w:type="dxa"/>
            <w:tcBorders>
              <w:top w:val="nil"/>
              <w:left w:val="nil"/>
              <w:bottom w:val="single" w:color="auto" w:sz="8" w:space="0"/>
              <w:right w:val="single" w:color="auto" w:sz="8" w:space="0"/>
            </w:tcBorders>
            <w:shd w:val="clear" w:color="auto" w:fill="auto"/>
            <w:tcMar>
              <w:left w:w="108" w:type="dxa"/>
              <w:right w:w="108" w:type="dxa"/>
            </w:tcMar>
            <w:vAlign w:val="center"/>
          </w:tcPr>
          <w:p w14:paraId="250CB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default" w:ascii="楷体" w:hAnsi="楷体" w:eastAsia="楷体" w:cs="楷体"/>
                <w:lang w:val="en-US"/>
              </w:rPr>
            </w:pPr>
            <w:r>
              <w:rPr>
                <w:rFonts w:hint="eastAsia" w:ascii="楷体" w:hAnsi="楷体" w:eastAsia="楷体" w:cs="楷体"/>
                <w:kern w:val="0"/>
                <w:sz w:val="24"/>
                <w:szCs w:val="24"/>
                <w:lang w:val="en-US" w:eastAsia="zh-CN" w:bidi="ar"/>
              </w:rPr>
              <w:t>0</w:t>
            </w:r>
          </w:p>
        </w:tc>
        <w:tc>
          <w:tcPr>
            <w:tcW w:w="2018" w:type="dxa"/>
            <w:tcBorders>
              <w:top w:val="nil"/>
              <w:left w:val="nil"/>
              <w:bottom w:val="single" w:color="auto" w:sz="8" w:space="0"/>
              <w:right w:val="single" w:color="auto" w:sz="8" w:space="0"/>
            </w:tcBorders>
            <w:shd w:val="clear" w:color="auto" w:fill="auto"/>
            <w:tcMar>
              <w:left w:w="108" w:type="dxa"/>
              <w:right w:w="108" w:type="dxa"/>
            </w:tcMar>
            <w:vAlign w:val="center"/>
          </w:tcPr>
          <w:p w14:paraId="49CF9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lang w:val="en-US"/>
              </w:rPr>
            </w:pPr>
            <w:r>
              <w:rPr>
                <w:rFonts w:hint="eastAsia" w:ascii="楷体" w:hAnsi="楷体" w:eastAsia="楷体" w:cs="楷体"/>
                <w:kern w:val="0"/>
                <w:sz w:val="24"/>
                <w:szCs w:val="24"/>
                <w:lang w:val="en-US" w:eastAsia="zh-CN" w:bidi="ar"/>
              </w:rPr>
              <w:t>35</w:t>
            </w:r>
          </w:p>
        </w:tc>
      </w:tr>
      <w:tr w14:paraId="610EDDEE">
        <w:tblPrEx>
          <w:tblCellMar>
            <w:top w:w="0" w:type="dxa"/>
            <w:left w:w="0" w:type="dxa"/>
            <w:bottom w:w="0" w:type="dxa"/>
            <w:right w:w="0"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55E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第二十条第（八）项</w:t>
            </w:r>
          </w:p>
        </w:tc>
      </w:tr>
      <w:tr w14:paraId="00CE09F8">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855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61C2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14:paraId="46DB7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本年增/减</w:t>
            </w:r>
          </w:p>
        </w:tc>
      </w:tr>
      <w:tr w14:paraId="19F1DD4F">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4A9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45B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352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14:paraId="70378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69E87B4A">
        <w:tblPrEx>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76F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第二十条第（九）项</w:t>
            </w:r>
          </w:p>
        </w:tc>
      </w:tr>
      <w:tr w14:paraId="4190E243">
        <w:tblPrEx>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287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color="auto" w:fill="auto"/>
            <w:tcMar>
              <w:left w:w="108" w:type="dxa"/>
              <w:right w:w="108" w:type="dxa"/>
            </w:tcMar>
            <w:vAlign w:val="center"/>
          </w:tcPr>
          <w:p w14:paraId="428CA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14:paraId="5F6AF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采购总金额</w:t>
            </w:r>
          </w:p>
        </w:tc>
      </w:tr>
      <w:tr w14:paraId="1431C626">
        <w:tblPrEx>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353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color="auto" w:fill="auto"/>
            <w:tcMar>
              <w:left w:w="108" w:type="dxa"/>
              <w:right w:w="108" w:type="dxa"/>
            </w:tcMar>
            <w:vAlign w:val="center"/>
          </w:tcPr>
          <w:p w14:paraId="37392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2</w:t>
            </w:r>
          </w:p>
        </w:tc>
        <w:tc>
          <w:tcPr>
            <w:tcW w:w="3523"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14:paraId="595FF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765万元</w:t>
            </w:r>
          </w:p>
        </w:tc>
      </w:tr>
    </w:tbl>
    <w:p w14:paraId="32F768F1">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三、收到和处理政府信息公开申请情况</w:t>
      </w:r>
    </w:p>
    <w:tbl>
      <w:tblPr>
        <w:tblStyle w:val="6"/>
        <w:tblW w:w="907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25"/>
        <w:gridCol w:w="1418"/>
        <w:gridCol w:w="2837"/>
        <w:gridCol w:w="850"/>
        <w:gridCol w:w="567"/>
        <w:gridCol w:w="567"/>
        <w:gridCol w:w="567"/>
        <w:gridCol w:w="567"/>
        <w:gridCol w:w="540"/>
        <w:gridCol w:w="635"/>
      </w:tblGrid>
      <w:tr w14:paraId="2A15F0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2B3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firstLine="400" w:firstLineChars="20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FB7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申请人情况</w:t>
            </w:r>
          </w:p>
        </w:tc>
      </w:tr>
      <w:tr w14:paraId="62F8A9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61BB302">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A1EF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2D9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74E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总计</w:t>
            </w:r>
          </w:p>
        </w:tc>
      </w:tr>
      <w:tr w14:paraId="4918A4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4CF97F">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1BB86FF">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09B3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6" w:leftChars="-51" w:right="-107" w:rightChars="-51" w:hanging="1"/>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E7A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7" w:leftChars="-51" w:right="-107" w:rightChars="-51"/>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E29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7" w:leftChars="-51" w:right="-107" w:rightChars="-51"/>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EF8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6" w:leftChars="-51" w:right="-107" w:rightChars="-51" w:hanging="1"/>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E0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 w:leftChars="-30" w:right="-134" w:rightChars="-64"/>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119309">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r>
      <w:tr w14:paraId="553048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B02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449C60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AE4640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415CE7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633C17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90C41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BDC51F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FA12F9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7FD7C4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EB7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C848BD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7582D3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755B22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8FA434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99853B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6CA982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679C1E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64202A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CBEE4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8B23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（一）予以公开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C49B7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163EB9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2541DF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108A3A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45C5E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0B2D54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A914A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1D82C8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992252">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7710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D037C4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00F213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A71A6C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9E0EB6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53DFB7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6D739E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A2C15A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6060D1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D2F0DA">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BE4E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107" w:leftChars="-51"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（三）不予公开</w:t>
            </w: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78EAA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AFA885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B11A90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43C435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3EA8B0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343172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551E5E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63A2C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1B99E5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6F16B1">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30601B">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4F8F9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35E57D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BC7602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893551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0DC39C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1EDDBD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EAD351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07180D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615F56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A5A8C0">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5BD121A">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4450B7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8344E4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EEC322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9490D1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8874B2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BD0821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B81CD3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4C3DB6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7B02E2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BAFE09">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C8330B5">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5E1C1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425087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C678E2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6DC6C8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2DE493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892129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F2C19E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5EA8FE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633B5B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06B098">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A58E1EF">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1760F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B22927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581AAD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0B65A6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7FDAB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AE327A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B32E0C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968F66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22684A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7EA97A">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C97521B">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59C7C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29CF0D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7C85B1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20FFB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A410E9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B39760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3AE141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4D8081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604F24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7537DB">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91406C7">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4D228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CF9AB9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90757B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BE4BA5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5E549F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03C3DF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22A814F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BB3A82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0B9388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A2B679">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843EB7">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144C7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E3621B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F76658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D28A2A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2FD62D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087E1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89CBA5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021960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7EF0D8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3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94F6AF">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AE95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107" w:leftChars="-51"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（四）无法提供</w:t>
            </w: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1B346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724A5A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D33B24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BFAF81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4ED200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B2C6C7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85B69F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F56AB5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173204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47E336">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6F1FE63">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18A60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DB59A4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370C0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5DD919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440420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BF9968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9320EA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CD891D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0D55B0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0C8F73">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F623489">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3C0E5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BA3A7A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85CF8E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52C0A0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F92BE5B">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997075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07BBAD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795F0A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7AE2ED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A08C9E">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2F84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107" w:leftChars="-51"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（五）不予处理</w:t>
            </w: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0E0E6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B17C42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3A6996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BA0950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33F3B84">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F7B053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283063A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BA4C70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0284EF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87C299">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BF33704">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1204E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412628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31DA29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37310B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C7448A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96A8A0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385B6E2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4ECCA4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0C4D19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9"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434A24">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B9CB188">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4F580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33ABB9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C04D24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C1AE691">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CD4A20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22C69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36B1BA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B58EFB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1DFE2E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5"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8C28B6">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286695C">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05E8B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504764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85F44A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BF54750">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F41449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8FA08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3CE7B81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B5D907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5F7AA3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90" w:hRule="atLeas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11856C">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F75CF4F">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2837" w:type="dxa"/>
            <w:tcBorders>
              <w:top w:val="nil"/>
              <w:left w:val="nil"/>
              <w:bottom w:val="single" w:color="auto" w:sz="8" w:space="0"/>
              <w:right w:val="single" w:color="auto" w:sz="8" w:space="0"/>
            </w:tcBorders>
            <w:shd w:val="clear" w:color="auto" w:fill="auto"/>
            <w:tcMar>
              <w:left w:w="108" w:type="dxa"/>
              <w:right w:w="108" w:type="dxa"/>
            </w:tcMar>
            <w:vAlign w:val="center"/>
          </w:tcPr>
          <w:p w14:paraId="6607D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5.要求行政机关确认或重新出具已获取信息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B80FD2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8791A0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E68736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9766B0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E28DF5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8ED9B4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E94055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016EDD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2"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557BCE">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1886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（六）其他处理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3B3285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ECDF5C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7BC41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F8E715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6EF759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358A4BD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B346F58">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2249F1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2"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6395CE">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2A77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A9F271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395179C">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02A2E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E3C26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345515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D1FB68D">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A4FC6E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r w14:paraId="308408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B84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0"/>
                <w:szCs w:val="20"/>
                <w:lang w:val="en-US" w:eastAsia="zh-CN" w:bidi="ar"/>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2A5AE8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98F9989">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19E415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F98BF6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6F99B4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69913D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BFDE85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bl>
    <w:p w14:paraId="7BA36972">
      <w:pPr>
        <w:pStyle w:val="5"/>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四、政府信息公开行政复议、行政诉讼情况</w:t>
      </w:r>
    </w:p>
    <w:tbl>
      <w:tblPr>
        <w:tblStyle w:val="6"/>
        <w:tblW w:w="9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4"/>
        <w:gridCol w:w="555"/>
        <w:gridCol w:w="600"/>
        <w:gridCol w:w="585"/>
        <w:gridCol w:w="780"/>
        <w:gridCol w:w="550"/>
        <w:gridCol w:w="605"/>
        <w:gridCol w:w="605"/>
        <w:gridCol w:w="605"/>
        <w:gridCol w:w="605"/>
        <w:gridCol w:w="605"/>
        <w:gridCol w:w="605"/>
        <w:gridCol w:w="605"/>
        <w:gridCol w:w="606"/>
        <w:gridCol w:w="606"/>
      </w:tblGrid>
      <w:tr w14:paraId="13C803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4FB9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4A0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行政诉讼</w:t>
            </w:r>
          </w:p>
        </w:tc>
      </w:tr>
      <w:tr w14:paraId="3978E6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55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B7F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70" w:rightChars="-81"/>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w:t>
            </w:r>
          </w:p>
          <w:p w14:paraId="31DAD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70" w:rightChars="-81"/>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维持</w:t>
            </w:r>
          </w:p>
        </w:tc>
        <w:tc>
          <w:tcPr>
            <w:tcW w:w="5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1D5C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3" w:leftChars="-21" w:right="-132" w:rightChars="-63" w:hanging="1"/>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62A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2" w:leftChars="-39" w:right="-97" w:rightChars="-46"/>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其他结果</w:t>
            </w:r>
          </w:p>
        </w:tc>
        <w:tc>
          <w:tcPr>
            <w:tcW w:w="58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EFF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18" w:rightChars="-56"/>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尚未</w:t>
            </w:r>
          </w:p>
          <w:p w14:paraId="048F1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18" w:rightChars="-56"/>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审结</w:t>
            </w:r>
          </w:p>
        </w:tc>
        <w:tc>
          <w:tcPr>
            <w:tcW w:w="78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82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right="0"/>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3CE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A66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复议后起诉</w:t>
            </w:r>
          </w:p>
        </w:tc>
      </w:tr>
      <w:tr w14:paraId="7DC9DF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55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17C3F7">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5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E3BADAA">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6F178A">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5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D941BF9">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78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12953C">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hint="eastAsia" w:ascii="楷体" w:hAnsi="楷体" w:eastAsia="楷体" w:cs="楷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3D75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5" w:leftChars="-50" w:right="-126" w:rightChars="-6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690A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86" w:leftChars="-41" w:right="-88" w:rightChars="-42"/>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A2C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36" w:rightChars="-65"/>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其他</w:t>
            </w:r>
          </w:p>
          <w:p w14:paraId="08302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36" w:rightChars="-65"/>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F58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53" w:rightChars="-73"/>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尚未</w:t>
            </w:r>
          </w:p>
          <w:p w14:paraId="4764F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53" w:rightChars="-73"/>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F0C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AE5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99" w:leftChars="-47" w:right="-78" w:rightChars="-37"/>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D6A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24" w:rightChars="-59"/>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w:t>
            </w:r>
          </w:p>
          <w:p w14:paraId="6A628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24" w:rightChars="-59"/>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5E5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34" w:rightChars="-64"/>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其他</w:t>
            </w:r>
          </w:p>
          <w:p w14:paraId="2E621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134" w:rightChars="-64"/>
              <w:jc w:val="both"/>
              <w:textAlignment w:val="auto"/>
              <w:rPr>
                <w:rFonts w:hint="eastAsia" w:ascii="楷体" w:hAnsi="楷体" w:eastAsia="楷体" w:cs="楷体"/>
              </w:rPr>
            </w:pPr>
            <w:r>
              <w:rPr>
                <w:rFonts w:hint="eastAsia" w:ascii="楷体" w:hAnsi="楷体" w:eastAsia="楷体" w:cs="楷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B1F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7" w:leftChars="-33" w:right="-105" w:rightChars="-50" w:hanging="2" w:hangingChars="1"/>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16BA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总计</w:t>
            </w:r>
          </w:p>
        </w:tc>
      </w:tr>
      <w:tr w14:paraId="617F69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5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17284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555" w:type="dxa"/>
            <w:tcBorders>
              <w:top w:val="nil"/>
              <w:left w:val="nil"/>
              <w:bottom w:val="single" w:color="auto" w:sz="8" w:space="0"/>
              <w:right w:val="single" w:color="auto" w:sz="8" w:space="0"/>
            </w:tcBorders>
            <w:shd w:val="clear" w:color="auto" w:fill="auto"/>
            <w:tcMar>
              <w:left w:w="108" w:type="dxa"/>
              <w:right w:w="108" w:type="dxa"/>
            </w:tcMar>
            <w:vAlign w:val="center"/>
          </w:tcPr>
          <w:p w14:paraId="57CA6FF2">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0" w:type="dxa"/>
            <w:tcBorders>
              <w:top w:val="nil"/>
              <w:left w:val="nil"/>
              <w:bottom w:val="single" w:color="auto" w:sz="8" w:space="0"/>
              <w:right w:val="single" w:color="auto" w:sz="8" w:space="0"/>
            </w:tcBorders>
            <w:shd w:val="clear" w:color="auto" w:fill="auto"/>
            <w:tcMar>
              <w:left w:w="108" w:type="dxa"/>
              <w:right w:w="108" w:type="dxa"/>
            </w:tcMar>
            <w:vAlign w:val="center"/>
          </w:tcPr>
          <w:p w14:paraId="5FB40B43">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center"/>
          </w:tcPr>
          <w:p w14:paraId="0CD7FB3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14:paraId="486C6C9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F1379F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8DEDEE">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D68950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FE4376F">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40AB3A">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E2CE3E5">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3F73C2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28B276">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0C1A877">
            <w:pPr>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rPr>
                <w:rFonts w:hint="eastAsia" w:ascii="楷体" w:hAnsi="楷体" w:eastAsia="楷体" w:cs="楷体"/>
              </w:rPr>
            </w:pPr>
            <w:r>
              <w:rPr>
                <w:rFonts w:hint="eastAsia" w:ascii="楷体" w:hAnsi="楷体" w:eastAsia="楷体" w:cs="楷体"/>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4BC6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jc w:val="left"/>
              <w:textAlignment w:val="auto"/>
              <w:rPr>
                <w:rFonts w:hint="eastAsia" w:ascii="楷体" w:hAnsi="楷体" w:eastAsia="楷体" w:cs="楷体"/>
              </w:rPr>
            </w:pPr>
            <w:r>
              <w:rPr>
                <w:rFonts w:hint="eastAsia" w:ascii="楷体" w:hAnsi="楷体" w:eastAsia="楷体" w:cs="楷体"/>
                <w:kern w:val="0"/>
                <w:sz w:val="24"/>
                <w:szCs w:val="24"/>
                <w:lang w:val="en-US" w:eastAsia="zh-CN" w:bidi="ar"/>
              </w:rPr>
              <w:t>0</w:t>
            </w:r>
          </w:p>
        </w:tc>
      </w:tr>
    </w:tbl>
    <w:p w14:paraId="771F2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1" w:line="560" w:lineRule="exact"/>
        <w:ind w:left="0" w:right="0" w:firstLine="480" w:firstLineChars="200"/>
        <w:jc w:val="center"/>
        <w:textAlignment w:val="auto"/>
      </w:pPr>
      <w:r>
        <w:rPr>
          <w:rFonts w:asciiTheme="minorHAnsi" w:hAnsiTheme="minorHAnsi" w:eastAsiaTheme="minorEastAsia" w:cstheme="minorBidi"/>
          <w:kern w:val="0"/>
          <w:sz w:val="24"/>
          <w:szCs w:val="24"/>
          <w:lang w:val="en-US" w:eastAsia="zh-CN" w:bidi="ar"/>
        </w:rPr>
        <w:t> </w:t>
      </w:r>
    </w:p>
    <w:p w14:paraId="544DD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五、存在的主要问题及改进情况</w:t>
      </w:r>
    </w:p>
    <w:p w14:paraId="3A88B1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（一）2019年问题整改情况</w:t>
      </w:r>
    </w:p>
    <w:p w14:paraId="64F34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一</w:t>
      </w:r>
      <w:r>
        <w:rPr>
          <w:rFonts w:hint="default" w:ascii="仿宋_GB2312" w:hAnsi="仿宋_GB2312" w:eastAsia="仿宋_GB2312" w:cs="仿宋_GB2312"/>
          <w:bCs/>
          <w:kern w:val="2"/>
          <w:sz w:val="32"/>
          <w:szCs w:val="32"/>
          <w:lang w:val="en-US" w:eastAsia="zh-CN"/>
        </w:rPr>
        <w:t>是</w:t>
      </w:r>
      <w:r>
        <w:rPr>
          <w:rFonts w:hint="eastAsia" w:ascii="仿宋_GB2312" w:hAnsi="仿宋_GB2312" w:eastAsia="仿宋_GB2312" w:cs="仿宋_GB2312"/>
          <w:bCs/>
          <w:kern w:val="2"/>
          <w:sz w:val="32"/>
          <w:szCs w:val="32"/>
          <w:lang w:val="en-US" w:eastAsia="zh-CN"/>
        </w:rPr>
        <w:t>增加了</w:t>
      </w:r>
      <w:r>
        <w:rPr>
          <w:rFonts w:hint="default" w:ascii="仿宋_GB2312" w:hAnsi="仿宋_GB2312" w:eastAsia="仿宋_GB2312" w:cs="仿宋_GB2312"/>
          <w:bCs/>
          <w:kern w:val="2"/>
          <w:sz w:val="32"/>
          <w:szCs w:val="32"/>
          <w:lang w:val="en-US" w:eastAsia="zh-CN"/>
        </w:rPr>
        <w:t>信息主动公开的广度、深度</w:t>
      </w:r>
      <w:r>
        <w:rPr>
          <w:rFonts w:hint="eastAsia" w:ascii="仿宋_GB2312" w:hAnsi="仿宋_GB2312" w:eastAsia="仿宋_GB2312" w:cs="仿宋_GB2312"/>
          <w:bCs/>
          <w:kern w:val="2"/>
          <w:sz w:val="32"/>
          <w:szCs w:val="32"/>
          <w:lang w:val="en-US" w:eastAsia="zh-CN"/>
        </w:rPr>
        <w:t>，丰富了公开内容</w:t>
      </w:r>
      <w:r>
        <w:rPr>
          <w:rFonts w:hint="default" w:ascii="仿宋_GB2312" w:hAnsi="仿宋_GB2312" w:eastAsia="仿宋_GB2312" w:cs="仿宋_GB2312"/>
          <w:bCs/>
          <w:kern w:val="2"/>
          <w:sz w:val="32"/>
          <w:szCs w:val="32"/>
          <w:lang w:val="en-US" w:eastAsia="zh-CN"/>
        </w:rPr>
        <w:t>。二是加强</w:t>
      </w:r>
      <w:r>
        <w:rPr>
          <w:rFonts w:hint="eastAsia" w:ascii="仿宋_GB2312" w:hAnsi="仿宋_GB2312" w:eastAsia="仿宋_GB2312" w:cs="仿宋_GB2312"/>
          <w:bCs/>
          <w:kern w:val="2"/>
          <w:sz w:val="32"/>
          <w:szCs w:val="32"/>
          <w:lang w:val="en-US" w:eastAsia="zh-CN"/>
        </w:rPr>
        <w:t>了</w:t>
      </w:r>
      <w:r>
        <w:rPr>
          <w:rFonts w:hint="default" w:ascii="仿宋_GB2312" w:hAnsi="仿宋_GB2312" w:eastAsia="仿宋_GB2312" w:cs="仿宋_GB2312"/>
          <w:bCs/>
          <w:kern w:val="2"/>
          <w:sz w:val="32"/>
          <w:szCs w:val="32"/>
          <w:lang w:val="en-US" w:eastAsia="zh-CN"/>
        </w:rPr>
        <w:t>信息公开的规范化、制度化，公开方式方法</w:t>
      </w:r>
      <w:r>
        <w:rPr>
          <w:rFonts w:hint="eastAsia" w:ascii="仿宋_GB2312" w:hAnsi="仿宋_GB2312" w:eastAsia="仿宋_GB2312" w:cs="仿宋_GB2312"/>
          <w:bCs/>
          <w:kern w:val="2"/>
          <w:sz w:val="32"/>
          <w:szCs w:val="32"/>
          <w:lang w:val="en-US" w:eastAsia="zh-CN"/>
        </w:rPr>
        <w:t>得到进一步提升</w:t>
      </w:r>
      <w:r>
        <w:rPr>
          <w:rFonts w:hint="default" w:ascii="仿宋_GB2312" w:hAnsi="仿宋_GB2312" w:eastAsia="仿宋_GB2312" w:cs="仿宋_GB2312"/>
          <w:bCs/>
          <w:kern w:val="2"/>
          <w:sz w:val="32"/>
          <w:szCs w:val="32"/>
          <w:lang w:val="en-US" w:eastAsia="zh-CN"/>
        </w:rPr>
        <w:t>。</w:t>
      </w:r>
    </w:p>
    <w:p w14:paraId="0A348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（二）2020年存在的主要问题</w:t>
      </w:r>
    </w:p>
    <w:p w14:paraId="6F54D3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bCs/>
          <w:kern w:val="2"/>
          <w:sz w:val="32"/>
          <w:szCs w:val="32"/>
          <w:lang w:val="en-US" w:eastAsia="zh-CN"/>
        </w:rPr>
      </w:pPr>
      <w:r>
        <w:rPr>
          <w:rFonts w:hint="default" w:ascii="仿宋_GB2312" w:hAnsi="仿宋_GB2312" w:eastAsia="仿宋_GB2312" w:cs="仿宋_GB2312"/>
          <w:bCs/>
          <w:kern w:val="2"/>
          <w:sz w:val="32"/>
          <w:szCs w:val="32"/>
          <w:lang w:val="en-US" w:eastAsia="zh-CN"/>
        </w:rPr>
        <w:t>一是个别科室对政务信息公开的认识不到位。二是个别科室信息报送不够及时，信息时效性降低。</w:t>
      </w:r>
    </w:p>
    <w:p w14:paraId="33EC9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b w:val="0"/>
          <w:bCs w:val="0"/>
          <w:kern w:val="2"/>
          <w:sz w:val="32"/>
          <w:szCs w:val="32"/>
          <w:lang w:val="en-US" w:eastAsia="zh-CN"/>
        </w:rPr>
      </w:pPr>
      <w:r>
        <w:rPr>
          <w:rFonts w:hint="eastAsia" w:ascii="楷体_GB2312" w:hAnsi="楷体_GB2312" w:eastAsia="楷体_GB2312" w:cs="楷体_GB2312"/>
          <w:b w:val="0"/>
          <w:bCs w:val="0"/>
          <w:kern w:val="2"/>
          <w:sz w:val="32"/>
          <w:szCs w:val="32"/>
          <w:lang w:val="en-US" w:eastAsia="zh-CN"/>
        </w:rPr>
        <w:t>（三）改进措施</w:t>
      </w:r>
    </w:p>
    <w:p w14:paraId="3A7134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一是</w:t>
      </w:r>
      <w:r>
        <w:rPr>
          <w:rFonts w:hint="default" w:ascii="仿宋_GB2312" w:hAnsi="仿宋_GB2312" w:eastAsia="仿宋_GB2312" w:cs="仿宋_GB2312"/>
          <w:bCs/>
          <w:kern w:val="2"/>
          <w:sz w:val="32"/>
          <w:szCs w:val="32"/>
          <w:lang w:val="en-US" w:eastAsia="zh-CN"/>
        </w:rPr>
        <w:t>进一步完善政务信息公开工作机制，保障各类信息及时、准确、规范地公开；</w:t>
      </w:r>
      <w:r>
        <w:rPr>
          <w:rFonts w:hint="eastAsia" w:ascii="仿宋_GB2312" w:hAnsi="仿宋_GB2312" w:eastAsia="仿宋_GB2312" w:cs="仿宋_GB2312"/>
          <w:bCs/>
          <w:kern w:val="2"/>
          <w:sz w:val="32"/>
          <w:szCs w:val="32"/>
          <w:lang w:val="en-US" w:eastAsia="zh-CN"/>
        </w:rPr>
        <w:t>二是</w:t>
      </w:r>
      <w:r>
        <w:rPr>
          <w:rFonts w:hint="default" w:ascii="仿宋_GB2312" w:hAnsi="仿宋_GB2312" w:eastAsia="仿宋_GB2312" w:cs="仿宋_GB2312"/>
          <w:bCs/>
          <w:kern w:val="2"/>
          <w:sz w:val="32"/>
          <w:szCs w:val="32"/>
          <w:lang w:val="en-US" w:eastAsia="zh-CN"/>
        </w:rPr>
        <w:t>进一步梳理、规范和细化各类环境信息，明确公开的责任单位，保证主动公开信息的及时公开；</w:t>
      </w:r>
      <w:r>
        <w:rPr>
          <w:rFonts w:hint="eastAsia" w:ascii="仿宋_GB2312" w:hAnsi="仿宋_GB2312" w:eastAsia="仿宋_GB2312" w:cs="仿宋_GB2312"/>
          <w:bCs/>
          <w:kern w:val="2"/>
          <w:sz w:val="32"/>
          <w:szCs w:val="32"/>
          <w:lang w:val="en-US" w:eastAsia="zh-CN"/>
        </w:rPr>
        <w:t>三是</w:t>
      </w:r>
      <w:r>
        <w:rPr>
          <w:rFonts w:hint="default" w:ascii="仿宋_GB2312" w:hAnsi="仿宋_GB2312" w:eastAsia="仿宋_GB2312" w:cs="仿宋_GB2312"/>
          <w:bCs/>
          <w:kern w:val="2"/>
          <w:sz w:val="32"/>
          <w:szCs w:val="32"/>
          <w:lang w:val="en-US" w:eastAsia="zh-CN"/>
        </w:rPr>
        <w:t>进一步做好依申请公开政务信息工作，完善工作机制，规范办理时间，确保依法公开政务信息；</w:t>
      </w:r>
      <w:r>
        <w:rPr>
          <w:rFonts w:hint="eastAsia" w:ascii="仿宋_GB2312" w:hAnsi="仿宋_GB2312" w:eastAsia="仿宋_GB2312" w:cs="仿宋_GB2312"/>
          <w:bCs/>
          <w:kern w:val="2"/>
          <w:sz w:val="32"/>
          <w:szCs w:val="32"/>
          <w:lang w:val="en-US" w:eastAsia="zh-CN"/>
        </w:rPr>
        <w:t>四是</w:t>
      </w:r>
      <w:r>
        <w:rPr>
          <w:rFonts w:hint="default" w:ascii="仿宋_GB2312" w:hAnsi="仿宋_GB2312" w:eastAsia="仿宋_GB2312" w:cs="仿宋_GB2312"/>
          <w:bCs/>
          <w:kern w:val="2"/>
          <w:sz w:val="32"/>
          <w:szCs w:val="32"/>
          <w:lang w:val="en-US" w:eastAsia="zh-CN"/>
        </w:rPr>
        <w:t>加强对信息公开工作人员的培训，提高工作能力和水平，增强保密意识，确实做到依法、高效、准确、安全、全面公开政务信息。</w:t>
      </w:r>
    </w:p>
    <w:p w14:paraId="0D6DA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六、其他需要报告的事项</w:t>
      </w:r>
    </w:p>
    <w:p w14:paraId="4BCCC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无</w:t>
      </w:r>
    </w:p>
    <w:p w14:paraId="7084B966">
      <w:pPr>
        <w:pStyle w:val="2"/>
        <w:rPr>
          <w:rFonts w:hint="eastAsia" w:ascii="仿宋_GB2312" w:hAnsi="仿宋_GB2312" w:eastAsia="仿宋_GB2312" w:cs="仿宋_GB2312"/>
          <w:bCs/>
          <w:kern w:val="2"/>
          <w:sz w:val="32"/>
          <w:szCs w:val="32"/>
          <w:lang w:val="en-US" w:eastAsia="zh-CN"/>
        </w:rPr>
      </w:pPr>
    </w:p>
    <w:p w14:paraId="1E219366">
      <w:pPr>
        <w:pStyle w:val="2"/>
        <w:jc w:val="center"/>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Cs/>
          <w:kern w:val="2"/>
          <w:sz w:val="32"/>
          <w:szCs w:val="32"/>
          <w:lang w:val="en-US" w:eastAsia="zh-CN"/>
        </w:rPr>
        <w:t xml:space="preserve">                   </w:t>
      </w:r>
      <w:r>
        <w:rPr>
          <w:rFonts w:hint="eastAsia" w:ascii="仿宋_GB2312" w:hAnsi="仿宋_GB2312" w:eastAsia="仿宋_GB2312" w:cs="仿宋_GB2312"/>
          <w:b w:val="0"/>
          <w:bCs/>
          <w:kern w:val="2"/>
          <w:sz w:val="32"/>
          <w:szCs w:val="32"/>
          <w:lang w:val="en-US" w:eastAsia="zh-CN" w:bidi="ar-SA"/>
        </w:rPr>
        <w:t xml:space="preserve">   潍坊生态环境局昌乐分局    </w:t>
      </w:r>
    </w:p>
    <w:p w14:paraId="2EDFEFD5">
      <w:pPr>
        <w:pStyle w:val="2"/>
        <w:jc w:val="center"/>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 w:val="0"/>
          <w:bCs/>
          <w:kern w:val="2"/>
          <w:sz w:val="32"/>
          <w:szCs w:val="32"/>
          <w:lang w:val="en-US" w:eastAsia="zh-CN" w:bidi="ar-SA"/>
        </w:rPr>
        <w:t xml:space="preserve">                      2021年1月21日   </w:t>
      </w:r>
      <w:r>
        <w:rPr>
          <w:rFonts w:hint="eastAsia" w:ascii="仿宋_GB2312" w:hAnsi="仿宋_GB2312" w:eastAsia="仿宋_GB2312" w:cs="仿宋_GB2312"/>
          <w:bCs/>
          <w:kern w:val="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AC214"/>
    <w:multiLevelType w:val="singleLevel"/>
    <w:tmpl w:val="AB3AC21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D6C37"/>
    <w:rsid w:val="083049A5"/>
    <w:rsid w:val="1E993054"/>
    <w:rsid w:val="30ED6C37"/>
    <w:rsid w:val="36F07C3C"/>
    <w:rsid w:val="377257F2"/>
    <w:rsid w:val="3E6F2193"/>
    <w:rsid w:val="46236FC1"/>
    <w:rsid w:val="523D48EB"/>
    <w:rsid w:val="550E345D"/>
    <w:rsid w:val="6298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0"/>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1293</Words>
  <Characters>1337</Characters>
  <Lines>0</Lines>
  <Paragraphs>0</Paragraphs>
  <TotalTime>29</TotalTime>
  <ScaleCrop>false</ScaleCrop>
  <LinksUpToDate>false</LinksUpToDate>
  <CharactersWithSpaces>1337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2021-01-20T03:18:00Z</dcterms:created>
  <dc:creator>Youga</dc:creator>
  <cp:lastModifiedBy>回荆州</cp:lastModifiedBy>
  <cp:lastPrinted>2021-01-21T06:29:00Z</cp:lastPrinted>
  <dcterms:modified xsi:type="dcterms:W3CDTF">2026-02-05T02:42:15Z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eyJoZGlkIjoiZDc3NGEyNjljNGMxNzU2MzA0NzgwM2ExZWE5NDY1MzIiLCJ1c2VySWQiOiIxMDY1MTgwMzA2In0=</vt:lpwstr>
  </property>
  <property fmtid="{D5CDD505-2E9C-101B-9397-08002B2CF9AE}" pid="4" name="ICV">
    <vt:lpwstr>6C40A2A279C14039B5DDCC4F3D13D64D_13</vt:lpwstr>
  </property>
</Properties>
</file>