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617CD">
      <w:pPr>
        <w:widowControl/>
        <w:spacing w:line="560" w:lineRule="exact"/>
        <w:ind w:firstLine="640"/>
        <w:jc w:val="center"/>
        <w:rPr>
          <w:rFonts w:ascii="文星标宋" w:hAnsi="文星标宋" w:eastAsia="文星标宋" w:cs="文星标宋"/>
          <w:b w:val="0"/>
          <w:bCs w:val="0"/>
          <w:kern w:val="0"/>
          <w:sz w:val="44"/>
          <w:szCs w:val="44"/>
        </w:rPr>
      </w:pPr>
      <w:r>
        <w:rPr>
          <w:rFonts w:hint="eastAsia" w:ascii="文星标宋" w:hAnsi="文星标宋" w:eastAsia="文星标宋" w:cs="文星标宋"/>
          <w:b w:val="0"/>
          <w:bCs w:val="0"/>
          <w:kern w:val="0"/>
          <w:sz w:val="44"/>
          <w:szCs w:val="44"/>
        </w:rPr>
        <w:t>昌乐县交通运输局</w:t>
      </w:r>
    </w:p>
    <w:p w14:paraId="70C62DB8">
      <w:pPr>
        <w:widowControl/>
        <w:spacing w:line="560" w:lineRule="exact"/>
        <w:ind w:firstLine="640"/>
        <w:jc w:val="center"/>
        <w:rPr>
          <w:rFonts w:ascii="文星标宋" w:hAnsi="文星标宋" w:eastAsia="文星标宋" w:cs="文星标宋"/>
          <w:b w:val="0"/>
          <w:bCs w:val="0"/>
          <w:kern w:val="0"/>
          <w:sz w:val="44"/>
          <w:szCs w:val="44"/>
        </w:rPr>
      </w:pPr>
      <w:r>
        <w:rPr>
          <w:rFonts w:hint="eastAsia" w:ascii="文星标宋" w:hAnsi="文星标宋" w:eastAsia="文星标宋" w:cs="文星标宋"/>
          <w:b w:val="0"/>
          <w:bCs w:val="0"/>
          <w:kern w:val="0"/>
          <w:sz w:val="44"/>
          <w:szCs w:val="44"/>
        </w:rPr>
        <w:t>202</w:t>
      </w:r>
      <w:r>
        <w:rPr>
          <w:rFonts w:hint="eastAsia" w:ascii="文星标宋" w:hAnsi="文星标宋" w:eastAsia="文星标宋" w:cs="文星标宋"/>
          <w:b w:val="0"/>
          <w:bCs w:val="0"/>
          <w:kern w:val="0"/>
          <w:sz w:val="44"/>
          <w:szCs w:val="44"/>
          <w:lang w:val="en-US" w:eastAsia="zh-CN"/>
        </w:rPr>
        <w:t>4</w:t>
      </w:r>
      <w:r>
        <w:rPr>
          <w:rFonts w:hint="eastAsia" w:ascii="文星标宋" w:hAnsi="文星标宋" w:eastAsia="文星标宋" w:cs="文星标宋"/>
          <w:b w:val="0"/>
          <w:bCs w:val="0"/>
          <w:kern w:val="0"/>
          <w:sz w:val="44"/>
          <w:szCs w:val="44"/>
        </w:rPr>
        <w:t>年政府信息公开工作年度报告</w:t>
      </w:r>
    </w:p>
    <w:p w14:paraId="3A90670A">
      <w:pPr>
        <w:widowControl/>
        <w:spacing w:line="560" w:lineRule="exact"/>
        <w:ind w:firstLine="640"/>
        <w:jc w:val="left"/>
        <w:rPr>
          <w:rFonts w:ascii="仿宋_GB2312" w:hAnsi="宋体" w:eastAsia="仿宋_GB2312" w:cs="仿宋_GB2312"/>
          <w:b w:val="0"/>
          <w:bCs w:val="0"/>
          <w:kern w:val="0"/>
          <w:sz w:val="32"/>
          <w:szCs w:val="32"/>
        </w:rPr>
      </w:pPr>
    </w:p>
    <w:p w14:paraId="72F7BD8F">
      <w:pPr>
        <w:keepNext w:val="0"/>
        <w:keepLines w:val="0"/>
        <w:pageBreakBefore w:val="0"/>
        <w:widowControl/>
        <w:kinsoku/>
        <w:wordWrap/>
        <w:overflowPunct/>
        <w:topLinePunct w:val="0"/>
        <w:autoSpaceDE/>
        <w:autoSpaceDN/>
        <w:bidi w:val="0"/>
        <w:adjustRightInd/>
        <w:snapToGrid/>
        <w:spacing w:line="578" w:lineRule="exact"/>
        <w:ind w:firstLine="641"/>
        <w:jc w:val="left"/>
        <w:textAlignment w:val="auto"/>
        <w:rPr>
          <w:rFonts w:hint="eastAsia" w:ascii="仿宋_GB2312" w:hAnsi="宋体" w:eastAsia="仿宋_GB2312" w:cs="仿宋_GB2312"/>
          <w:b w:val="0"/>
          <w:bCs w:val="0"/>
          <w:i w:val="0"/>
          <w:iCs w:val="0"/>
          <w:caps w:val="0"/>
          <w:color w:val="auto"/>
          <w:spacing w:val="0"/>
          <w:sz w:val="32"/>
          <w:szCs w:val="32"/>
          <w:shd w:val="clear" w:fill="FFFFFF"/>
          <w:lang w:val="en-US" w:eastAsia="zh-CN"/>
        </w:rPr>
      </w:pPr>
      <w:r>
        <w:rPr>
          <w:rFonts w:ascii="仿宋_GB2312" w:hAnsi="微软雅黑" w:eastAsia="仿宋_GB2312" w:cs="仿宋_GB2312"/>
          <w:b w:val="0"/>
          <w:bCs w:val="0"/>
          <w:color w:val="auto"/>
          <w:kern w:val="0"/>
          <w:sz w:val="32"/>
          <w:szCs w:val="32"/>
          <w:shd w:val="clear" w:color="auto" w:fill="FFFFFF"/>
        </w:rPr>
        <w:t>根据《中华人民共和国政府信息公开条例》</w:t>
      </w:r>
      <w:r>
        <w:rPr>
          <w:rFonts w:hint="eastAsia" w:ascii="仿宋_GB2312" w:hAnsi="微软雅黑" w:eastAsia="仿宋_GB2312" w:cs="仿宋_GB2312"/>
          <w:b w:val="0"/>
          <w:bCs w:val="0"/>
          <w:color w:val="auto"/>
          <w:kern w:val="0"/>
          <w:sz w:val="32"/>
          <w:szCs w:val="32"/>
          <w:shd w:val="clear" w:color="auto" w:fill="FFFFFF"/>
          <w:lang w:eastAsia="zh-CN"/>
        </w:rPr>
        <w:t>、</w:t>
      </w:r>
      <w:r>
        <w:rPr>
          <w:rFonts w:hint="eastAsia" w:ascii="仿宋_GB2312" w:hAnsi="微软雅黑" w:eastAsia="仿宋_GB2312" w:cs="仿宋_GB2312"/>
          <w:b w:val="0"/>
          <w:bCs w:val="0"/>
          <w:color w:val="auto"/>
          <w:kern w:val="0"/>
          <w:sz w:val="32"/>
          <w:szCs w:val="32"/>
          <w:shd w:val="clear" w:color="auto" w:fill="FFFFFF"/>
        </w:rPr>
        <w:t>《昌乐县人民政府办公室关于做好202</w:t>
      </w:r>
      <w:r>
        <w:rPr>
          <w:rFonts w:hint="eastAsia" w:ascii="仿宋_GB2312" w:hAnsi="微软雅黑" w:eastAsia="仿宋_GB2312" w:cs="仿宋_GB2312"/>
          <w:b w:val="0"/>
          <w:bCs w:val="0"/>
          <w:color w:val="auto"/>
          <w:kern w:val="0"/>
          <w:sz w:val="32"/>
          <w:szCs w:val="32"/>
          <w:shd w:val="clear" w:color="auto" w:fill="FFFFFF"/>
          <w:lang w:val="en-US" w:eastAsia="zh-CN"/>
        </w:rPr>
        <w:t>4</w:t>
      </w:r>
      <w:r>
        <w:rPr>
          <w:rFonts w:hint="eastAsia" w:ascii="仿宋_GB2312" w:hAnsi="微软雅黑" w:eastAsia="仿宋_GB2312" w:cs="仿宋_GB2312"/>
          <w:b w:val="0"/>
          <w:bCs w:val="0"/>
          <w:color w:val="auto"/>
          <w:kern w:val="0"/>
          <w:sz w:val="32"/>
          <w:szCs w:val="32"/>
          <w:shd w:val="clear" w:color="auto" w:fill="FFFFFF"/>
        </w:rPr>
        <w:t>年政府信息公开工作年度报告编制发布和报送工作的通知》</w:t>
      </w:r>
      <w:r>
        <w:rPr>
          <w:rFonts w:hint="eastAsia" w:ascii="仿宋_GB2312" w:hAnsi="微软雅黑" w:eastAsia="仿宋_GB2312" w:cs="仿宋_GB2312"/>
          <w:b w:val="0"/>
          <w:bCs w:val="0"/>
          <w:color w:val="auto"/>
          <w:kern w:val="0"/>
          <w:sz w:val="32"/>
          <w:szCs w:val="32"/>
          <w:shd w:val="clear" w:color="auto" w:fill="FFFFFF"/>
          <w:lang w:val="en-US" w:eastAsia="zh-CN"/>
        </w:rPr>
        <w:t>的</w:t>
      </w:r>
      <w:r>
        <w:rPr>
          <w:rFonts w:hint="eastAsia" w:ascii="仿宋_GB2312" w:hAnsi="微软雅黑" w:eastAsia="仿宋_GB2312" w:cs="仿宋_GB2312"/>
          <w:b w:val="0"/>
          <w:bCs w:val="0"/>
          <w:color w:val="auto"/>
          <w:kern w:val="0"/>
          <w:sz w:val="32"/>
          <w:szCs w:val="32"/>
          <w:shd w:val="clear" w:color="auto" w:fill="FFFFFF"/>
        </w:rPr>
        <w:t>要求，</w:t>
      </w:r>
      <w:r>
        <w:rPr>
          <w:rFonts w:hint="eastAsia" w:ascii="仿宋_GB2312" w:hAnsi="宋体" w:eastAsia="仿宋_GB2312" w:cs="仿宋_GB2312"/>
          <w:b w:val="0"/>
          <w:bCs w:val="0"/>
          <w:i w:val="0"/>
          <w:iCs w:val="0"/>
          <w:caps w:val="0"/>
          <w:color w:val="auto"/>
          <w:spacing w:val="0"/>
          <w:sz w:val="32"/>
          <w:szCs w:val="32"/>
          <w:shd w:val="clear" w:fill="FFFFFF"/>
          <w:lang w:val="en-US" w:eastAsia="zh-CN"/>
        </w:rPr>
        <w:t>立足</w:t>
      </w:r>
      <w:r>
        <w:rPr>
          <w:rFonts w:ascii="仿宋_GB2312" w:hAnsi="宋体" w:eastAsia="仿宋_GB2312" w:cs="仿宋_GB2312"/>
          <w:b w:val="0"/>
          <w:bCs w:val="0"/>
          <w:i w:val="0"/>
          <w:iCs w:val="0"/>
          <w:caps w:val="0"/>
          <w:color w:val="auto"/>
          <w:spacing w:val="0"/>
          <w:sz w:val="32"/>
          <w:szCs w:val="32"/>
          <w:shd w:val="clear" w:fill="FFFFFF"/>
        </w:rPr>
        <w:t>我局</w:t>
      </w:r>
      <w:r>
        <w:rPr>
          <w:rFonts w:hint="eastAsia" w:ascii="仿宋_GB2312" w:hAnsi="宋体" w:eastAsia="仿宋_GB2312" w:cs="仿宋_GB2312"/>
          <w:b w:val="0"/>
          <w:bCs w:val="0"/>
          <w:i w:val="0"/>
          <w:iCs w:val="0"/>
          <w:caps w:val="0"/>
          <w:color w:val="auto"/>
          <w:spacing w:val="0"/>
          <w:sz w:val="32"/>
          <w:szCs w:val="32"/>
          <w:shd w:val="clear" w:fill="FFFFFF"/>
          <w:lang w:val="en-US" w:eastAsia="zh-CN"/>
        </w:rPr>
        <w:t>工作</w:t>
      </w:r>
      <w:r>
        <w:rPr>
          <w:rFonts w:ascii="仿宋_GB2312" w:hAnsi="宋体" w:eastAsia="仿宋_GB2312" w:cs="仿宋_GB2312"/>
          <w:b w:val="0"/>
          <w:bCs w:val="0"/>
          <w:i w:val="0"/>
          <w:iCs w:val="0"/>
          <w:caps w:val="0"/>
          <w:color w:val="auto"/>
          <w:spacing w:val="0"/>
          <w:sz w:val="32"/>
          <w:szCs w:val="32"/>
          <w:shd w:val="clear" w:fill="FFFFFF"/>
        </w:rPr>
        <w:t>实际，编制并向社会公布昌乐县</w:t>
      </w:r>
      <w:r>
        <w:rPr>
          <w:rFonts w:hint="eastAsia" w:ascii="仿宋_GB2312" w:hAnsi="宋体" w:eastAsia="仿宋_GB2312" w:cs="仿宋_GB2312"/>
          <w:b w:val="0"/>
          <w:bCs w:val="0"/>
          <w:i w:val="0"/>
          <w:iCs w:val="0"/>
          <w:caps w:val="0"/>
          <w:color w:val="auto"/>
          <w:spacing w:val="0"/>
          <w:sz w:val="32"/>
          <w:szCs w:val="32"/>
          <w:shd w:val="clear" w:fill="FFFFFF"/>
          <w:lang w:val="en-US" w:eastAsia="zh-CN"/>
        </w:rPr>
        <w:t>交通运输</w:t>
      </w:r>
      <w:r>
        <w:rPr>
          <w:rFonts w:ascii="仿宋_GB2312" w:hAnsi="宋体" w:eastAsia="仿宋_GB2312" w:cs="仿宋_GB2312"/>
          <w:b w:val="0"/>
          <w:bCs w:val="0"/>
          <w:i w:val="0"/>
          <w:iCs w:val="0"/>
          <w:caps w:val="0"/>
          <w:color w:val="auto"/>
          <w:spacing w:val="0"/>
          <w:sz w:val="32"/>
          <w:szCs w:val="32"/>
          <w:shd w:val="clear" w:fill="FFFFFF"/>
        </w:rPr>
        <w:t>局</w:t>
      </w:r>
      <w:r>
        <w:rPr>
          <w:rFonts w:hint="eastAsia" w:ascii="仿宋_GB2312" w:hAnsi="宋体" w:eastAsia="仿宋_GB2312" w:cs="仿宋_GB2312"/>
          <w:b w:val="0"/>
          <w:bCs w:val="0"/>
          <w:i w:val="0"/>
          <w:iCs w:val="0"/>
          <w:caps w:val="0"/>
          <w:color w:val="auto"/>
          <w:spacing w:val="0"/>
          <w:sz w:val="32"/>
          <w:szCs w:val="32"/>
          <w:shd w:val="clear" w:fill="FFFFFF"/>
        </w:rPr>
        <w:t>202</w:t>
      </w:r>
      <w:r>
        <w:rPr>
          <w:rFonts w:hint="eastAsia" w:ascii="仿宋_GB2312" w:hAnsi="宋体" w:eastAsia="仿宋_GB2312" w:cs="仿宋_GB2312"/>
          <w:b w:val="0"/>
          <w:bCs w:val="0"/>
          <w:i w:val="0"/>
          <w:iCs w:val="0"/>
          <w:caps w:val="0"/>
          <w:color w:val="auto"/>
          <w:spacing w:val="0"/>
          <w:sz w:val="32"/>
          <w:szCs w:val="32"/>
          <w:shd w:val="clear" w:fill="FFFFFF"/>
          <w:lang w:val="en-US" w:eastAsia="zh-CN"/>
        </w:rPr>
        <w:t>4</w:t>
      </w:r>
      <w:r>
        <w:rPr>
          <w:rFonts w:hint="eastAsia" w:ascii="仿宋_GB2312" w:hAnsi="宋体" w:eastAsia="仿宋_GB2312" w:cs="仿宋_GB2312"/>
          <w:b w:val="0"/>
          <w:bCs w:val="0"/>
          <w:i w:val="0"/>
          <w:iCs w:val="0"/>
          <w:caps w:val="0"/>
          <w:color w:val="auto"/>
          <w:spacing w:val="0"/>
          <w:sz w:val="32"/>
          <w:szCs w:val="32"/>
          <w:shd w:val="clear" w:fill="FFFFFF"/>
        </w:rPr>
        <w:t>年政府信息公开工作年度报告。</w:t>
      </w:r>
      <w:r>
        <w:rPr>
          <w:rFonts w:hint="eastAsia" w:ascii="仿宋_GB2312" w:hAnsi="宋体" w:eastAsia="仿宋_GB2312" w:cs="仿宋_GB2312"/>
          <w:b w:val="0"/>
          <w:bCs w:val="0"/>
          <w:i w:val="0"/>
          <w:iCs w:val="0"/>
          <w:caps w:val="0"/>
          <w:color w:val="auto"/>
          <w:spacing w:val="0"/>
          <w:sz w:val="32"/>
          <w:szCs w:val="32"/>
          <w:shd w:val="clear" w:fill="FFFFFF"/>
          <w:lang w:val="en-US" w:eastAsia="zh-CN"/>
        </w:rPr>
        <w:t>内容分为总体情况、主动公开政府信息情况、收到和处理政府信息公开申请情况、政府信息公开行政复议和行政诉讼情况、存在的主要问题及改进情况、其他需要报告的事项六部分。</w:t>
      </w:r>
    </w:p>
    <w:p w14:paraId="47EFDD67">
      <w:pPr>
        <w:keepNext w:val="0"/>
        <w:keepLines w:val="0"/>
        <w:pageBreakBefore w:val="0"/>
        <w:widowControl/>
        <w:kinsoku/>
        <w:wordWrap/>
        <w:overflowPunct/>
        <w:topLinePunct w:val="0"/>
        <w:autoSpaceDE/>
        <w:autoSpaceDN/>
        <w:bidi w:val="0"/>
        <w:adjustRightInd/>
        <w:snapToGrid/>
        <w:spacing w:line="578" w:lineRule="exact"/>
        <w:ind w:firstLine="641"/>
        <w:jc w:val="left"/>
        <w:textAlignment w:val="auto"/>
        <w:rPr>
          <w:b w:val="0"/>
          <w:bCs w:val="0"/>
          <w:color w:val="auto"/>
          <w:sz w:val="32"/>
          <w:szCs w:val="32"/>
        </w:rPr>
      </w:pPr>
      <w:r>
        <w:rPr>
          <w:rFonts w:hint="eastAsia" w:ascii="仿宋_GB2312" w:hAnsi="宋体" w:eastAsia="仿宋_GB2312" w:cs="仿宋_GB2312"/>
          <w:b w:val="0"/>
          <w:bCs w:val="0"/>
          <w:i w:val="0"/>
          <w:iCs w:val="0"/>
          <w:caps w:val="0"/>
          <w:color w:val="auto"/>
          <w:spacing w:val="0"/>
          <w:sz w:val="32"/>
          <w:szCs w:val="32"/>
          <w:shd w:val="clear" w:fill="FFFFFF"/>
        </w:rPr>
        <w:t>本年度报告中所列数据的统计期限自202</w:t>
      </w:r>
      <w:r>
        <w:rPr>
          <w:rFonts w:hint="eastAsia" w:ascii="仿宋_GB2312" w:hAnsi="宋体" w:eastAsia="仿宋_GB2312" w:cs="仿宋_GB2312"/>
          <w:b w:val="0"/>
          <w:bCs w:val="0"/>
          <w:i w:val="0"/>
          <w:iCs w:val="0"/>
          <w:caps w:val="0"/>
          <w:color w:val="auto"/>
          <w:spacing w:val="0"/>
          <w:sz w:val="32"/>
          <w:szCs w:val="32"/>
          <w:shd w:val="clear" w:fill="FFFFFF"/>
          <w:lang w:val="en-US" w:eastAsia="zh-CN"/>
        </w:rPr>
        <w:t>4</w:t>
      </w:r>
      <w:r>
        <w:rPr>
          <w:rFonts w:hint="eastAsia" w:ascii="仿宋_GB2312" w:hAnsi="宋体" w:eastAsia="仿宋_GB2312" w:cs="仿宋_GB2312"/>
          <w:b w:val="0"/>
          <w:bCs w:val="0"/>
          <w:i w:val="0"/>
          <w:iCs w:val="0"/>
          <w:caps w:val="0"/>
          <w:color w:val="auto"/>
          <w:spacing w:val="0"/>
          <w:sz w:val="32"/>
          <w:szCs w:val="32"/>
          <w:shd w:val="clear" w:fill="FFFFFF"/>
        </w:rPr>
        <w:t>年1月1日起，至202</w:t>
      </w:r>
      <w:r>
        <w:rPr>
          <w:rFonts w:hint="eastAsia" w:ascii="仿宋_GB2312" w:hAnsi="宋体" w:eastAsia="仿宋_GB2312" w:cs="仿宋_GB2312"/>
          <w:b w:val="0"/>
          <w:bCs w:val="0"/>
          <w:i w:val="0"/>
          <w:iCs w:val="0"/>
          <w:caps w:val="0"/>
          <w:color w:val="auto"/>
          <w:spacing w:val="0"/>
          <w:sz w:val="32"/>
          <w:szCs w:val="32"/>
          <w:shd w:val="clear" w:fill="FFFFFF"/>
          <w:lang w:val="en-US" w:eastAsia="zh-CN"/>
        </w:rPr>
        <w:t>4</w:t>
      </w:r>
      <w:r>
        <w:rPr>
          <w:rFonts w:hint="eastAsia" w:ascii="仿宋_GB2312" w:hAnsi="宋体" w:eastAsia="仿宋_GB2312" w:cs="仿宋_GB2312"/>
          <w:b w:val="0"/>
          <w:bCs w:val="0"/>
          <w:i w:val="0"/>
          <w:iCs w:val="0"/>
          <w:caps w:val="0"/>
          <w:color w:val="auto"/>
          <w:spacing w:val="0"/>
          <w:sz w:val="32"/>
          <w:szCs w:val="32"/>
          <w:shd w:val="clear" w:fill="FFFFFF"/>
        </w:rPr>
        <w:t>年12月31日止。</w:t>
      </w:r>
      <w:r>
        <w:rPr>
          <w:rFonts w:hint="eastAsia" w:ascii="仿宋_GB2312" w:hAnsi="微软雅黑" w:eastAsia="仿宋_GB2312" w:cs="仿宋_GB2312"/>
          <w:b w:val="0"/>
          <w:bCs w:val="0"/>
          <w:color w:val="auto"/>
          <w:kern w:val="0"/>
          <w:sz w:val="32"/>
          <w:szCs w:val="32"/>
          <w:shd w:val="clear" w:color="auto" w:fill="FFFFFF"/>
        </w:rPr>
        <w:t>如对本报告有疑问，请与昌乐县交通运输局联系，地址：昌乐县城关商务社区6号楼1001室；邮编：262400；电话：0536-6221289；电子邮箱：clxjtj＠wf.shandaong.cn。</w:t>
      </w:r>
    </w:p>
    <w:p w14:paraId="71143BD2">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ascii="宋体" w:hAnsi="宋体" w:cs="宋体"/>
          <w:color w:val="auto"/>
          <w:sz w:val="24"/>
          <w:szCs w:val="24"/>
        </w:rPr>
      </w:pPr>
      <w:r>
        <w:rPr>
          <w:rFonts w:ascii="黑体" w:hAnsi="宋体" w:eastAsia="黑体" w:cs="黑体"/>
          <w:color w:val="auto"/>
          <w:kern w:val="0"/>
          <w:sz w:val="32"/>
          <w:szCs w:val="32"/>
        </w:rPr>
        <w:t>一、总体情况</w:t>
      </w:r>
    </w:p>
    <w:p w14:paraId="2F230D11">
      <w:pPr>
        <w:keepNext w:val="0"/>
        <w:keepLines w:val="0"/>
        <w:pageBreakBefore w:val="0"/>
        <w:widowControl/>
        <w:kinsoku/>
        <w:wordWrap/>
        <w:overflowPunct/>
        <w:topLinePunct w:val="0"/>
        <w:autoSpaceDE/>
        <w:autoSpaceDN/>
        <w:bidi w:val="0"/>
        <w:adjustRightInd/>
        <w:snapToGrid/>
        <w:spacing w:line="578" w:lineRule="exact"/>
        <w:ind w:firstLine="641"/>
        <w:jc w:val="left"/>
        <w:textAlignment w:val="auto"/>
        <w:rPr>
          <w:rFonts w:hint="eastAsia" w:ascii="仿宋_GB2312" w:hAnsi="微软雅黑" w:eastAsia="仿宋_GB2312" w:cs="仿宋_GB2312"/>
          <w:color w:val="auto"/>
          <w:kern w:val="0"/>
          <w:sz w:val="32"/>
          <w:szCs w:val="32"/>
          <w:shd w:val="clear" w:color="auto" w:fill="FFFFFF"/>
          <w:lang w:eastAsia="zh-CN"/>
        </w:rPr>
      </w:pPr>
      <w:r>
        <w:rPr>
          <w:rFonts w:ascii="楷体_GB2312" w:eastAsia="楷体_GB2312" w:cs="楷体_GB2312"/>
          <w:color w:val="auto"/>
          <w:kern w:val="0"/>
          <w:sz w:val="32"/>
          <w:szCs w:val="32"/>
          <w:shd w:val="clear" w:color="auto" w:fill="FFFFFF"/>
        </w:rPr>
        <w:t>（一）主动公开情况。</w:t>
      </w:r>
      <w:r>
        <w:rPr>
          <w:rFonts w:hint="eastAsia" w:ascii="仿宋_GB2312" w:hAnsi="微软雅黑" w:eastAsia="仿宋_GB2312" w:cs="仿宋_GB2312"/>
          <w:color w:val="auto"/>
          <w:kern w:val="0"/>
          <w:sz w:val="32"/>
          <w:szCs w:val="32"/>
          <w:shd w:val="clear" w:color="auto" w:fill="FFFFFF"/>
        </w:rPr>
        <w:t>在中国昌乐门户网站专栏公布部门工作动态，设置机构职能、组织管理、政策文件、政策解读、</w:t>
      </w:r>
      <w:r>
        <w:rPr>
          <w:rFonts w:hint="eastAsia" w:ascii="仿宋_GB2312" w:hAnsi="微软雅黑" w:eastAsia="仿宋_GB2312" w:cs="仿宋_GB2312"/>
          <w:color w:val="auto"/>
          <w:kern w:val="0"/>
          <w:sz w:val="32"/>
          <w:szCs w:val="32"/>
          <w:shd w:val="clear" w:color="auto" w:fill="FFFFFF"/>
          <w:lang w:val="en-US" w:eastAsia="zh-CN"/>
        </w:rPr>
        <w:t>工作动态、财政决算、行政权力事项</w:t>
      </w:r>
      <w:r>
        <w:rPr>
          <w:rFonts w:hint="eastAsia" w:ascii="仿宋_GB2312" w:hAnsi="微软雅黑" w:eastAsia="仿宋_GB2312" w:cs="仿宋_GB2312"/>
          <w:color w:val="auto"/>
          <w:kern w:val="0"/>
          <w:sz w:val="32"/>
          <w:szCs w:val="32"/>
          <w:shd w:val="clear" w:color="auto" w:fill="FFFFFF"/>
        </w:rPr>
        <w:t>等信息，全年共公开政府信息</w:t>
      </w:r>
      <w:r>
        <w:rPr>
          <w:rFonts w:hint="eastAsia" w:ascii="仿宋_GB2312" w:hAnsi="微软雅黑" w:eastAsia="仿宋_GB2312" w:cs="仿宋_GB2312"/>
          <w:color w:val="auto"/>
          <w:kern w:val="0"/>
          <w:sz w:val="32"/>
          <w:szCs w:val="32"/>
          <w:shd w:val="clear" w:color="auto" w:fill="FFFFFF"/>
          <w:lang w:val="en-US" w:eastAsia="zh-CN"/>
        </w:rPr>
        <w:t>60</w:t>
      </w:r>
      <w:r>
        <w:rPr>
          <w:rFonts w:hint="eastAsia" w:ascii="仿宋_GB2312" w:hAnsi="微软雅黑" w:eastAsia="仿宋_GB2312" w:cs="仿宋_GB2312"/>
          <w:color w:val="auto"/>
          <w:kern w:val="0"/>
          <w:sz w:val="32"/>
          <w:szCs w:val="32"/>
          <w:shd w:val="clear" w:color="auto" w:fill="FFFFFF"/>
        </w:rPr>
        <w:t>条。</w:t>
      </w:r>
    </w:p>
    <w:p w14:paraId="5F4C9958">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ascii="宋体" w:hAnsi="宋体" w:cs="宋体"/>
          <w:color w:val="auto"/>
          <w:sz w:val="24"/>
          <w:szCs w:val="24"/>
        </w:rPr>
      </w:pPr>
      <w:r>
        <w:rPr>
          <w:rFonts w:ascii="楷体_GB2312" w:hAnsi="宋体" w:eastAsia="楷体_GB2312" w:cs="楷体_GB2312"/>
          <w:color w:val="auto"/>
          <w:kern w:val="0"/>
          <w:sz w:val="32"/>
          <w:szCs w:val="32"/>
        </w:rPr>
        <w:t>（二）依申请公开情况。</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4</w:t>
      </w:r>
      <w:r>
        <w:rPr>
          <w:rFonts w:hint="eastAsia" w:ascii="仿宋_GB2312" w:hAnsi="宋体" w:eastAsia="仿宋_GB2312" w:cs="仿宋_GB2312"/>
          <w:color w:val="auto"/>
          <w:kern w:val="0"/>
          <w:sz w:val="32"/>
          <w:szCs w:val="32"/>
        </w:rPr>
        <w:t>年，县交通运输局</w:t>
      </w:r>
      <w:r>
        <w:rPr>
          <w:rFonts w:hint="eastAsia" w:ascii="仿宋_GB2312" w:hAnsi="宋体" w:eastAsia="仿宋_GB2312" w:cs="仿宋_GB2312"/>
          <w:color w:val="auto"/>
          <w:kern w:val="0"/>
          <w:sz w:val="32"/>
          <w:szCs w:val="32"/>
          <w:lang w:val="en-US" w:eastAsia="zh-CN"/>
        </w:rPr>
        <w:t>办理</w:t>
      </w:r>
      <w:r>
        <w:rPr>
          <w:rFonts w:hint="eastAsia" w:ascii="仿宋_GB2312" w:hAnsi="宋体" w:eastAsia="仿宋_GB2312" w:cs="仿宋_GB2312"/>
          <w:color w:val="auto"/>
          <w:kern w:val="0"/>
          <w:sz w:val="32"/>
          <w:szCs w:val="32"/>
        </w:rPr>
        <w:t>依申请公开</w:t>
      </w:r>
      <w:r>
        <w:rPr>
          <w:rFonts w:hint="eastAsia" w:ascii="仿宋_GB2312" w:hAnsi="宋体" w:eastAsia="仿宋_GB2312" w:cs="仿宋_GB2312"/>
          <w:color w:val="auto"/>
          <w:kern w:val="0"/>
          <w:sz w:val="32"/>
          <w:szCs w:val="32"/>
          <w:lang w:val="en-US" w:eastAsia="zh-CN"/>
        </w:rPr>
        <w:t>办件1件</w:t>
      </w:r>
      <w:r>
        <w:rPr>
          <w:rFonts w:hint="eastAsia" w:ascii="仿宋_GB2312" w:hAnsi="宋体" w:eastAsia="仿宋_GB2312" w:cs="仿宋_GB2312"/>
          <w:color w:val="auto"/>
          <w:kern w:val="0"/>
          <w:sz w:val="32"/>
          <w:szCs w:val="32"/>
        </w:rPr>
        <w:t>。</w:t>
      </w:r>
    </w:p>
    <w:p w14:paraId="0C276B48">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仿宋_GB2312" w:hAnsi="仿宋_GB2312" w:eastAsia="仿宋_GB2312" w:cs="仿宋_GB2312"/>
          <w:color w:val="auto"/>
          <w:kern w:val="0"/>
          <w:sz w:val="32"/>
          <w:szCs w:val="32"/>
        </w:rPr>
      </w:pPr>
      <w:r>
        <w:rPr>
          <w:rFonts w:ascii="楷体_GB2312" w:hAnsi="宋体" w:eastAsia="楷体_GB2312" w:cs="楷体_GB2312"/>
          <w:color w:val="auto"/>
          <w:kern w:val="0"/>
          <w:sz w:val="32"/>
          <w:szCs w:val="32"/>
        </w:rPr>
        <w:t>（三）政府信息管理情况。</w:t>
      </w:r>
      <w:r>
        <w:rPr>
          <w:rFonts w:hint="eastAsia" w:ascii="仿宋_GB2312" w:hAnsi="仿宋_GB2312" w:eastAsia="仿宋_GB2312" w:cs="仿宋_GB2312"/>
          <w:color w:val="auto"/>
          <w:kern w:val="0"/>
          <w:sz w:val="32"/>
          <w:szCs w:val="32"/>
        </w:rPr>
        <w:t>建立健全政府信息公开管理动态调整机制，做好政府信息公开保密审查和发布工作，完善政府信息全生命周期管理相关制度，明确政府信息从生成、审核发布到归档保存等各阶段责任</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仿宋_GB2312"/>
          <w:sz w:val="32"/>
          <w:szCs w:val="32"/>
        </w:rPr>
        <w:t>对</w:t>
      </w:r>
      <w:r>
        <w:rPr>
          <w:rFonts w:hint="eastAsia" w:ascii="仿宋_GB2312" w:hAnsi="仿宋_GB2312" w:eastAsia="仿宋_GB2312" w:cs="仿宋_GB2312"/>
          <w:color w:val="auto"/>
          <w:kern w:val="0"/>
          <w:sz w:val="32"/>
          <w:szCs w:val="32"/>
        </w:rPr>
        <w:t>重点领域</w:t>
      </w:r>
      <w:r>
        <w:rPr>
          <w:rFonts w:hint="eastAsia" w:ascii="仿宋_GB2312" w:hAnsi="宋体" w:eastAsia="仿宋_GB2312" w:cs="仿宋_GB2312"/>
          <w:sz w:val="32"/>
          <w:szCs w:val="32"/>
        </w:rPr>
        <w:t>拟公开事项，</w:t>
      </w:r>
      <w:r>
        <w:rPr>
          <w:rFonts w:hint="eastAsia" w:ascii="仿宋_GB2312" w:hAnsi="仿宋_GB2312" w:eastAsia="仿宋_GB2312" w:cs="仿宋_GB2312"/>
          <w:color w:val="auto"/>
          <w:kern w:val="0"/>
          <w:sz w:val="32"/>
          <w:szCs w:val="32"/>
          <w:lang w:val="en-US" w:eastAsia="zh-CN"/>
        </w:rPr>
        <w:t>采用</w:t>
      </w:r>
      <w:r>
        <w:rPr>
          <w:rFonts w:hint="eastAsia" w:ascii="仿宋_GB2312" w:hAnsi="仿宋_GB2312" w:eastAsia="仿宋_GB2312" w:cs="仿宋_GB2312"/>
          <w:color w:val="auto"/>
          <w:kern w:val="0"/>
          <w:sz w:val="32"/>
          <w:szCs w:val="32"/>
        </w:rPr>
        <w:t>主要负责同志、分管负责同志及科室负责人三级审核</w:t>
      </w:r>
      <w:r>
        <w:rPr>
          <w:rFonts w:hint="eastAsia" w:ascii="仿宋_GB2312" w:hAnsi="仿宋_GB2312" w:eastAsia="仿宋_GB2312" w:cs="仿宋_GB2312"/>
          <w:color w:val="auto"/>
          <w:kern w:val="0"/>
          <w:sz w:val="32"/>
          <w:szCs w:val="32"/>
          <w:lang w:val="en-US" w:eastAsia="zh-CN"/>
        </w:rPr>
        <w:t>模式。</w:t>
      </w:r>
      <w:r>
        <w:rPr>
          <w:rFonts w:hint="eastAsia" w:ascii="仿宋_GB2312" w:hAnsi="仿宋_GB2312" w:eastAsia="仿宋_GB2312" w:cs="仿宋_GB2312"/>
          <w:color w:val="auto"/>
          <w:kern w:val="0"/>
          <w:sz w:val="32"/>
          <w:szCs w:val="32"/>
        </w:rPr>
        <w:t>按照关于全面推行行政规范性文件合法性审核机制等相关文件要求，继续加强对规范性文件的管理。</w:t>
      </w:r>
    </w:p>
    <w:p w14:paraId="542F51CD">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仿宋_GB2312" w:hAnsi="仿宋_GB2312" w:eastAsia="仿宋_GB2312" w:cs="仿宋_GB2312"/>
          <w:color w:val="auto"/>
          <w:kern w:val="0"/>
          <w:sz w:val="32"/>
          <w:szCs w:val="32"/>
          <w:lang w:eastAsia="zh-CN"/>
        </w:rPr>
      </w:pPr>
      <w:r>
        <w:rPr>
          <w:rFonts w:ascii="楷体_GB2312" w:hAnsi="宋体" w:eastAsia="楷体_GB2312" w:cs="楷体_GB2312"/>
          <w:color w:val="auto"/>
          <w:kern w:val="0"/>
          <w:sz w:val="32"/>
          <w:szCs w:val="32"/>
        </w:rPr>
        <w:t>（四）</w:t>
      </w:r>
      <w:r>
        <w:rPr>
          <w:rFonts w:hint="eastAsia" w:ascii="楷体_GB2312" w:hAnsi="宋体" w:eastAsia="楷体_GB2312" w:cs="楷体_GB2312"/>
          <w:color w:val="auto"/>
          <w:kern w:val="0"/>
          <w:sz w:val="32"/>
          <w:szCs w:val="32"/>
        </w:rPr>
        <w:t>政府信息公开平台建设情况</w:t>
      </w:r>
      <w:r>
        <w:rPr>
          <w:rFonts w:ascii="楷体_GB2312" w:hAnsi="宋体" w:eastAsia="楷体_GB2312" w:cs="楷体_GB2312"/>
          <w:color w:val="auto"/>
          <w:kern w:val="0"/>
          <w:sz w:val="32"/>
          <w:szCs w:val="32"/>
        </w:rPr>
        <w:t>。</w:t>
      </w:r>
      <w:r>
        <w:rPr>
          <w:rFonts w:hint="eastAsia" w:ascii="仿宋_GB2312" w:hAnsi="仿宋_GB2312" w:eastAsia="仿宋_GB2312" w:cs="仿宋_GB2312"/>
          <w:color w:val="auto"/>
          <w:kern w:val="0"/>
          <w:sz w:val="32"/>
          <w:szCs w:val="32"/>
        </w:rPr>
        <w:t>抓好用好政务信息公开平台，充分发挥政府网站作为政府信息公开第一平台的作用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依托政府门户网站、政务公示栏</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爱昌乐政务号、公交车、出租车</w:t>
      </w:r>
      <w:r>
        <w:rPr>
          <w:rFonts w:hint="eastAsia" w:ascii="仿宋_GB2312" w:hAnsi="仿宋_GB2312" w:eastAsia="仿宋_GB2312" w:cs="仿宋_GB2312"/>
          <w:color w:val="auto"/>
          <w:kern w:val="0"/>
          <w:sz w:val="32"/>
          <w:szCs w:val="32"/>
        </w:rPr>
        <w:t>LED屏</w:t>
      </w:r>
      <w:r>
        <w:rPr>
          <w:rFonts w:hint="eastAsia" w:ascii="仿宋_GB2312" w:hAnsi="仿宋_GB2312" w:eastAsia="仿宋_GB2312" w:cs="仿宋_GB2312"/>
          <w:color w:val="auto"/>
          <w:kern w:val="0"/>
          <w:sz w:val="32"/>
          <w:szCs w:val="32"/>
          <w:lang w:val="en-US" w:eastAsia="zh-CN"/>
        </w:rPr>
        <w:t>等不断</w:t>
      </w:r>
      <w:r>
        <w:rPr>
          <w:rFonts w:hint="eastAsia" w:ascii="仿宋_GB2312" w:hAnsi="仿宋_GB2312" w:eastAsia="仿宋_GB2312" w:cs="仿宋_GB2312"/>
          <w:color w:val="auto"/>
          <w:kern w:val="0"/>
          <w:sz w:val="32"/>
          <w:szCs w:val="32"/>
        </w:rPr>
        <w:t>丰富公开信息内容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拓宽传播渠道，</w:t>
      </w:r>
      <w:r>
        <w:rPr>
          <w:rFonts w:hint="eastAsia" w:ascii="仿宋_GB2312" w:hAnsi="仿宋_GB2312" w:eastAsia="仿宋_GB2312" w:cs="仿宋_GB2312"/>
          <w:color w:val="auto"/>
          <w:kern w:val="0"/>
          <w:sz w:val="32"/>
          <w:szCs w:val="32"/>
        </w:rPr>
        <w:t>做到“应公开尽公开”</w:t>
      </w:r>
      <w:r>
        <w:rPr>
          <w:rFonts w:hint="eastAsia" w:ascii="仿宋_GB2312" w:hAnsi="仿宋_GB2312" w:eastAsia="仿宋_GB2312" w:cs="仿宋_GB2312"/>
          <w:color w:val="auto"/>
          <w:kern w:val="0"/>
          <w:sz w:val="32"/>
          <w:szCs w:val="32"/>
          <w:lang w:eastAsia="zh-CN"/>
        </w:rPr>
        <w:t>。</w:t>
      </w:r>
    </w:p>
    <w:p w14:paraId="16B55683">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ascii="仿宋_GB2312" w:hAnsi="宋体" w:eastAsia="仿宋_GB2312" w:cs="仿宋_GB2312"/>
          <w:color w:val="auto"/>
          <w:sz w:val="32"/>
          <w:szCs w:val="32"/>
          <w:shd w:val="clear" w:color="auto" w:fill="FFFFFF"/>
        </w:rPr>
      </w:pPr>
      <w:r>
        <w:rPr>
          <w:rFonts w:ascii="楷体_GB2312" w:hAnsi="宋体" w:eastAsia="楷体_GB2312" w:cs="楷体_GB2312"/>
          <w:color w:val="auto"/>
          <w:kern w:val="0"/>
          <w:sz w:val="32"/>
          <w:szCs w:val="32"/>
        </w:rPr>
        <w:t>（</w:t>
      </w:r>
      <w:r>
        <w:rPr>
          <w:rFonts w:hint="eastAsia" w:ascii="楷体_GB2312" w:hAnsi="宋体" w:eastAsia="楷体_GB2312" w:cs="楷体_GB2312"/>
          <w:color w:val="auto"/>
          <w:kern w:val="0"/>
          <w:sz w:val="32"/>
          <w:szCs w:val="32"/>
        </w:rPr>
        <w:t>五</w:t>
      </w:r>
      <w:r>
        <w:rPr>
          <w:rFonts w:ascii="楷体_GB2312" w:hAnsi="宋体" w:eastAsia="楷体_GB2312" w:cs="楷体_GB2312"/>
          <w:color w:val="auto"/>
          <w:kern w:val="0"/>
          <w:sz w:val="32"/>
          <w:szCs w:val="32"/>
        </w:rPr>
        <w:t>）监督保障情况。</w:t>
      </w:r>
      <w:r>
        <w:rPr>
          <w:rFonts w:hint="eastAsia" w:ascii="仿宋_GB2312" w:hAnsi="宋体" w:eastAsia="仿宋_GB2312" w:cs="仿宋_GB2312"/>
          <w:i w:val="0"/>
          <w:iCs w:val="0"/>
          <w:caps w:val="0"/>
          <w:color w:val="auto"/>
          <w:spacing w:val="0"/>
          <w:sz w:val="32"/>
          <w:szCs w:val="32"/>
          <w:shd w:val="clear" w:fill="FFFFFF"/>
          <w:lang w:val="en-US" w:eastAsia="zh-CN"/>
        </w:rPr>
        <w:t>一是健全组织领导。</w:t>
      </w:r>
      <w:r>
        <w:rPr>
          <w:rFonts w:hint="eastAsia" w:ascii="仿宋_GB2312" w:hAnsi="宋体" w:eastAsia="仿宋_GB2312" w:cs="仿宋_GB2312"/>
          <w:i w:val="0"/>
          <w:iCs w:val="0"/>
          <w:caps w:val="0"/>
          <w:color w:val="auto"/>
          <w:spacing w:val="0"/>
          <w:sz w:val="32"/>
          <w:szCs w:val="32"/>
          <w:shd w:val="clear" w:fill="FFFFFF"/>
        </w:rPr>
        <w:t>建立专门政务公开工作领导小组，局党组成员、副局长为组长</w:t>
      </w:r>
      <w:r>
        <w:rPr>
          <w:rFonts w:hint="eastAsia" w:ascii="仿宋_GB2312" w:hAnsi="宋体" w:eastAsia="仿宋_GB2312" w:cs="仿宋_GB2312"/>
          <w:i w:val="0"/>
          <w:iCs w:val="0"/>
          <w:caps w:val="0"/>
          <w:color w:val="auto"/>
          <w:spacing w:val="0"/>
          <w:sz w:val="32"/>
          <w:szCs w:val="32"/>
          <w:shd w:val="clear" w:fill="FFFFFF"/>
          <w:lang w:eastAsia="zh-CN"/>
        </w:rPr>
        <w:t>，</w:t>
      </w:r>
      <w:r>
        <w:rPr>
          <w:rFonts w:hint="default" w:ascii="仿宋_GB2312" w:hAnsi="宋体" w:eastAsia="仿宋_GB2312" w:cs="仿宋_GB2312"/>
          <w:i w:val="0"/>
          <w:iCs w:val="0"/>
          <w:caps w:val="0"/>
          <w:color w:val="auto"/>
          <w:spacing w:val="0"/>
          <w:sz w:val="32"/>
          <w:szCs w:val="32"/>
          <w:shd w:val="clear" w:fill="FFFFFF"/>
        </w:rPr>
        <w:t>办公室负责具体信息发布与审核，及时分析研究、协调解决政府信息公开工作中面临的困难和问题</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二</w:t>
      </w:r>
      <w:r>
        <w:rPr>
          <w:rFonts w:hint="eastAsia" w:ascii="仿宋_GB2312" w:hAnsi="宋体" w:eastAsia="仿宋_GB2312" w:cs="仿宋_GB2312"/>
          <w:i w:val="0"/>
          <w:iCs w:val="0"/>
          <w:caps w:val="0"/>
          <w:color w:val="auto"/>
          <w:spacing w:val="0"/>
          <w:sz w:val="32"/>
          <w:szCs w:val="32"/>
          <w:shd w:val="clear" w:fill="FFFFFF"/>
        </w:rPr>
        <w:t>是</w:t>
      </w:r>
      <w:r>
        <w:rPr>
          <w:rFonts w:hint="eastAsia" w:ascii="仿宋_GB2312" w:hAnsi="宋体" w:eastAsia="仿宋_GB2312" w:cs="仿宋_GB2312"/>
          <w:i w:val="0"/>
          <w:iCs w:val="0"/>
          <w:caps w:val="0"/>
          <w:color w:val="auto"/>
          <w:spacing w:val="0"/>
          <w:sz w:val="32"/>
          <w:szCs w:val="32"/>
          <w:shd w:val="clear" w:fill="FFFFFF"/>
          <w:lang w:val="en-US" w:eastAsia="zh-CN"/>
        </w:rPr>
        <w:t>完善培训机制。</w:t>
      </w:r>
      <w:r>
        <w:rPr>
          <w:rFonts w:hint="default" w:ascii="仿宋_GB2312" w:hAnsi="宋体" w:eastAsia="仿宋_GB2312" w:cs="仿宋_GB2312"/>
          <w:i w:val="0"/>
          <w:iCs w:val="0"/>
          <w:caps w:val="0"/>
          <w:color w:val="auto"/>
          <w:spacing w:val="0"/>
          <w:sz w:val="32"/>
          <w:szCs w:val="32"/>
          <w:shd w:val="clear" w:fill="FFFFFF"/>
        </w:rPr>
        <w:t>坚持日常培训与专题培训相结合，全面强化我局政府信息公开工作水平</w:t>
      </w:r>
      <w:r>
        <w:rPr>
          <w:rFonts w:hint="eastAsia" w:ascii="仿宋_GB2312" w:hAnsi="宋体" w:eastAsia="仿宋_GB2312" w:cs="仿宋_GB2312"/>
          <w:i w:val="0"/>
          <w:iCs w:val="0"/>
          <w:caps w:val="0"/>
          <w:color w:val="auto"/>
          <w:spacing w:val="0"/>
          <w:sz w:val="32"/>
          <w:szCs w:val="32"/>
          <w:shd w:val="clear" w:fill="FFFFFF"/>
          <w:lang w:eastAsia="zh-CN"/>
        </w:rPr>
        <w:t>。</w:t>
      </w:r>
      <w:r>
        <w:rPr>
          <w:rFonts w:hint="default" w:ascii="仿宋_GB2312" w:hAnsi="宋体" w:eastAsia="仿宋_GB2312" w:cs="仿宋_GB2312"/>
          <w:i w:val="0"/>
          <w:iCs w:val="0"/>
          <w:caps w:val="0"/>
          <w:color w:val="auto"/>
          <w:spacing w:val="0"/>
          <w:sz w:val="32"/>
          <w:szCs w:val="32"/>
          <w:shd w:val="clear" w:fill="FFFFFF"/>
        </w:rPr>
        <w:t>系统学习政府信息公开平台操作程序、各类信息公开程序、易出现的问题及解决方法等</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三是强化</w:t>
      </w:r>
      <w:r>
        <w:rPr>
          <w:rFonts w:hint="eastAsia" w:ascii="仿宋_GB2312" w:hAnsi="宋体" w:eastAsia="仿宋_GB2312" w:cs="仿宋_GB2312"/>
          <w:i w:val="0"/>
          <w:iCs w:val="0"/>
          <w:caps w:val="0"/>
          <w:color w:val="auto"/>
          <w:spacing w:val="0"/>
          <w:sz w:val="32"/>
          <w:szCs w:val="32"/>
          <w:shd w:val="clear" w:fill="FFFFFF"/>
        </w:rPr>
        <w:t>责任追究。将政府信息公开工作纳入年度考核，按照“谁公开、谁负责”的要求，制定了工作考核办法</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同时网站所有公开信息自觉接受社会群众和媒体监督，认真落实群众的意见建议，充分发挥社会评议作用，对工作进行认真整改，确保意见建议落到实处。</w:t>
      </w:r>
    </w:p>
    <w:p w14:paraId="50C08DA1">
      <w:pPr>
        <w:pStyle w:val="22"/>
        <w:spacing w:line="578" w:lineRule="exact"/>
        <w:ind w:firstLine="640" w:firstLineChars="200"/>
        <w:rPr>
          <w:rFonts w:ascii="仿宋_GB2312" w:hAnsi="ˎ̥" w:eastAsia="仿宋_GB2312"/>
          <w:kern w:val="0"/>
          <w:sz w:val="32"/>
          <w:szCs w:val="32"/>
          <w:lang w:val="en-US" w:eastAsia="zh-CN" w:bidi="ar-SA"/>
        </w:rPr>
      </w:pPr>
      <w:r>
        <w:rPr>
          <w:rFonts w:hint="eastAsia" w:ascii="黑体" w:hAnsi="黑体" w:eastAsia="黑体" w:cs="黑体"/>
          <w:kern w:val="0"/>
          <w:sz w:val="32"/>
          <w:szCs w:val="32"/>
          <w:lang w:val="en-US" w:eastAsia="zh-CN" w:bidi="ar-SA"/>
        </w:rPr>
        <w:t>二、主动公开政府信息情况</w:t>
      </w:r>
    </w:p>
    <w:tbl>
      <w:tblPr>
        <w:tblStyle w:val="8"/>
        <w:tblW w:w="0" w:type="auto"/>
        <w:jc w:val="center"/>
        <w:tblLayout w:type="fixed"/>
        <w:tblCellMar>
          <w:top w:w="0" w:type="dxa"/>
          <w:left w:w="0" w:type="dxa"/>
          <w:bottom w:w="0" w:type="dxa"/>
          <w:right w:w="0" w:type="dxa"/>
        </w:tblCellMar>
      </w:tblPr>
      <w:tblGrid>
        <w:gridCol w:w="3073"/>
        <w:gridCol w:w="1919"/>
        <w:gridCol w:w="1830"/>
        <w:gridCol w:w="1886"/>
      </w:tblGrid>
      <w:tr w14:paraId="3AB1E25A">
        <w:tblPrEx>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A67B84">
            <w:pPr>
              <w:widowControl/>
              <w:jc w:val="center"/>
              <w:rPr>
                <w:rFonts w:ascii="宋体" w:hAnsi="宋体" w:cs="宋体"/>
                <w:sz w:val="24"/>
              </w:rPr>
            </w:pPr>
            <w:r>
              <w:rPr>
                <w:rFonts w:hint="eastAsia" w:ascii="宋体" w:hAnsi="宋体" w:cs="宋体"/>
                <w:color w:val="000000"/>
                <w:kern w:val="0"/>
                <w:sz w:val="24"/>
              </w:rPr>
              <w:t>第二十条第（一）项</w:t>
            </w:r>
          </w:p>
        </w:tc>
      </w:tr>
      <w:tr w14:paraId="058368FF">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3B308E7E">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1919" w:type="dxa"/>
            <w:tcBorders>
              <w:top w:val="single" w:color="auto" w:sz="8" w:space="0"/>
              <w:left w:val="nil"/>
              <w:bottom w:val="single" w:color="auto" w:sz="8" w:space="0"/>
              <w:right w:val="single" w:color="auto" w:sz="8" w:space="0"/>
            </w:tcBorders>
            <w:tcMar>
              <w:left w:w="108" w:type="dxa"/>
              <w:right w:w="108" w:type="dxa"/>
            </w:tcMar>
            <w:vAlign w:val="center"/>
          </w:tcPr>
          <w:p w14:paraId="6FE9D45B">
            <w:pPr>
              <w:widowControl/>
              <w:jc w:val="center"/>
              <w:rPr>
                <w:rFonts w:ascii="宋体" w:hAnsi="宋体" w:cs="宋体"/>
                <w:color w:val="000000"/>
                <w:kern w:val="0"/>
                <w:sz w:val="24"/>
              </w:rPr>
            </w:pPr>
            <w:r>
              <w:rPr>
                <w:rFonts w:hint="eastAsia" w:ascii="宋体" w:hAnsi="宋体" w:cs="宋体"/>
                <w:color w:val="000000"/>
                <w:kern w:val="0"/>
                <w:sz w:val="24"/>
              </w:rPr>
              <w:t>本年制发件数</w:t>
            </w:r>
          </w:p>
        </w:tc>
        <w:tc>
          <w:tcPr>
            <w:tcW w:w="1830" w:type="dxa"/>
            <w:tcBorders>
              <w:top w:val="single" w:color="auto" w:sz="8" w:space="0"/>
              <w:left w:val="nil"/>
              <w:bottom w:val="single" w:color="auto" w:sz="8" w:space="0"/>
              <w:right w:val="single" w:color="auto" w:sz="8" w:space="0"/>
            </w:tcBorders>
            <w:tcMar>
              <w:left w:w="108" w:type="dxa"/>
              <w:right w:w="108" w:type="dxa"/>
            </w:tcMar>
            <w:vAlign w:val="center"/>
          </w:tcPr>
          <w:p w14:paraId="5A362F86">
            <w:pPr>
              <w:widowControl/>
              <w:jc w:val="center"/>
              <w:rPr>
                <w:rFonts w:ascii="宋体" w:hAnsi="宋体" w:cs="宋体"/>
                <w:color w:val="000000"/>
                <w:kern w:val="0"/>
                <w:sz w:val="24"/>
              </w:rPr>
            </w:pPr>
            <w:r>
              <w:rPr>
                <w:rFonts w:hint="eastAsia" w:ascii="宋体" w:hAnsi="宋体" w:cs="宋体"/>
                <w:color w:val="000000"/>
                <w:kern w:val="0"/>
                <w:sz w:val="24"/>
              </w:rPr>
              <w:t>本年废止件数</w:t>
            </w:r>
          </w:p>
        </w:tc>
        <w:tc>
          <w:tcPr>
            <w:tcW w:w="1886" w:type="dxa"/>
            <w:tcBorders>
              <w:top w:val="nil"/>
              <w:left w:val="nil"/>
              <w:bottom w:val="single" w:color="auto" w:sz="8" w:space="0"/>
              <w:right w:val="single" w:color="auto" w:sz="8" w:space="0"/>
            </w:tcBorders>
            <w:tcMar>
              <w:left w:w="108" w:type="dxa"/>
              <w:right w:w="108" w:type="dxa"/>
            </w:tcMar>
            <w:vAlign w:val="center"/>
          </w:tcPr>
          <w:p w14:paraId="6DA7FABE">
            <w:pPr>
              <w:widowControl/>
              <w:jc w:val="center"/>
              <w:rPr>
                <w:rFonts w:ascii="宋体" w:hAnsi="宋体" w:cs="宋体"/>
                <w:color w:val="000000"/>
                <w:kern w:val="0"/>
                <w:sz w:val="24"/>
              </w:rPr>
            </w:pPr>
            <w:r>
              <w:rPr>
                <w:rFonts w:hint="eastAsia" w:ascii="宋体" w:hAnsi="宋体" w:cs="宋体"/>
                <w:color w:val="000000"/>
                <w:kern w:val="0"/>
                <w:sz w:val="24"/>
              </w:rPr>
              <w:t>现行有效件数</w:t>
            </w:r>
          </w:p>
        </w:tc>
      </w:tr>
      <w:tr w14:paraId="779EE9AE">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31DF9BF1">
            <w:pPr>
              <w:widowControl/>
              <w:jc w:val="left"/>
              <w:rPr>
                <w:rFonts w:ascii="宋体" w:hAnsi="宋体" w:cs="宋体"/>
                <w:color w:val="000000"/>
                <w:kern w:val="0"/>
                <w:sz w:val="24"/>
              </w:rPr>
            </w:pPr>
            <w:r>
              <w:rPr>
                <w:rFonts w:hint="eastAsia" w:ascii="宋体" w:hAnsi="宋体" w:cs="宋体"/>
                <w:color w:val="000000"/>
                <w:kern w:val="0"/>
                <w:sz w:val="24"/>
              </w:rPr>
              <w:t>规章</w:t>
            </w:r>
          </w:p>
        </w:tc>
        <w:tc>
          <w:tcPr>
            <w:tcW w:w="1919" w:type="dxa"/>
            <w:tcBorders>
              <w:top w:val="nil"/>
              <w:left w:val="nil"/>
              <w:bottom w:val="single" w:color="auto" w:sz="8" w:space="0"/>
              <w:right w:val="single" w:color="auto" w:sz="8" w:space="0"/>
            </w:tcBorders>
            <w:tcMar>
              <w:left w:w="108" w:type="dxa"/>
              <w:right w:w="108" w:type="dxa"/>
            </w:tcMar>
            <w:vAlign w:val="center"/>
          </w:tcPr>
          <w:p w14:paraId="571E2437">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830" w:type="dxa"/>
            <w:tcBorders>
              <w:top w:val="nil"/>
              <w:left w:val="nil"/>
              <w:bottom w:val="single" w:color="auto" w:sz="8" w:space="0"/>
              <w:right w:val="single" w:color="auto" w:sz="8" w:space="0"/>
            </w:tcBorders>
            <w:tcMar>
              <w:left w:w="108" w:type="dxa"/>
              <w:right w:w="108" w:type="dxa"/>
            </w:tcMar>
            <w:vAlign w:val="center"/>
          </w:tcPr>
          <w:p w14:paraId="2A689F6D">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886" w:type="dxa"/>
            <w:tcBorders>
              <w:top w:val="nil"/>
              <w:left w:val="nil"/>
              <w:bottom w:val="single" w:color="auto" w:sz="8" w:space="0"/>
              <w:right w:val="single" w:color="auto" w:sz="8" w:space="0"/>
            </w:tcBorders>
            <w:tcMar>
              <w:left w:w="108" w:type="dxa"/>
              <w:right w:w="108" w:type="dxa"/>
            </w:tcMar>
            <w:vAlign w:val="center"/>
          </w:tcPr>
          <w:p w14:paraId="17007DEE">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0D7307F2">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52B51AAD">
            <w:pPr>
              <w:widowControl/>
              <w:jc w:val="left"/>
              <w:rPr>
                <w:rFonts w:ascii="宋体" w:hAnsi="宋体" w:cs="宋体"/>
                <w:color w:val="000000"/>
                <w:kern w:val="0"/>
                <w:sz w:val="24"/>
              </w:rPr>
            </w:pPr>
            <w:r>
              <w:rPr>
                <w:rFonts w:hint="eastAsia" w:ascii="宋体" w:hAnsi="宋体" w:cs="宋体"/>
                <w:color w:val="000000"/>
                <w:kern w:val="0"/>
                <w:sz w:val="24"/>
              </w:rPr>
              <w:t>行政规范性文件</w:t>
            </w:r>
          </w:p>
        </w:tc>
        <w:tc>
          <w:tcPr>
            <w:tcW w:w="1919" w:type="dxa"/>
            <w:tcBorders>
              <w:top w:val="nil"/>
              <w:left w:val="nil"/>
              <w:bottom w:val="single" w:color="auto" w:sz="8" w:space="0"/>
              <w:right w:val="single" w:color="auto" w:sz="8" w:space="0"/>
            </w:tcBorders>
            <w:tcMar>
              <w:left w:w="108" w:type="dxa"/>
              <w:right w:w="108" w:type="dxa"/>
            </w:tcMar>
            <w:vAlign w:val="center"/>
          </w:tcPr>
          <w:p w14:paraId="00DBA007">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830" w:type="dxa"/>
            <w:tcBorders>
              <w:top w:val="nil"/>
              <w:left w:val="nil"/>
              <w:bottom w:val="single" w:color="auto" w:sz="8" w:space="0"/>
              <w:right w:val="single" w:color="auto" w:sz="8" w:space="0"/>
            </w:tcBorders>
            <w:tcMar>
              <w:left w:w="108" w:type="dxa"/>
              <w:right w:w="108" w:type="dxa"/>
            </w:tcMar>
            <w:vAlign w:val="center"/>
          </w:tcPr>
          <w:p w14:paraId="3BC6D114">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886" w:type="dxa"/>
            <w:tcBorders>
              <w:top w:val="nil"/>
              <w:left w:val="nil"/>
              <w:bottom w:val="single" w:color="auto" w:sz="8" w:space="0"/>
              <w:right w:val="single" w:color="auto" w:sz="8" w:space="0"/>
            </w:tcBorders>
            <w:tcMar>
              <w:left w:w="108" w:type="dxa"/>
              <w:right w:w="108" w:type="dxa"/>
            </w:tcMar>
            <w:vAlign w:val="center"/>
          </w:tcPr>
          <w:p w14:paraId="3101D69F">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7A9900DC">
        <w:tblPrEx>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tcMar>
              <w:left w:w="108" w:type="dxa"/>
              <w:right w:w="108" w:type="dxa"/>
            </w:tcMar>
            <w:vAlign w:val="center"/>
          </w:tcPr>
          <w:p w14:paraId="00DE30EB">
            <w:pPr>
              <w:widowControl/>
              <w:jc w:val="center"/>
              <w:rPr>
                <w:rFonts w:ascii="宋体" w:hAnsi="宋体" w:cs="宋体"/>
                <w:color w:val="000000"/>
                <w:kern w:val="0"/>
                <w:sz w:val="24"/>
              </w:rPr>
            </w:pPr>
            <w:r>
              <w:rPr>
                <w:rFonts w:hint="eastAsia" w:ascii="宋体" w:hAnsi="宋体" w:cs="宋体"/>
                <w:color w:val="000000"/>
                <w:kern w:val="0"/>
                <w:sz w:val="24"/>
              </w:rPr>
              <w:t>第二十条第（五）项</w:t>
            </w:r>
          </w:p>
        </w:tc>
      </w:tr>
      <w:tr w14:paraId="571EDF44">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187D44B0">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019C896F">
            <w:pPr>
              <w:widowControl/>
              <w:jc w:val="center"/>
              <w:rPr>
                <w:rFonts w:ascii="宋体" w:hAnsi="宋体" w:cs="宋体"/>
                <w:color w:val="000000"/>
                <w:kern w:val="0"/>
                <w:sz w:val="24"/>
              </w:rPr>
            </w:pPr>
            <w:r>
              <w:rPr>
                <w:rFonts w:hint="eastAsia" w:ascii="宋体" w:hAnsi="宋体" w:cs="宋体"/>
                <w:color w:val="000000"/>
                <w:kern w:val="0"/>
                <w:sz w:val="24"/>
              </w:rPr>
              <w:t>本年处理决定数量</w:t>
            </w:r>
          </w:p>
        </w:tc>
      </w:tr>
      <w:tr w14:paraId="4633AC4E">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6AA94AD0">
            <w:pPr>
              <w:widowControl/>
              <w:jc w:val="left"/>
              <w:rPr>
                <w:rFonts w:ascii="宋体" w:hAnsi="宋体" w:cs="宋体"/>
                <w:color w:val="000000"/>
                <w:kern w:val="0"/>
                <w:sz w:val="24"/>
              </w:rPr>
            </w:pPr>
            <w:r>
              <w:rPr>
                <w:rFonts w:hint="eastAsia" w:ascii="宋体" w:hAnsi="宋体" w:cs="宋体"/>
                <w:color w:val="000000"/>
                <w:kern w:val="0"/>
                <w:sz w:val="24"/>
              </w:rPr>
              <w:t>行政许可</w:t>
            </w:r>
          </w:p>
        </w:tc>
        <w:tc>
          <w:tcPr>
            <w:tcW w:w="5635" w:type="dxa"/>
            <w:gridSpan w:val="3"/>
            <w:tcBorders>
              <w:top w:val="nil"/>
              <w:left w:val="nil"/>
              <w:bottom w:val="single" w:color="auto" w:sz="8" w:space="0"/>
              <w:right w:val="single" w:color="auto" w:sz="8" w:space="0"/>
            </w:tcBorders>
            <w:tcMar>
              <w:left w:w="108" w:type="dxa"/>
              <w:right w:w="108" w:type="dxa"/>
            </w:tcMar>
            <w:vAlign w:val="center"/>
          </w:tcPr>
          <w:p w14:paraId="7E53B2BE">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2E63EAD9">
        <w:tblPrEx>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tcMar>
              <w:left w:w="108" w:type="dxa"/>
              <w:right w:w="108" w:type="dxa"/>
            </w:tcMar>
            <w:vAlign w:val="center"/>
          </w:tcPr>
          <w:p w14:paraId="101D135A">
            <w:pPr>
              <w:widowControl/>
              <w:jc w:val="center"/>
              <w:rPr>
                <w:rFonts w:ascii="宋体" w:hAnsi="宋体" w:cs="宋体"/>
                <w:color w:val="000000"/>
                <w:kern w:val="0"/>
                <w:sz w:val="24"/>
              </w:rPr>
            </w:pPr>
            <w:r>
              <w:rPr>
                <w:rFonts w:hint="eastAsia" w:ascii="宋体" w:hAnsi="宋体" w:cs="宋体"/>
                <w:color w:val="000000"/>
                <w:kern w:val="0"/>
                <w:sz w:val="24"/>
              </w:rPr>
              <w:t>第二十条第（六）项</w:t>
            </w:r>
          </w:p>
        </w:tc>
      </w:tr>
      <w:tr w14:paraId="0573A91E">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217CC81C">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56CBB506">
            <w:pPr>
              <w:widowControl/>
              <w:jc w:val="center"/>
              <w:rPr>
                <w:rFonts w:ascii="宋体" w:hAnsi="宋体" w:cs="宋体"/>
                <w:color w:val="000000"/>
                <w:kern w:val="0"/>
                <w:sz w:val="24"/>
              </w:rPr>
            </w:pPr>
            <w:r>
              <w:rPr>
                <w:rFonts w:hint="eastAsia" w:ascii="宋体" w:hAnsi="宋体" w:cs="宋体"/>
                <w:color w:val="000000"/>
                <w:kern w:val="0"/>
                <w:sz w:val="24"/>
              </w:rPr>
              <w:t>本年处理决定数量</w:t>
            </w:r>
          </w:p>
        </w:tc>
      </w:tr>
      <w:tr w14:paraId="7EFD6D2A">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76C84F6E">
            <w:pPr>
              <w:widowControl/>
              <w:jc w:val="left"/>
              <w:rPr>
                <w:rFonts w:ascii="宋体" w:hAnsi="宋体" w:cs="宋体"/>
                <w:color w:val="000000"/>
                <w:kern w:val="0"/>
                <w:sz w:val="24"/>
              </w:rPr>
            </w:pPr>
            <w:r>
              <w:rPr>
                <w:rFonts w:hint="eastAsia" w:ascii="宋体" w:hAnsi="宋体" w:cs="宋体"/>
                <w:color w:val="000000"/>
                <w:kern w:val="0"/>
                <w:sz w:val="24"/>
              </w:rPr>
              <w:t>行政处罚</w:t>
            </w:r>
          </w:p>
        </w:tc>
        <w:tc>
          <w:tcPr>
            <w:tcW w:w="5635" w:type="dxa"/>
            <w:gridSpan w:val="3"/>
            <w:tcBorders>
              <w:top w:val="nil"/>
              <w:left w:val="nil"/>
              <w:bottom w:val="single" w:color="auto" w:sz="8" w:space="0"/>
              <w:right w:val="single" w:color="auto" w:sz="8" w:space="0"/>
            </w:tcBorders>
            <w:tcMar>
              <w:left w:w="108" w:type="dxa"/>
              <w:right w:w="108" w:type="dxa"/>
            </w:tcMar>
            <w:vAlign w:val="center"/>
          </w:tcPr>
          <w:p w14:paraId="03D93C14">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336</w:t>
            </w:r>
          </w:p>
        </w:tc>
      </w:tr>
      <w:tr w14:paraId="7F2ED436">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0E0E61AD">
            <w:pPr>
              <w:widowControl/>
              <w:jc w:val="left"/>
              <w:rPr>
                <w:rFonts w:ascii="宋体" w:hAnsi="宋体" w:cs="宋体"/>
                <w:color w:val="000000"/>
                <w:kern w:val="0"/>
                <w:sz w:val="24"/>
              </w:rPr>
            </w:pPr>
            <w:r>
              <w:rPr>
                <w:rFonts w:hint="eastAsia" w:ascii="宋体" w:hAnsi="宋体" w:cs="宋体"/>
                <w:color w:val="000000"/>
                <w:kern w:val="0"/>
                <w:sz w:val="24"/>
              </w:rPr>
              <w:t>行政强制</w:t>
            </w:r>
          </w:p>
        </w:tc>
        <w:tc>
          <w:tcPr>
            <w:tcW w:w="5635" w:type="dxa"/>
            <w:gridSpan w:val="3"/>
            <w:tcBorders>
              <w:top w:val="nil"/>
              <w:left w:val="nil"/>
              <w:bottom w:val="single" w:color="auto" w:sz="8" w:space="0"/>
              <w:right w:val="single" w:color="auto" w:sz="8" w:space="0"/>
            </w:tcBorders>
            <w:tcMar>
              <w:left w:w="108" w:type="dxa"/>
              <w:right w:w="108" w:type="dxa"/>
            </w:tcMar>
            <w:vAlign w:val="center"/>
          </w:tcPr>
          <w:p w14:paraId="21E3AE1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r>
      <w:tr w14:paraId="7D7219EA">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tcMar>
              <w:left w:w="108" w:type="dxa"/>
              <w:right w:w="108" w:type="dxa"/>
            </w:tcMar>
            <w:vAlign w:val="center"/>
          </w:tcPr>
          <w:p w14:paraId="329D0B78">
            <w:pPr>
              <w:widowControl/>
              <w:jc w:val="center"/>
              <w:rPr>
                <w:rFonts w:ascii="宋体" w:hAnsi="宋体" w:cs="宋体"/>
                <w:color w:val="000000"/>
                <w:kern w:val="0"/>
                <w:sz w:val="24"/>
              </w:rPr>
            </w:pPr>
            <w:r>
              <w:rPr>
                <w:rFonts w:hint="eastAsia" w:ascii="宋体" w:hAnsi="宋体" w:cs="宋体"/>
                <w:color w:val="000000"/>
                <w:kern w:val="0"/>
                <w:sz w:val="24"/>
              </w:rPr>
              <w:t>第二十条第（八）项</w:t>
            </w:r>
          </w:p>
        </w:tc>
      </w:tr>
      <w:tr w14:paraId="6E37D6DE">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7D6B26E2">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nil"/>
              <w:left w:val="nil"/>
              <w:bottom w:val="single" w:color="auto" w:sz="8" w:space="0"/>
              <w:right w:val="single" w:color="000000" w:sz="8" w:space="0"/>
            </w:tcBorders>
            <w:tcMar>
              <w:left w:w="108" w:type="dxa"/>
              <w:right w:w="108" w:type="dxa"/>
            </w:tcMar>
            <w:vAlign w:val="center"/>
          </w:tcPr>
          <w:p w14:paraId="65E856D6">
            <w:pPr>
              <w:widowControl/>
              <w:jc w:val="center"/>
              <w:rPr>
                <w:rFonts w:ascii="宋体" w:hAnsi="宋体" w:cs="宋体"/>
                <w:color w:val="000000"/>
                <w:kern w:val="0"/>
                <w:sz w:val="24"/>
              </w:rPr>
            </w:pPr>
            <w:r>
              <w:rPr>
                <w:rFonts w:hint="eastAsia" w:ascii="宋体" w:hAnsi="宋体" w:cs="宋体"/>
                <w:color w:val="000000"/>
                <w:kern w:val="0"/>
                <w:sz w:val="24"/>
              </w:rPr>
              <w:t>本年收费金额（单位：万元）</w:t>
            </w:r>
          </w:p>
        </w:tc>
      </w:tr>
      <w:tr w14:paraId="1E9D3389">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tcMar>
              <w:left w:w="108" w:type="dxa"/>
              <w:right w:w="108" w:type="dxa"/>
            </w:tcMar>
            <w:vAlign w:val="center"/>
          </w:tcPr>
          <w:p w14:paraId="6A251050">
            <w:pPr>
              <w:widowControl/>
              <w:jc w:val="left"/>
              <w:rPr>
                <w:rFonts w:ascii="宋体" w:hAnsi="宋体" w:cs="宋体"/>
                <w:color w:val="000000"/>
                <w:kern w:val="0"/>
                <w:sz w:val="24"/>
              </w:rPr>
            </w:pPr>
            <w:r>
              <w:rPr>
                <w:rFonts w:hint="eastAsia" w:ascii="宋体" w:hAnsi="宋体" w:cs="宋体"/>
                <w:color w:val="000000"/>
                <w:kern w:val="0"/>
                <w:sz w:val="24"/>
              </w:rPr>
              <w:t>行政事业性收费</w:t>
            </w:r>
          </w:p>
        </w:tc>
        <w:tc>
          <w:tcPr>
            <w:tcW w:w="5635" w:type="dxa"/>
            <w:gridSpan w:val="3"/>
            <w:tcBorders>
              <w:top w:val="nil"/>
              <w:left w:val="nil"/>
              <w:bottom w:val="single" w:color="auto" w:sz="8" w:space="0"/>
              <w:right w:val="single" w:color="000000" w:sz="8" w:space="0"/>
            </w:tcBorders>
            <w:tcMar>
              <w:left w:w="108" w:type="dxa"/>
              <w:right w:w="108" w:type="dxa"/>
            </w:tcMar>
            <w:vAlign w:val="center"/>
          </w:tcPr>
          <w:p w14:paraId="26CD1B5D">
            <w:pPr>
              <w:widowControl/>
              <w:jc w:val="center"/>
              <w:rPr>
                <w:rFonts w:ascii="宋体" w:hAnsi="宋体" w:cs="宋体"/>
                <w:color w:val="000000"/>
                <w:kern w:val="0"/>
                <w:sz w:val="24"/>
              </w:rPr>
            </w:pPr>
            <w:r>
              <w:rPr>
                <w:rFonts w:hint="eastAsia" w:ascii="宋体" w:hAnsi="宋体" w:cs="宋体"/>
                <w:color w:val="000000"/>
                <w:kern w:val="0"/>
                <w:sz w:val="24"/>
              </w:rPr>
              <w:t>0</w:t>
            </w:r>
          </w:p>
        </w:tc>
      </w:tr>
    </w:tbl>
    <w:p w14:paraId="242DAFE0">
      <w:pPr>
        <w:pStyle w:val="22"/>
        <w:spacing w:line="578" w:lineRule="exact"/>
        <w:ind w:firstLine="640" w:firstLineChars="200"/>
        <w:rPr>
          <w:rFonts w:ascii="仿宋_GB2312" w:hAnsi="ˎ̥" w:eastAsia="仿宋_GB2312"/>
          <w:kern w:val="0"/>
          <w:sz w:val="32"/>
          <w:szCs w:val="32"/>
          <w:lang w:val="en-US" w:eastAsia="zh-CN" w:bidi="ar-SA"/>
        </w:rPr>
      </w:pPr>
      <w:r>
        <w:rPr>
          <w:rFonts w:hint="eastAsia" w:ascii="黑体" w:hAnsi="黑体" w:eastAsia="黑体" w:cs="黑体"/>
          <w:kern w:val="0"/>
          <w:sz w:val="32"/>
          <w:szCs w:val="32"/>
          <w:lang w:val="en-US" w:eastAsia="zh-CN" w:bidi="ar-SA"/>
        </w:rPr>
        <w:t>三、收到和处理政府信息公开申请情况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14:paraId="38378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2BBBA56">
            <w:pPr>
              <w:widowControl/>
              <w:jc w:val="center"/>
              <w:rPr>
                <w:rFonts w:ascii="宋体" w:hAnsi="宋体" w:cs="宋体"/>
                <w:kern w:val="0"/>
                <w:sz w:val="20"/>
                <w:szCs w:val="20"/>
              </w:rPr>
            </w:pPr>
            <w:r>
              <w:rPr>
                <w:rFonts w:hint="eastAsia" w:ascii="宋体" w:hAnsi="宋体" w:cs="宋体"/>
                <w:kern w:val="0"/>
                <w:sz w:val="20"/>
                <w:szCs w:val="20"/>
              </w:rPr>
              <w:t>（本列数据的勾稽关系为：第一项加第二项之和，</w:t>
            </w:r>
          </w:p>
          <w:p w14:paraId="3E16A0B1">
            <w:pPr>
              <w:widowControl/>
              <w:jc w:val="center"/>
            </w:pPr>
            <w:r>
              <w:rPr>
                <w:rFonts w:hint="eastAsia" w:ascii="宋体" w:hAnsi="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tcMar>
              <w:left w:w="108" w:type="dxa"/>
              <w:right w:w="108" w:type="dxa"/>
            </w:tcMar>
            <w:vAlign w:val="center"/>
          </w:tcPr>
          <w:p w14:paraId="3F4EB1BD">
            <w:pPr>
              <w:widowControl/>
              <w:spacing w:line="320" w:lineRule="exact"/>
              <w:jc w:val="center"/>
            </w:pPr>
            <w:r>
              <w:rPr>
                <w:rFonts w:hint="eastAsia" w:ascii="宋体" w:hAnsi="宋体" w:cs="宋体"/>
                <w:kern w:val="0"/>
                <w:sz w:val="20"/>
                <w:szCs w:val="20"/>
              </w:rPr>
              <w:t>申请人情况</w:t>
            </w:r>
          </w:p>
        </w:tc>
      </w:tr>
      <w:tr w14:paraId="387E2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03789E">
            <w:pPr>
              <w:jc w:val="center"/>
              <w:rPr>
                <w:rFonts w:ascii="宋体"/>
                <w:sz w:val="24"/>
              </w:rPr>
            </w:pPr>
          </w:p>
        </w:tc>
        <w:tc>
          <w:tcPr>
            <w:tcW w:w="850" w:type="dxa"/>
            <w:vMerge w:val="restart"/>
            <w:tcBorders>
              <w:top w:val="nil"/>
              <w:left w:val="nil"/>
              <w:bottom w:val="single" w:color="auto" w:sz="8" w:space="0"/>
              <w:right w:val="single" w:color="auto" w:sz="8" w:space="0"/>
            </w:tcBorders>
            <w:tcMar>
              <w:left w:w="108" w:type="dxa"/>
              <w:right w:w="108" w:type="dxa"/>
            </w:tcMar>
            <w:vAlign w:val="center"/>
          </w:tcPr>
          <w:p w14:paraId="6BBE5819">
            <w:pPr>
              <w:widowControl/>
              <w:jc w:val="center"/>
            </w:pPr>
            <w:r>
              <w:rPr>
                <w:rFonts w:hint="eastAsia" w:ascii="宋体" w:hAnsi="宋体" w:cs="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4F3DA7CF">
            <w:pPr>
              <w:widowControl/>
              <w:spacing w:line="320" w:lineRule="exact"/>
              <w:jc w:val="center"/>
            </w:pPr>
            <w:r>
              <w:rPr>
                <w:rFonts w:hint="eastAsia" w:ascii="宋体" w:hAnsi="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7A12A21">
            <w:pPr>
              <w:widowControl/>
              <w:jc w:val="center"/>
            </w:pPr>
            <w:r>
              <w:rPr>
                <w:rFonts w:hint="eastAsia" w:ascii="宋体" w:hAnsi="宋体" w:cs="宋体"/>
                <w:kern w:val="0"/>
                <w:sz w:val="20"/>
                <w:szCs w:val="20"/>
              </w:rPr>
              <w:t>总计</w:t>
            </w:r>
          </w:p>
        </w:tc>
      </w:tr>
      <w:tr w14:paraId="0576B4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23873A">
            <w:pPr>
              <w:jc w:val="center"/>
              <w:rPr>
                <w:rFonts w:ascii="宋体"/>
                <w:sz w:val="24"/>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14:paraId="5038B3A8">
            <w:pPr>
              <w:jc w:val="center"/>
              <w:rPr>
                <w:rFonts w:ascii="宋体"/>
                <w:sz w:val="24"/>
              </w:rPr>
            </w:pPr>
          </w:p>
        </w:tc>
        <w:tc>
          <w:tcPr>
            <w:tcW w:w="567" w:type="dxa"/>
            <w:tcBorders>
              <w:top w:val="nil"/>
              <w:left w:val="nil"/>
              <w:bottom w:val="single" w:color="auto" w:sz="8" w:space="0"/>
              <w:right w:val="single" w:color="auto" w:sz="8" w:space="0"/>
            </w:tcBorders>
            <w:tcMar>
              <w:left w:w="108" w:type="dxa"/>
              <w:right w:w="108" w:type="dxa"/>
            </w:tcMar>
            <w:vAlign w:val="center"/>
          </w:tcPr>
          <w:p w14:paraId="3DDE280C">
            <w:pPr>
              <w:widowControl/>
              <w:spacing w:line="320" w:lineRule="exact"/>
              <w:ind w:left="-106" w:leftChars="-51" w:right="-107" w:rightChars="-51" w:hanging="1"/>
              <w:jc w:val="center"/>
            </w:pPr>
            <w:r>
              <w:rPr>
                <w:rFonts w:hint="eastAsia" w:ascii="宋体" w:hAnsi="宋体" w:cs="宋体"/>
                <w:kern w:val="0"/>
                <w:sz w:val="20"/>
                <w:szCs w:val="20"/>
              </w:rPr>
              <w:t>商业企业</w:t>
            </w:r>
          </w:p>
        </w:tc>
        <w:tc>
          <w:tcPr>
            <w:tcW w:w="567" w:type="dxa"/>
            <w:tcBorders>
              <w:top w:val="nil"/>
              <w:left w:val="nil"/>
              <w:bottom w:val="single" w:color="auto" w:sz="8" w:space="0"/>
              <w:right w:val="single" w:color="auto" w:sz="8" w:space="0"/>
            </w:tcBorders>
            <w:tcMar>
              <w:left w:w="108" w:type="dxa"/>
              <w:right w:w="108" w:type="dxa"/>
            </w:tcMar>
            <w:vAlign w:val="center"/>
          </w:tcPr>
          <w:p w14:paraId="488F5414">
            <w:pPr>
              <w:widowControl/>
              <w:spacing w:line="320" w:lineRule="exact"/>
              <w:ind w:left="-107" w:leftChars="-51" w:right="-107" w:rightChars="-51"/>
              <w:jc w:val="center"/>
            </w:pPr>
            <w:r>
              <w:rPr>
                <w:rFonts w:hint="eastAsia" w:ascii="宋体" w:hAnsi="宋体" w:cs="宋体"/>
                <w:kern w:val="0"/>
                <w:sz w:val="20"/>
                <w:szCs w:val="20"/>
              </w:rPr>
              <w:t>科研机构</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713B049F">
            <w:pPr>
              <w:widowControl/>
              <w:spacing w:line="320" w:lineRule="exact"/>
              <w:ind w:left="-107" w:leftChars="-51" w:right="-107" w:rightChars="-51"/>
              <w:jc w:val="center"/>
            </w:pPr>
            <w:r>
              <w:rPr>
                <w:rFonts w:hint="eastAsia" w:ascii="宋体" w:hAnsi="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5818EF7B">
            <w:pPr>
              <w:widowControl/>
              <w:spacing w:line="320" w:lineRule="exact"/>
              <w:ind w:left="-106" w:leftChars="-51" w:right="-107" w:rightChars="-51" w:hanging="1"/>
              <w:jc w:val="center"/>
            </w:pPr>
            <w:r>
              <w:rPr>
                <w:rFonts w:hint="eastAsia" w:ascii="宋体" w:hAnsi="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tcMar>
              <w:left w:w="108" w:type="dxa"/>
              <w:right w:w="108" w:type="dxa"/>
            </w:tcMar>
            <w:vAlign w:val="center"/>
          </w:tcPr>
          <w:p w14:paraId="381B6A30">
            <w:pPr>
              <w:widowControl/>
              <w:spacing w:line="360" w:lineRule="exact"/>
              <w:ind w:left="-63" w:leftChars="-30" w:right="-134" w:rightChars="-64"/>
              <w:jc w:val="center"/>
            </w:pPr>
            <w:r>
              <w:rPr>
                <w:rFonts w:hint="eastAsia" w:ascii="宋体" w:hAnsi="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0D56B4C3">
            <w:pPr>
              <w:jc w:val="center"/>
              <w:rPr>
                <w:rFonts w:ascii="宋体"/>
                <w:sz w:val="24"/>
              </w:rPr>
            </w:pPr>
          </w:p>
        </w:tc>
      </w:tr>
      <w:tr w14:paraId="1F8BA1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4" w:hRule="atLeast"/>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1FA7E73F">
            <w:pPr>
              <w:widowControl/>
            </w:pPr>
            <w:r>
              <w:rPr>
                <w:rFonts w:hint="eastAsia" w:ascii="宋体" w:hAnsi="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14:paraId="6F1C8713">
            <w:pPr>
              <w:widowControl/>
              <w:jc w:val="center"/>
              <w:rPr>
                <w:rFonts w:hint="eastAsia" w:eastAsia="宋体"/>
                <w:lang w:eastAsia="zh-CN"/>
              </w:rPr>
            </w:pPr>
            <w:r>
              <w:rPr>
                <w:rFonts w:hint="eastAsia"/>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14:paraId="6368A667">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20ADFC2">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C71E13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7D38DA6">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44A432A5">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58D6072F">
            <w:pPr>
              <w:widowControl/>
              <w:jc w:val="center"/>
              <w:rPr>
                <w:rFonts w:hint="eastAsia" w:eastAsia="宋体"/>
                <w:lang w:eastAsia="zh-CN"/>
              </w:rPr>
            </w:pPr>
            <w:r>
              <w:rPr>
                <w:rFonts w:hint="eastAsia"/>
                <w:lang w:val="en-US" w:eastAsia="zh-CN"/>
              </w:rPr>
              <w:t>1</w:t>
            </w:r>
          </w:p>
        </w:tc>
      </w:tr>
      <w:tr w14:paraId="641998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019E2194">
            <w:pPr>
              <w:widowControl/>
            </w:pPr>
            <w:r>
              <w:rPr>
                <w:rFonts w:hint="eastAsia" w:ascii="宋体" w:hAnsi="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14:paraId="617B4FFE">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BA225D6">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7A27893">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1AA03A4">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25AE7A5">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36D1AE52">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295710EC">
            <w:pPr>
              <w:widowControl/>
              <w:jc w:val="center"/>
            </w:pPr>
            <w:r>
              <w:rPr>
                <w:rFonts w:hint="eastAsia"/>
              </w:rPr>
              <w:t>0</w:t>
            </w:r>
          </w:p>
        </w:tc>
      </w:tr>
      <w:tr w14:paraId="4105D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A6856C9">
            <w:pPr>
              <w:widowControl/>
              <w:spacing w:after="180"/>
            </w:pPr>
            <w:r>
              <w:rPr>
                <w:rFonts w:hint="eastAsia" w:ascii="宋体" w:hAnsi="宋体" w:cs="宋体"/>
                <w:kern w:val="0"/>
                <w:sz w:val="20"/>
                <w:szCs w:val="20"/>
              </w:rPr>
              <w:t>三、本年度办理结果</w:t>
            </w:r>
          </w:p>
        </w:tc>
        <w:tc>
          <w:tcPr>
            <w:tcW w:w="4253" w:type="dxa"/>
            <w:gridSpan w:val="2"/>
            <w:tcBorders>
              <w:top w:val="nil"/>
              <w:left w:val="nil"/>
              <w:bottom w:val="single" w:color="auto" w:sz="8" w:space="0"/>
              <w:right w:val="single" w:color="auto" w:sz="8" w:space="0"/>
            </w:tcBorders>
            <w:tcMar>
              <w:left w:w="108" w:type="dxa"/>
              <w:right w:w="108" w:type="dxa"/>
            </w:tcMar>
            <w:vAlign w:val="center"/>
          </w:tcPr>
          <w:p w14:paraId="423CF3A0">
            <w:pPr>
              <w:widowControl/>
            </w:pPr>
            <w:r>
              <w:rPr>
                <w:rFonts w:ascii="楷体" w:hAnsi="楷体" w:eastAsia="楷体" w:cs="楷体"/>
                <w:kern w:val="0"/>
                <w:sz w:val="20"/>
                <w:szCs w:val="20"/>
              </w:rPr>
              <w:t>（一）予以公开</w:t>
            </w:r>
          </w:p>
        </w:tc>
        <w:tc>
          <w:tcPr>
            <w:tcW w:w="850" w:type="dxa"/>
            <w:tcBorders>
              <w:top w:val="nil"/>
              <w:left w:val="nil"/>
              <w:bottom w:val="single" w:color="auto" w:sz="8" w:space="0"/>
              <w:right w:val="single" w:color="auto" w:sz="8" w:space="0"/>
            </w:tcBorders>
            <w:tcMar>
              <w:left w:w="108" w:type="dxa"/>
              <w:right w:w="108" w:type="dxa"/>
            </w:tcMar>
            <w:vAlign w:val="center"/>
          </w:tcPr>
          <w:p w14:paraId="7B85DC9A">
            <w:pPr>
              <w:widowControl/>
              <w:jc w:val="center"/>
              <w:rPr>
                <w:rFonts w:hint="eastAsia" w:eastAsia="宋体"/>
                <w:lang w:eastAsia="zh-CN"/>
              </w:rPr>
            </w:pPr>
            <w:r>
              <w:rPr>
                <w:rFonts w:hint="eastAsia"/>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14:paraId="5C64BA06">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503380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4E1DD4B">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11E74AC">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1909F5FA">
            <w:pPr>
              <w:widowControl/>
              <w:jc w:val="center"/>
            </w:pPr>
            <w:r>
              <w:rPr>
                <w:rFonts w:hint="eastAsia"/>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14:paraId="415C8575">
            <w:pPr>
              <w:widowControl/>
              <w:jc w:val="center"/>
              <w:rPr>
                <w:rFonts w:hint="eastAsia" w:eastAsia="宋体"/>
                <w:lang w:eastAsia="zh-CN"/>
              </w:rPr>
            </w:pPr>
            <w:r>
              <w:rPr>
                <w:rFonts w:hint="eastAsia"/>
                <w:lang w:val="en-US" w:eastAsia="zh-CN"/>
              </w:rPr>
              <w:t>1</w:t>
            </w:r>
          </w:p>
        </w:tc>
      </w:tr>
      <w:tr w14:paraId="2B826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F67E436">
            <w:pPr>
              <w:rPr>
                <w:rFonts w:ascii="宋体"/>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14:paraId="21896796">
            <w:pPr>
              <w:widowControl/>
            </w:pPr>
            <w:r>
              <w:rPr>
                <w:rFonts w:hint="eastAsia" w:ascii="楷体" w:hAnsi="楷体" w:eastAsia="楷体" w:cs="楷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tcMar>
              <w:left w:w="108" w:type="dxa"/>
              <w:right w:w="108" w:type="dxa"/>
            </w:tcMar>
            <w:vAlign w:val="center"/>
          </w:tcPr>
          <w:p w14:paraId="7684E233">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E16154B">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446451D">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CE07BD4">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B1C3871">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1AAF5F1C">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3C1D4230">
            <w:pPr>
              <w:widowControl/>
              <w:jc w:val="center"/>
            </w:pPr>
            <w:r>
              <w:rPr>
                <w:rFonts w:hint="eastAsia"/>
              </w:rPr>
              <w:t>0</w:t>
            </w:r>
          </w:p>
        </w:tc>
      </w:tr>
      <w:tr w14:paraId="58FF4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95D83FB">
            <w:pPr>
              <w:rPr>
                <w:rFonts w:ascii="宋体"/>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14:paraId="48043B83">
            <w:pPr>
              <w:widowControl/>
              <w:spacing w:line="200" w:lineRule="exact"/>
              <w:ind w:left="-107" w:leftChars="-51"/>
            </w:pPr>
            <w:r>
              <w:rPr>
                <w:rFonts w:hint="eastAsia" w:ascii="楷体" w:hAnsi="楷体" w:eastAsia="楷体" w:cs="楷体"/>
                <w:kern w:val="0"/>
                <w:sz w:val="20"/>
                <w:szCs w:val="20"/>
              </w:rPr>
              <w:t>（三）不予公开</w:t>
            </w:r>
          </w:p>
        </w:tc>
        <w:tc>
          <w:tcPr>
            <w:tcW w:w="2835" w:type="dxa"/>
            <w:tcBorders>
              <w:top w:val="nil"/>
              <w:left w:val="nil"/>
              <w:bottom w:val="single" w:color="auto" w:sz="8" w:space="0"/>
              <w:right w:val="single" w:color="auto" w:sz="8" w:space="0"/>
            </w:tcBorders>
            <w:tcMar>
              <w:left w:w="108" w:type="dxa"/>
              <w:right w:w="108" w:type="dxa"/>
            </w:tcMar>
            <w:vAlign w:val="center"/>
          </w:tcPr>
          <w:p w14:paraId="144C2F83">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1.属于国家秘密</w:t>
            </w:r>
          </w:p>
        </w:tc>
        <w:tc>
          <w:tcPr>
            <w:tcW w:w="850" w:type="dxa"/>
            <w:tcBorders>
              <w:top w:val="nil"/>
              <w:left w:val="nil"/>
              <w:bottom w:val="single" w:color="auto" w:sz="8" w:space="0"/>
              <w:right w:val="single" w:color="auto" w:sz="8" w:space="0"/>
            </w:tcBorders>
            <w:tcMar>
              <w:left w:w="108" w:type="dxa"/>
              <w:right w:w="108" w:type="dxa"/>
            </w:tcMar>
            <w:vAlign w:val="center"/>
          </w:tcPr>
          <w:p w14:paraId="39E83476">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3815D16">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7B45B2F">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E9A8122">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798B997">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52A77637">
            <w:pPr>
              <w:widowControl/>
              <w:jc w:val="center"/>
            </w:pPr>
            <w:r>
              <w:rPr>
                <w:rFonts w:hint="eastAsia"/>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14:paraId="0AF69E4D">
            <w:pPr>
              <w:widowControl/>
              <w:jc w:val="center"/>
            </w:pPr>
            <w:r>
              <w:rPr>
                <w:rFonts w:hint="eastAsia"/>
              </w:rPr>
              <w:t>0</w:t>
            </w:r>
          </w:p>
        </w:tc>
      </w:tr>
      <w:tr w14:paraId="1B81FD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2623CCC">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524E0DE5">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209F4188">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2.其他法律行政法规禁止公开</w:t>
            </w:r>
          </w:p>
        </w:tc>
        <w:tc>
          <w:tcPr>
            <w:tcW w:w="850" w:type="dxa"/>
            <w:tcBorders>
              <w:top w:val="nil"/>
              <w:left w:val="nil"/>
              <w:bottom w:val="single" w:color="auto" w:sz="8" w:space="0"/>
              <w:right w:val="single" w:color="auto" w:sz="8" w:space="0"/>
            </w:tcBorders>
            <w:tcMar>
              <w:left w:w="108" w:type="dxa"/>
              <w:right w:w="108" w:type="dxa"/>
            </w:tcMar>
            <w:vAlign w:val="center"/>
          </w:tcPr>
          <w:p w14:paraId="53A4165E">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B531F3F">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945AF3C">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31F37A3">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E6917D1">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58EA1D5D">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3A54B546">
            <w:pPr>
              <w:widowControl/>
              <w:jc w:val="center"/>
            </w:pPr>
            <w:r>
              <w:rPr>
                <w:rFonts w:hint="eastAsia"/>
              </w:rPr>
              <w:t>0</w:t>
            </w:r>
          </w:p>
        </w:tc>
      </w:tr>
      <w:tr w14:paraId="1AF37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1D259DF">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7EF6053D">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3D40CC5D">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3.危及“三安全一稳定”</w:t>
            </w:r>
          </w:p>
        </w:tc>
        <w:tc>
          <w:tcPr>
            <w:tcW w:w="850" w:type="dxa"/>
            <w:tcBorders>
              <w:top w:val="nil"/>
              <w:left w:val="nil"/>
              <w:bottom w:val="single" w:color="auto" w:sz="8" w:space="0"/>
              <w:right w:val="single" w:color="auto" w:sz="8" w:space="0"/>
            </w:tcBorders>
            <w:tcMar>
              <w:left w:w="108" w:type="dxa"/>
              <w:right w:w="108" w:type="dxa"/>
            </w:tcMar>
            <w:vAlign w:val="center"/>
          </w:tcPr>
          <w:p w14:paraId="6975CCFD">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4AE17EE">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EBCE07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A368D6">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E04A50E">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4C207C04">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4534896B">
            <w:pPr>
              <w:widowControl/>
              <w:jc w:val="center"/>
            </w:pPr>
            <w:r>
              <w:rPr>
                <w:rFonts w:hint="eastAsia"/>
              </w:rPr>
              <w:t>0</w:t>
            </w:r>
          </w:p>
        </w:tc>
      </w:tr>
      <w:tr w14:paraId="181D2A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840272F">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2BDF2A71">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02D43722">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4.保护第三方合法权益</w:t>
            </w:r>
          </w:p>
        </w:tc>
        <w:tc>
          <w:tcPr>
            <w:tcW w:w="850" w:type="dxa"/>
            <w:tcBorders>
              <w:top w:val="nil"/>
              <w:left w:val="nil"/>
              <w:bottom w:val="single" w:color="auto" w:sz="8" w:space="0"/>
              <w:right w:val="single" w:color="auto" w:sz="8" w:space="0"/>
            </w:tcBorders>
            <w:tcMar>
              <w:left w:w="108" w:type="dxa"/>
              <w:right w:w="108" w:type="dxa"/>
            </w:tcMar>
            <w:vAlign w:val="center"/>
          </w:tcPr>
          <w:p w14:paraId="179AD004">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45C4325">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A4C1130">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AA88AA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C65CEF6">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2C6440B7">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17DFC0A8">
            <w:pPr>
              <w:widowControl/>
              <w:jc w:val="center"/>
            </w:pPr>
            <w:r>
              <w:rPr>
                <w:rFonts w:hint="eastAsia"/>
              </w:rPr>
              <w:t>0</w:t>
            </w:r>
          </w:p>
        </w:tc>
      </w:tr>
      <w:tr w14:paraId="7FA42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2C2367C">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392AC153">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7C5C06DC">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5.属于三类内部事务信息</w:t>
            </w:r>
          </w:p>
        </w:tc>
        <w:tc>
          <w:tcPr>
            <w:tcW w:w="850" w:type="dxa"/>
            <w:tcBorders>
              <w:top w:val="nil"/>
              <w:left w:val="nil"/>
              <w:bottom w:val="single" w:color="auto" w:sz="8" w:space="0"/>
              <w:right w:val="single" w:color="auto" w:sz="8" w:space="0"/>
            </w:tcBorders>
            <w:tcMar>
              <w:left w:w="108" w:type="dxa"/>
              <w:right w:w="108" w:type="dxa"/>
            </w:tcMar>
            <w:vAlign w:val="center"/>
          </w:tcPr>
          <w:p w14:paraId="7437E37D">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174CDE1">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6E5767F">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2AFEA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F1EADFC">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17F2CD13">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19C25804">
            <w:pPr>
              <w:widowControl/>
              <w:jc w:val="center"/>
            </w:pPr>
            <w:r>
              <w:rPr>
                <w:rFonts w:hint="eastAsia"/>
              </w:rPr>
              <w:t>0</w:t>
            </w:r>
          </w:p>
        </w:tc>
      </w:tr>
      <w:tr w14:paraId="0E614A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882E188">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42C589C5">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7B241B09">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6.属于四类过程性信息</w:t>
            </w:r>
          </w:p>
        </w:tc>
        <w:tc>
          <w:tcPr>
            <w:tcW w:w="850" w:type="dxa"/>
            <w:tcBorders>
              <w:top w:val="nil"/>
              <w:left w:val="nil"/>
              <w:bottom w:val="single" w:color="auto" w:sz="8" w:space="0"/>
              <w:right w:val="single" w:color="auto" w:sz="8" w:space="0"/>
            </w:tcBorders>
            <w:tcMar>
              <w:left w:w="108" w:type="dxa"/>
              <w:right w:w="108" w:type="dxa"/>
            </w:tcMar>
            <w:vAlign w:val="center"/>
          </w:tcPr>
          <w:p w14:paraId="31086791">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F16F769">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CAEB866">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D1BB57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00A535E">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5F69298F">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312475DC">
            <w:pPr>
              <w:widowControl/>
              <w:jc w:val="center"/>
            </w:pPr>
            <w:r>
              <w:rPr>
                <w:rFonts w:hint="eastAsia"/>
              </w:rPr>
              <w:t>0</w:t>
            </w:r>
          </w:p>
        </w:tc>
      </w:tr>
      <w:tr w14:paraId="16D1C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EB09EBE">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034E4BE0">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2B5A945A">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7.属于行政执法案卷</w:t>
            </w:r>
          </w:p>
        </w:tc>
        <w:tc>
          <w:tcPr>
            <w:tcW w:w="850" w:type="dxa"/>
            <w:tcBorders>
              <w:top w:val="nil"/>
              <w:left w:val="nil"/>
              <w:bottom w:val="single" w:color="auto" w:sz="8" w:space="0"/>
              <w:right w:val="single" w:color="auto" w:sz="8" w:space="0"/>
            </w:tcBorders>
            <w:tcMar>
              <w:left w:w="108" w:type="dxa"/>
              <w:right w:w="108" w:type="dxa"/>
            </w:tcMar>
            <w:vAlign w:val="center"/>
          </w:tcPr>
          <w:p w14:paraId="2C75C7A7">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3A0C346">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909A734">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24D1F9A">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06778FD">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49A3E06C">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029FB144">
            <w:pPr>
              <w:widowControl/>
              <w:jc w:val="center"/>
            </w:pPr>
            <w:r>
              <w:rPr>
                <w:rFonts w:hint="eastAsia"/>
              </w:rPr>
              <w:t>0</w:t>
            </w:r>
          </w:p>
        </w:tc>
      </w:tr>
      <w:tr w14:paraId="5A7CA5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DB52E6E">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6BB51637">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4FB489B5">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8.属于行政查询事项</w:t>
            </w:r>
          </w:p>
        </w:tc>
        <w:tc>
          <w:tcPr>
            <w:tcW w:w="850" w:type="dxa"/>
            <w:tcBorders>
              <w:top w:val="nil"/>
              <w:left w:val="nil"/>
              <w:bottom w:val="single" w:color="auto" w:sz="8" w:space="0"/>
              <w:right w:val="single" w:color="auto" w:sz="8" w:space="0"/>
            </w:tcBorders>
            <w:tcMar>
              <w:left w:w="108" w:type="dxa"/>
              <w:right w:w="108" w:type="dxa"/>
            </w:tcMar>
            <w:vAlign w:val="center"/>
          </w:tcPr>
          <w:p w14:paraId="77CFF312">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6632A30">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9EC1942">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0B6B0AB">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CF650F3">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32F5D6CA">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07A2B68E">
            <w:pPr>
              <w:widowControl/>
              <w:jc w:val="center"/>
            </w:pPr>
            <w:r>
              <w:rPr>
                <w:rFonts w:hint="eastAsia"/>
              </w:rPr>
              <w:t>0</w:t>
            </w:r>
          </w:p>
        </w:tc>
      </w:tr>
      <w:tr w14:paraId="63A0F5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C6B7DAC">
            <w:pPr>
              <w:rPr>
                <w:rFonts w:ascii="宋体"/>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14:paraId="147E74C2">
            <w:pPr>
              <w:widowControl/>
              <w:spacing w:line="200" w:lineRule="exact"/>
              <w:ind w:left="-107" w:leftChars="-51"/>
            </w:pPr>
            <w:r>
              <w:rPr>
                <w:rFonts w:hint="eastAsia" w:ascii="楷体" w:hAnsi="楷体" w:eastAsia="楷体" w:cs="楷体"/>
                <w:kern w:val="0"/>
                <w:sz w:val="20"/>
                <w:szCs w:val="20"/>
              </w:rPr>
              <w:t>（四）无法提供</w:t>
            </w:r>
          </w:p>
        </w:tc>
        <w:tc>
          <w:tcPr>
            <w:tcW w:w="2835" w:type="dxa"/>
            <w:tcBorders>
              <w:top w:val="nil"/>
              <w:left w:val="nil"/>
              <w:bottom w:val="single" w:color="auto" w:sz="8" w:space="0"/>
              <w:right w:val="single" w:color="auto" w:sz="8" w:space="0"/>
            </w:tcBorders>
            <w:tcMar>
              <w:left w:w="108" w:type="dxa"/>
              <w:right w:w="108" w:type="dxa"/>
            </w:tcMar>
            <w:vAlign w:val="center"/>
          </w:tcPr>
          <w:p w14:paraId="478830EE">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1.本机关不掌握相关政府信息</w:t>
            </w:r>
          </w:p>
        </w:tc>
        <w:tc>
          <w:tcPr>
            <w:tcW w:w="850" w:type="dxa"/>
            <w:tcBorders>
              <w:top w:val="nil"/>
              <w:left w:val="nil"/>
              <w:bottom w:val="single" w:color="auto" w:sz="8" w:space="0"/>
              <w:right w:val="single" w:color="auto" w:sz="8" w:space="0"/>
            </w:tcBorders>
            <w:tcMar>
              <w:left w:w="108" w:type="dxa"/>
              <w:right w:w="108" w:type="dxa"/>
            </w:tcMar>
            <w:vAlign w:val="center"/>
          </w:tcPr>
          <w:p w14:paraId="7F26A5C5">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B430417">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A6D3CB3">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9D3BECA">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FBA7A0E">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58B61E5C">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0A105F3A">
            <w:pPr>
              <w:widowControl/>
              <w:jc w:val="center"/>
            </w:pPr>
            <w:r>
              <w:rPr>
                <w:rFonts w:hint="eastAsia"/>
              </w:rPr>
              <w:t>0</w:t>
            </w:r>
          </w:p>
        </w:tc>
      </w:tr>
      <w:tr w14:paraId="6B8A68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4A96B63">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105D9F31">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13826F2C">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2.没有现成信息需要另行制作</w:t>
            </w:r>
          </w:p>
        </w:tc>
        <w:tc>
          <w:tcPr>
            <w:tcW w:w="850" w:type="dxa"/>
            <w:tcBorders>
              <w:top w:val="nil"/>
              <w:left w:val="nil"/>
              <w:bottom w:val="single" w:color="auto" w:sz="8" w:space="0"/>
              <w:right w:val="single" w:color="auto" w:sz="8" w:space="0"/>
            </w:tcBorders>
            <w:tcMar>
              <w:left w:w="108" w:type="dxa"/>
              <w:right w:w="108" w:type="dxa"/>
            </w:tcMar>
            <w:vAlign w:val="center"/>
          </w:tcPr>
          <w:p w14:paraId="4F8FACBA">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DAC76D6">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BE033AD">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F681FB1">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D696F61">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01AC6ABB">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15F988B0">
            <w:pPr>
              <w:widowControl/>
              <w:jc w:val="center"/>
            </w:pPr>
            <w:r>
              <w:rPr>
                <w:rFonts w:hint="eastAsia"/>
              </w:rPr>
              <w:t>0</w:t>
            </w:r>
          </w:p>
        </w:tc>
      </w:tr>
      <w:tr w14:paraId="5E1D4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06B273D">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6F793887">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675B17CA">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3.补正后申请内容仍不明确</w:t>
            </w:r>
          </w:p>
        </w:tc>
        <w:tc>
          <w:tcPr>
            <w:tcW w:w="850" w:type="dxa"/>
            <w:tcBorders>
              <w:top w:val="nil"/>
              <w:left w:val="nil"/>
              <w:bottom w:val="single" w:color="auto" w:sz="8" w:space="0"/>
              <w:right w:val="single" w:color="auto" w:sz="8" w:space="0"/>
            </w:tcBorders>
            <w:tcMar>
              <w:left w:w="108" w:type="dxa"/>
              <w:right w:w="108" w:type="dxa"/>
            </w:tcMar>
            <w:vAlign w:val="center"/>
          </w:tcPr>
          <w:p w14:paraId="0946FCB4">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5C2EC00">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B0B2309">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C8FD2C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7A172CE">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51AC5F1B">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676BA6AF">
            <w:pPr>
              <w:widowControl/>
              <w:jc w:val="center"/>
            </w:pPr>
            <w:r>
              <w:rPr>
                <w:rFonts w:hint="eastAsia"/>
              </w:rPr>
              <w:t>0</w:t>
            </w:r>
          </w:p>
        </w:tc>
      </w:tr>
      <w:tr w14:paraId="47992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1C761EA">
            <w:pPr>
              <w:rPr>
                <w:rFonts w:ascii="宋体"/>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14:paraId="7E21D26E">
            <w:pPr>
              <w:widowControl/>
              <w:spacing w:line="200" w:lineRule="exact"/>
              <w:ind w:left="-107" w:leftChars="-51"/>
            </w:pPr>
            <w:r>
              <w:rPr>
                <w:rFonts w:hint="eastAsia" w:ascii="楷体" w:hAnsi="楷体" w:eastAsia="楷体" w:cs="楷体"/>
                <w:kern w:val="0"/>
                <w:sz w:val="20"/>
                <w:szCs w:val="20"/>
              </w:rPr>
              <w:t>（五）不予处理</w:t>
            </w:r>
          </w:p>
        </w:tc>
        <w:tc>
          <w:tcPr>
            <w:tcW w:w="2835" w:type="dxa"/>
            <w:tcBorders>
              <w:top w:val="nil"/>
              <w:left w:val="nil"/>
              <w:bottom w:val="single" w:color="auto" w:sz="8" w:space="0"/>
              <w:right w:val="single" w:color="auto" w:sz="8" w:space="0"/>
            </w:tcBorders>
            <w:tcMar>
              <w:left w:w="108" w:type="dxa"/>
              <w:right w:w="108" w:type="dxa"/>
            </w:tcMar>
            <w:vAlign w:val="center"/>
          </w:tcPr>
          <w:p w14:paraId="143BCB1E">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1.信访举报投诉类申请</w:t>
            </w:r>
          </w:p>
        </w:tc>
        <w:tc>
          <w:tcPr>
            <w:tcW w:w="850" w:type="dxa"/>
            <w:tcBorders>
              <w:top w:val="nil"/>
              <w:left w:val="nil"/>
              <w:bottom w:val="single" w:color="auto" w:sz="8" w:space="0"/>
              <w:right w:val="single" w:color="auto" w:sz="8" w:space="0"/>
            </w:tcBorders>
            <w:tcMar>
              <w:left w:w="108" w:type="dxa"/>
              <w:right w:w="108" w:type="dxa"/>
            </w:tcMar>
            <w:vAlign w:val="center"/>
          </w:tcPr>
          <w:p w14:paraId="2C951DCF">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61794D1">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64AF6C2">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6D65A4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B5A869D">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6585728D">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6C0B9084">
            <w:pPr>
              <w:widowControl/>
              <w:jc w:val="center"/>
            </w:pPr>
            <w:r>
              <w:rPr>
                <w:rFonts w:hint="eastAsia"/>
              </w:rPr>
              <w:t>0</w:t>
            </w:r>
          </w:p>
        </w:tc>
      </w:tr>
      <w:tr w14:paraId="1CA84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67EDF46">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5BB1D7ED">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7A754F6F">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2.重复申请</w:t>
            </w:r>
          </w:p>
        </w:tc>
        <w:tc>
          <w:tcPr>
            <w:tcW w:w="850" w:type="dxa"/>
            <w:tcBorders>
              <w:top w:val="nil"/>
              <w:left w:val="nil"/>
              <w:bottom w:val="single" w:color="auto" w:sz="8" w:space="0"/>
              <w:right w:val="single" w:color="auto" w:sz="8" w:space="0"/>
            </w:tcBorders>
            <w:tcMar>
              <w:left w:w="108" w:type="dxa"/>
              <w:right w:w="108" w:type="dxa"/>
            </w:tcMar>
            <w:vAlign w:val="center"/>
          </w:tcPr>
          <w:p w14:paraId="77B09278">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8CE49E5">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022AA11">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CBA9CCA">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47B1830">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7133C3A9">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77C53427">
            <w:pPr>
              <w:widowControl/>
              <w:jc w:val="center"/>
            </w:pPr>
            <w:r>
              <w:rPr>
                <w:rFonts w:hint="eastAsia"/>
              </w:rPr>
              <w:t>0</w:t>
            </w:r>
          </w:p>
        </w:tc>
      </w:tr>
      <w:tr w14:paraId="24093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C9E5A39">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7C980647">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75D43E0E">
            <w:pPr>
              <w:widowControl/>
              <w:spacing w:line="200" w:lineRule="exact"/>
            </w:pPr>
            <w:r>
              <w:rPr>
                <w:rFonts w:hint="eastAsia" w:ascii="楷体" w:hAnsi="楷体" w:eastAsia="楷体" w:cs="楷体"/>
                <w:kern w:val="0"/>
                <w:sz w:val="20"/>
                <w:szCs w:val="20"/>
              </w:rPr>
              <w:t>3.要求提供公开出版物</w:t>
            </w:r>
          </w:p>
        </w:tc>
        <w:tc>
          <w:tcPr>
            <w:tcW w:w="850" w:type="dxa"/>
            <w:tcBorders>
              <w:top w:val="nil"/>
              <w:left w:val="nil"/>
              <w:bottom w:val="single" w:color="auto" w:sz="8" w:space="0"/>
              <w:right w:val="single" w:color="auto" w:sz="8" w:space="0"/>
            </w:tcBorders>
            <w:tcMar>
              <w:left w:w="108" w:type="dxa"/>
              <w:right w:w="108" w:type="dxa"/>
            </w:tcMar>
            <w:vAlign w:val="center"/>
          </w:tcPr>
          <w:p w14:paraId="1FC24C4E">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56D680E">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DC2D289">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7C46B7">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F6A410">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0BBC09A3">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349FC7FF">
            <w:pPr>
              <w:widowControl/>
              <w:jc w:val="center"/>
            </w:pPr>
            <w:r>
              <w:rPr>
                <w:rFonts w:hint="eastAsia"/>
              </w:rPr>
              <w:t>0</w:t>
            </w:r>
          </w:p>
        </w:tc>
      </w:tr>
      <w:tr w14:paraId="241237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2AD39F5">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710B5415">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62608038">
            <w:pPr>
              <w:widowControl/>
              <w:spacing w:line="200" w:lineRule="exact"/>
            </w:pPr>
            <w:r>
              <w:rPr>
                <w:rFonts w:hint="eastAsia" w:ascii="楷体" w:hAnsi="楷体" w:eastAsia="楷体" w:cs="楷体"/>
                <w:kern w:val="0"/>
                <w:sz w:val="20"/>
                <w:szCs w:val="20"/>
              </w:rPr>
              <w:t>4.无正当理由大量反复申请</w:t>
            </w:r>
          </w:p>
        </w:tc>
        <w:tc>
          <w:tcPr>
            <w:tcW w:w="850" w:type="dxa"/>
            <w:tcBorders>
              <w:top w:val="nil"/>
              <w:left w:val="nil"/>
              <w:bottom w:val="single" w:color="auto" w:sz="8" w:space="0"/>
              <w:right w:val="single" w:color="auto" w:sz="8" w:space="0"/>
            </w:tcBorders>
            <w:tcMar>
              <w:left w:w="108" w:type="dxa"/>
              <w:right w:w="108" w:type="dxa"/>
            </w:tcMar>
            <w:vAlign w:val="center"/>
          </w:tcPr>
          <w:p w14:paraId="146D736F">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97B3690">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04D8A39">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4301B1B">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DA4BF1B">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3864E496">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069F2BF4">
            <w:pPr>
              <w:widowControl/>
              <w:jc w:val="center"/>
            </w:pPr>
            <w:r>
              <w:rPr>
                <w:rFonts w:hint="eastAsia"/>
              </w:rPr>
              <w:t>0</w:t>
            </w:r>
          </w:p>
        </w:tc>
      </w:tr>
      <w:tr w14:paraId="56C80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05364AA">
            <w:pPr>
              <w:rPr>
                <w:rFonts w:ascii="宋体"/>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14:paraId="60A1BAF6">
            <w:pPr>
              <w:spacing w:line="200" w:lineRule="exact"/>
              <w:rPr>
                <w:rFonts w:ascii="宋体"/>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14:paraId="3546AC86">
            <w:pPr>
              <w:widowControl/>
              <w:spacing w:line="300" w:lineRule="exact"/>
              <w:rPr>
                <w:rFonts w:ascii="楷体" w:hAnsi="楷体" w:eastAsia="楷体" w:cs="楷体"/>
                <w:kern w:val="0"/>
                <w:sz w:val="20"/>
                <w:szCs w:val="20"/>
              </w:rPr>
            </w:pPr>
            <w:r>
              <w:rPr>
                <w:rFonts w:hint="eastAsia" w:ascii="楷体" w:hAnsi="楷体" w:eastAsia="楷体" w:cs="楷体"/>
                <w:kern w:val="0"/>
                <w:sz w:val="20"/>
                <w:szCs w:val="20"/>
              </w:rPr>
              <w:t>5.要求行政机关确认或重新</w:t>
            </w:r>
          </w:p>
          <w:p w14:paraId="0C33E30B">
            <w:pPr>
              <w:widowControl/>
              <w:spacing w:line="300" w:lineRule="exact"/>
              <w:ind w:firstLine="200" w:firstLineChars="100"/>
            </w:pPr>
            <w:r>
              <w:rPr>
                <w:rFonts w:hint="eastAsia" w:ascii="楷体" w:hAnsi="楷体" w:eastAsia="楷体" w:cs="楷体"/>
                <w:kern w:val="0"/>
                <w:sz w:val="20"/>
                <w:szCs w:val="20"/>
              </w:rPr>
              <w:t>出具已获取信息</w:t>
            </w:r>
          </w:p>
        </w:tc>
        <w:tc>
          <w:tcPr>
            <w:tcW w:w="850" w:type="dxa"/>
            <w:tcBorders>
              <w:top w:val="nil"/>
              <w:left w:val="nil"/>
              <w:bottom w:val="single" w:color="auto" w:sz="8" w:space="0"/>
              <w:right w:val="single" w:color="auto" w:sz="8" w:space="0"/>
            </w:tcBorders>
            <w:tcMar>
              <w:left w:w="108" w:type="dxa"/>
              <w:right w:w="108" w:type="dxa"/>
            </w:tcMar>
            <w:vAlign w:val="center"/>
          </w:tcPr>
          <w:p w14:paraId="378E7307">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39E6BE7">
            <w:pPr>
              <w:widowControl/>
              <w:spacing w:line="200" w:lineRule="exact"/>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33318D0">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8AA743F">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048914D">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72837E12">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1CF48BEE">
            <w:pPr>
              <w:widowControl/>
              <w:jc w:val="center"/>
            </w:pPr>
            <w:r>
              <w:rPr>
                <w:rFonts w:hint="eastAsia"/>
              </w:rPr>
              <w:t>0</w:t>
            </w:r>
          </w:p>
        </w:tc>
      </w:tr>
      <w:tr w14:paraId="35C94C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8C045FE">
            <w:pPr>
              <w:rPr>
                <w:rFonts w:ascii="宋体"/>
                <w:sz w:val="24"/>
              </w:rPr>
            </w:pPr>
          </w:p>
        </w:tc>
        <w:tc>
          <w:tcPr>
            <w:tcW w:w="1418" w:type="dxa"/>
            <w:vMerge w:val="restart"/>
            <w:tcBorders>
              <w:top w:val="nil"/>
              <w:left w:val="nil"/>
              <w:right w:val="single" w:color="auto" w:sz="8" w:space="0"/>
            </w:tcBorders>
            <w:tcMar>
              <w:left w:w="108" w:type="dxa"/>
              <w:right w:w="108" w:type="dxa"/>
            </w:tcMar>
            <w:vAlign w:val="center"/>
          </w:tcPr>
          <w:p w14:paraId="120EB4CB">
            <w:pPr>
              <w:widowControl/>
              <w:spacing w:line="200" w:lineRule="exact"/>
            </w:pPr>
            <w:r>
              <w:rPr>
                <w:rFonts w:hint="eastAsia" w:ascii="楷体" w:hAnsi="楷体" w:eastAsia="楷体" w:cs="楷体"/>
                <w:kern w:val="0"/>
                <w:sz w:val="20"/>
                <w:szCs w:val="20"/>
              </w:rPr>
              <w:t>（六）其他处理</w:t>
            </w:r>
          </w:p>
        </w:tc>
        <w:tc>
          <w:tcPr>
            <w:tcW w:w="2835" w:type="dxa"/>
            <w:tcBorders>
              <w:top w:val="nil"/>
              <w:left w:val="nil"/>
              <w:bottom w:val="single" w:color="auto" w:sz="8" w:space="0"/>
              <w:right w:val="single" w:color="auto" w:sz="8" w:space="0"/>
            </w:tcBorders>
            <w:tcMar>
              <w:left w:w="108" w:type="dxa"/>
              <w:right w:w="108" w:type="dxa"/>
            </w:tcMar>
            <w:vAlign w:val="center"/>
          </w:tcPr>
          <w:p w14:paraId="7BDD4735">
            <w:pPr>
              <w:widowControl/>
              <w:rPr>
                <w:rFonts w:ascii="楷体" w:hAnsi="楷体" w:eastAsia="楷体" w:cs="楷体"/>
                <w:kern w:val="0"/>
                <w:sz w:val="20"/>
                <w:szCs w:val="20"/>
              </w:rPr>
            </w:pPr>
            <w:r>
              <w:rPr>
                <w:rFonts w:hint="eastAsia" w:ascii="楷体" w:hAnsi="楷体" w:eastAsia="楷体" w:cs="楷体"/>
                <w:kern w:val="0"/>
                <w:sz w:val="20"/>
                <w:szCs w:val="20"/>
              </w:rPr>
              <w:t>1.申请人无正当理由逾期不补正、行政机关不再处理其政府信息公开申请</w:t>
            </w:r>
          </w:p>
        </w:tc>
        <w:tc>
          <w:tcPr>
            <w:tcW w:w="850" w:type="dxa"/>
            <w:tcBorders>
              <w:top w:val="nil"/>
              <w:left w:val="nil"/>
              <w:right w:val="single" w:color="auto" w:sz="8" w:space="0"/>
            </w:tcBorders>
            <w:tcMar>
              <w:left w:w="108" w:type="dxa"/>
              <w:right w:w="108" w:type="dxa"/>
            </w:tcMar>
            <w:vAlign w:val="center"/>
          </w:tcPr>
          <w:p w14:paraId="7330618F">
            <w:pPr>
              <w:widowControl/>
              <w:jc w:val="center"/>
            </w:pPr>
            <w:r>
              <w:rPr>
                <w:rFonts w:hint="eastAsia"/>
              </w:rPr>
              <w:t>0</w:t>
            </w:r>
          </w:p>
        </w:tc>
        <w:tc>
          <w:tcPr>
            <w:tcW w:w="567" w:type="dxa"/>
            <w:tcBorders>
              <w:top w:val="nil"/>
              <w:left w:val="nil"/>
              <w:right w:val="single" w:color="auto" w:sz="8" w:space="0"/>
            </w:tcBorders>
            <w:tcMar>
              <w:left w:w="108" w:type="dxa"/>
              <w:right w:w="108" w:type="dxa"/>
            </w:tcMar>
            <w:vAlign w:val="center"/>
          </w:tcPr>
          <w:p w14:paraId="157320E8">
            <w:pPr>
              <w:widowControl/>
              <w:jc w:val="center"/>
            </w:pPr>
            <w:r>
              <w:rPr>
                <w:rFonts w:hint="eastAsia"/>
              </w:rPr>
              <w:t>0</w:t>
            </w:r>
          </w:p>
        </w:tc>
        <w:tc>
          <w:tcPr>
            <w:tcW w:w="567" w:type="dxa"/>
            <w:tcBorders>
              <w:top w:val="nil"/>
              <w:left w:val="nil"/>
              <w:right w:val="single" w:color="auto" w:sz="8" w:space="0"/>
            </w:tcBorders>
            <w:tcMar>
              <w:left w:w="108" w:type="dxa"/>
              <w:right w:w="108" w:type="dxa"/>
            </w:tcMar>
            <w:vAlign w:val="center"/>
          </w:tcPr>
          <w:p w14:paraId="358DE5B7">
            <w:pPr>
              <w:widowControl/>
              <w:jc w:val="center"/>
            </w:pPr>
            <w:r>
              <w:rPr>
                <w:rFonts w:hint="eastAsia"/>
              </w:rPr>
              <w:t>0</w:t>
            </w:r>
          </w:p>
        </w:tc>
        <w:tc>
          <w:tcPr>
            <w:tcW w:w="567" w:type="dxa"/>
            <w:tcBorders>
              <w:top w:val="nil"/>
              <w:left w:val="nil"/>
              <w:right w:val="single" w:color="auto" w:sz="8" w:space="0"/>
            </w:tcBorders>
            <w:tcMar>
              <w:left w:w="108" w:type="dxa"/>
              <w:right w:w="108" w:type="dxa"/>
            </w:tcMar>
            <w:vAlign w:val="center"/>
          </w:tcPr>
          <w:p w14:paraId="16A6E8EB">
            <w:pPr>
              <w:widowControl/>
              <w:jc w:val="center"/>
            </w:pPr>
            <w:r>
              <w:rPr>
                <w:rFonts w:hint="eastAsia"/>
              </w:rPr>
              <w:t>0</w:t>
            </w:r>
          </w:p>
        </w:tc>
        <w:tc>
          <w:tcPr>
            <w:tcW w:w="567" w:type="dxa"/>
            <w:tcBorders>
              <w:top w:val="nil"/>
              <w:left w:val="nil"/>
              <w:right w:val="single" w:color="auto" w:sz="8" w:space="0"/>
            </w:tcBorders>
            <w:tcMar>
              <w:left w:w="108" w:type="dxa"/>
              <w:right w:w="108" w:type="dxa"/>
            </w:tcMar>
            <w:vAlign w:val="center"/>
          </w:tcPr>
          <w:p w14:paraId="319EE077">
            <w:pPr>
              <w:widowControl/>
              <w:jc w:val="center"/>
            </w:pPr>
            <w:r>
              <w:rPr>
                <w:rFonts w:hint="eastAsia"/>
              </w:rPr>
              <w:t>0</w:t>
            </w:r>
          </w:p>
        </w:tc>
        <w:tc>
          <w:tcPr>
            <w:tcW w:w="540" w:type="dxa"/>
            <w:tcBorders>
              <w:top w:val="nil"/>
              <w:left w:val="nil"/>
              <w:right w:val="single" w:color="auto" w:sz="8" w:space="0"/>
            </w:tcBorders>
            <w:tcMar>
              <w:left w:w="108" w:type="dxa"/>
              <w:right w:w="108" w:type="dxa"/>
            </w:tcMar>
            <w:vAlign w:val="center"/>
          </w:tcPr>
          <w:p w14:paraId="0978F5CB">
            <w:pPr>
              <w:widowControl/>
              <w:jc w:val="center"/>
            </w:pPr>
            <w:r>
              <w:rPr>
                <w:rFonts w:hint="eastAsia"/>
              </w:rPr>
              <w:t>0</w:t>
            </w:r>
          </w:p>
        </w:tc>
        <w:tc>
          <w:tcPr>
            <w:tcW w:w="635" w:type="dxa"/>
            <w:tcBorders>
              <w:top w:val="nil"/>
              <w:left w:val="nil"/>
              <w:right w:val="single" w:color="auto" w:sz="8" w:space="0"/>
            </w:tcBorders>
            <w:tcMar>
              <w:left w:w="108" w:type="dxa"/>
              <w:right w:w="108" w:type="dxa"/>
            </w:tcMar>
            <w:vAlign w:val="center"/>
          </w:tcPr>
          <w:p w14:paraId="59A8E217">
            <w:pPr>
              <w:widowControl/>
              <w:jc w:val="center"/>
            </w:pPr>
            <w:r>
              <w:rPr>
                <w:rFonts w:hint="eastAsia"/>
              </w:rPr>
              <w:t>0</w:t>
            </w:r>
          </w:p>
        </w:tc>
      </w:tr>
      <w:tr w14:paraId="4A3746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3FE0EBB">
            <w:pPr>
              <w:widowControl/>
              <w:spacing w:line="200" w:lineRule="exact"/>
            </w:pPr>
          </w:p>
        </w:tc>
        <w:tc>
          <w:tcPr>
            <w:tcW w:w="1418" w:type="dxa"/>
            <w:vMerge w:val="continue"/>
            <w:tcBorders>
              <w:left w:val="nil"/>
              <w:right w:val="single" w:color="auto" w:sz="8" w:space="0"/>
            </w:tcBorders>
            <w:tcMar>
              <w:left w:w="108" w:type="dxa"/>
              <w:right w:w="108" w:type="dxa"/>
            </w:tcMar>
            <w:vAlign w:val="center"/>
          </w:tcPr>
          <w:p w14:paraId="0C282298">
            <w:pPr>
              <w:widowControl/>
              <w:spacing w:line="200" w:lineRule="exact"/>
            </w:pPr>
          </w:p>
        </w:tc>
        <w:tc>
          <w:tcPr>
            <w:tcW w:w="2835" w:type="dxa"/>
            <w:tcBorders>
              <w:top w:val="nil"/>
              <w:left w:val="nil"/>
              <w:bottom w:val="single" w:color="auto" w:sz="8" w:space="0"/>
              <w:right w:val="single" w:color="auto" w:sz="8" w:space="0"/>
            </w:tcBorders>
            <w:tcMar>
              <w:left w:w="108" w:type="dxa"/>
              <w:right w:w="108" w:type="dxa"/>
            </w:tcMar>
            <w:vAlign w:val="center"/>
          </w:tcPr>
          <w:p w14:paraId="4A076419">
            <w:pPr>
              <w:widowControl/>
              <w:rPr>
                <w:rFonts w:ascii="楷体" w:hAnsi="楷体" w:eastAsia="楷体" w:cs="楷体"/>
                <w:kern w:val="0"/>
                <w:sz w:val="20"/>
                <w:szCs w:val="20"/>
              </w:rPr>
            </w:pPr>
            <w:r>
              <w:rPr>
                <w:rFonts w:hint="eastAsia" w:ascii="楷体" w:hAnsi="楷体" w:eastAsia="楷体" w:cs="楷体"/>
                <w:kern w:val="0"/>
                <w:sz w:val="20"/>
                <w:szCs w:val="20"/>
              </w:rPr>
              <w:t>2.申请人逾期未按收费通知要求缴纳费用、行政机关不再处理其政府信息公开申请</w:t>
            </w:r>
          </w:p>
        </w:tc>
        <w:tc>
          <w:tcPr>
            <w:tcW w:w="850" w:type="dxa"/>
            <w:tcBorders>
              <w:left w:val="nil"/>
              <w:right w:val="single" w:color="auto" w:sz="8" w:space="0"/>
            </w:tcBorders>
            <w:tcMar>
              <w:left w:w="108" w:type="dxa"/>
              <w:right w:w="108" w:type="dxa"/>
            </w:tcMar>
            <w:vAlign w:val="center"/>
          </w:tcPr>
          <w:p w14:paraId="75199981">
            <w:pPr>
              <w:widowControl/>
              <w:jc w:val="center"/>
            </w:pPr>
            <w:r>
              <w:rPr>
                <w:rFonts w:hint="eastAsia"/>
              </w:rPr>
              <w:t>0</w:t>
            </w:r>
          </w:p>
        </w:tc>
        <w:tc>
          <w:tcPr>
            <w:tcW w:w="567" w:type="dxa"/>
            <w:tcBorders>
              <w:left w:val="nil"/>
              <w:right w:val="single" w:color="auto" w:sz="8" w:space="0"/>
            </w:tcBorders>
            <w:tcMar>
              <w:left w:w="108" w:type="dxa"/>
              <w:right w:w="108" w:type="dxa"/>
            </w:tcMar>
            <w:vAlign w:val="center"/>
          </w:tcPr>
          <w:p w14:paraId="074AA218">
            <w:pPr>
              <w:widowControl/>
              <w:jc w:val="center"/>
            </w:pPr>
            <w:r>
              <w:rPr>
                <w:rFonts w:hint="eastAsia"/>
              </w:rPr>
              <w:t>0</w:t>
            </w:r>
          </w:p>
        </w:tc>
        <w:tc>
          <w:tcPr>
            <w:tcW w:w="567" w:type="dxa"/>
            <w:tcBorders>
              <w:left w:val="nil"/>
              <w:right w:val="single" w:color="auto" w:sz="8" w:space="0"/>
            </w:tcBorders>
            <w:tcMar>
              <w:left w:w="108" w:type="dxa"/>
              <w:right w:w="108" w:type="dxa"/>
            </w:tcMar>
            <w:vAlign w:val="center"/>
          </w:tcPr>
          <w:p w14:paraId="0C2944A4">
            <w:pPr>
              <w:widowControl/>
              <w:jc w:val="center"/>
            </w:pPr>
            <w:r>
              <w:rPr>
                <w:rFonts w:hint="eastAsia"/>
              </w:rPr>
              <w:t>0</w:t>
            </w:r>
          </w:p>
        </w:tc>
        <w:tc>
          <w:tcPr>
            <w:tcW w:w="567" w:type="dxa"/>
            <w:tcBorders>
              <w:left w:val="nil"/>
              <w:right w:val="single" w:color="auto" w:sz="8" w:space="0"/>
            </w:tcBorders>
            <w:tcMar>
              <w:left w:w="108" w:type="dxa"/>
              <w:right w:w="108" w:type="dxa"/>
            </w:tcMar>
            <w:vAlign w:val="center"/>
          </w:tcPr>
          <w:p w14:paraId="322E9488">
            <w:pPr>
              <w:widowControl/>
              <w:jc w:val="center"/>
            </w:pPr>
            <w:r>
              <w:rPr>
                <w:rFonts w:hint="eastAsia"/>
              </w:rPr>
              <w:t>0</w:t>
            </w:r>
          </w:p>
        </w:tc>
        <w:tc>
          <w:tcPr>
            <w:tcW w:w="567" w:type="dxa"/>
            <w:tcBorders>
              <w:left w:val="nil"/>
              <w:right w:val="single" w:color="auto" w:sz="8" w:space="0"/>
            </w:tcBorders>
            <w:tcMar>
              <w:left w:w="108" w:type="dxa"/>
              <w:right w:w="108" w:type="dxa"/>
            </w:tcMar>
            <w:vAlign w:val="center"/>
          </w:tcPr>
          <w:p w14:paraId="1ECF7CA8">
            <w:pPr>
              <w:widowControl/>
              <w:jc w:val="center"/>
            </w:pPr>
            <w:r>
              <w:rPr>
                <w:rFonts w:hint="eastAsia"/>
              </w:rPr>
              <w:t>0</w:t>
            </w:r>
          </w:p>
        </w:tc>
        <w:tc>
          <w:tcPr>
            <w:tcW w:w="540" w:type="dxa"/>
            <w:tcBorders>
              <w:left w:val="nil"/>
              <w:right w:val="single" w:color="auto" w:sz="8" w:space="0"/>
            </w:tcBorders>
            <w:tcMar>
              <w:left w:w="108" w:type="dxa"/>
              <w:right w:w="108" w:type="dxa"/>
            </w:tcMar>
            <w:vAlign w:val="center"/>
          </w:tcPr>
          <w:p w14:paraId="69A65E9E">
            <w:pPr>
              <w:widowControl/>
              <w:jc w:val="center"/>
            </w:pPr>
            <w:r>
              <w:rPr>
                <w:rFonts w:hint="eastAsia"/>
              </w:rPr>
              <w:t>0</w:t>
            </w:r>
          </w:p>
        </w:tc>
        <w:tc>
          <w:tcPr>
            <w:tcW w:w="635" w:type="dxa"/>
            <w:tcBorders>
              <w:left w:val="nil"/>
              <w:right w:val="single" w:color="auto" w:sz="8" w:space="0"/>
            </w:tcBorders>
            <w:tcMar>
              <w:left w:w="108" w:type="dxa"/>
              <w:right w:w="108" w:type="dxa"/>
            </w:tcMar>
            <w:vAlign w:val="center"/>
          </w:tcPr>
          <w:p w14:paraId="74CC9879">
            <w:pPr>
              <w:widowControl/>
              <w:jc w:val="center"/>
            </w:pPr>
            <w:r>
              <w:rPr>
                <w:rFonts w:hint="eastAsia"/>
              </w:rPr>
              <w:t>0</w:t>
            </w:r>
          </w:p>
        </w:tc>
      </w:tr>
      <w:tr w14:paraId="716784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tcMar>
              <w:left w:w="108" w:type="dxa"/>
              <w:right w:w="108" w:type="dxa"/>
            </w:tcMar>
            <w:vAlign w:val="center"/>
          </w:tcPr>
          <w:p w14:paraId="75DF51F0">
            <w:pPr>
              <w:widowControl/>
              <w:spacing w:line="200" w:lineRule="exact"/>
              <w:rPr>
                <w:rFonts w:ascii="楷体" w:hAnsi="楷体" w:eastAsia="楷体" w:cs="楷体"/>
                <w:kern w:val="0"/>
                <w:sz w:val="20"/>
                <w:szCs w:val="20"/>
              </w:rPr>
            </w:pPr>
          </w:p>
        </w:tc>
        <w:tc>
          <w:tcPr>
            <w:tcW w:w="1418" w:type="dxa"/>
            <w:vMerge w:val="continue"/>
            <w:tcBorders>
              <w:left w:val="nil"/>
              <w:bottom w:val="single" w:color="auto" w:sz="8" w:space="0"/>
              <w:right w:val="single" w:color="auto" w:sz="8" w:space="0"/>
            </w:tcBorders>
            <w:tcMar>
              <w:left w:w="108" w:type="dxa"/>
              <w:right w:w="108" w:type="dxa"/>
            </w:tcMar>
            <w:vAlign w:val="center"/>
          </w:tcPr>
          <w:p w14:paraId="6FD58C13">
            <w:pPr>
              <w:widowControl/>
              <w:spacing w:line="200" w:lineRule="exact"/>
              <w:rPr>
                <w:rFonts w:ascii="楷体" w:hAnsi="楷体" w:eastAsia="楷体" w:cs="楷体"/>
                <w:kern w:val="0"/>
                <w:sz w:val="20"/>
                <w:szCs w:val="20"/>
              </w:rPr>
            </w:pPr>
          </w:p>
        </w:tc>
        <w:tc>
          <w:tcPr>
            <w:tcW w:w="2835" w:type="dxa"/>
            <w:tcBorders>
              <w:top w:val="nil"/>
              <w:left w:val="nil"/>
              <w:bottom w:val="single" w:color="auto" w:sz="8" w:space="0"/>
              <w:right w:val="single" w:color="auto" w:sz="8" w:space="0"/>
            </w:tcBorders>
            <w:tcMar>
              <w:left w:w="108" w:type="dxa"/>
              <w:right w:w="108" w:type="dxa"/>
            </w:tcMar>
            <w:vAlign w:val="center"/>
          </w:tcPr>
          <w:p w14:paraId="1D7D5B61">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3.其他</w:t>
            </w:r>
          </w:p>
        </w:tc>
        <w:tc>
          <w:tcPr>
            <w:tcW w:w="850" w:type="dxa"/>
            <w:tcBorders>
              <w:left w:val="nil"/>
              <w:bottom w:val="single" w:color="auto" w:sz="8" w:space="0"/>
              <w:right w:val="single" w:color="auto" w:sz="8" w:space="0"/>
            </w:tcBorders>
            <w:tcMar>
              <w:left w:w="108" w:type="dxa"/>
              <w:right w:w="108" w:type="dxa"/>
            </w:tcMar>
            <w:vAlign w:val="center"/>
          </w:tcPr>
          <w:p w14:paraId="5FE82031">
            <w:pPr>
              <w:widowControl/>
              <w:jc w:val="center"/>
            </w:pPr>
            <w:r>
              <w:rPr>
                <w:rFonts w:hint="eastAsia"/>
              </w:rPr>
              <w:t>0</w:t>
            </w:r>
          </w:p>
        </w:tc>
        <w:tc>
          <w:tcPr>
            <w:tcW w:w="567" w:type="dxa"/>
            <w:tcBorders>
              <w:left w:val="nil"/>
              <w:bottom w:val="single" w:color="auto" w:sz="8" w:space="0"/>
              <w:right w:val="single" w:color="auto" w:sz="8" w:space="0"/>
            </w:tcBorders>
            <w:tcMar>
              <w:left w:w="108" w:type="dxa"/>
              <w:right w:w="108" w:type="dxa"/>
            </w:tcMar>
            <w:vAlign w:val="center"/>
          </w:tcPr>
          <w:p w14:paraId="6BD939C1">
            <w:pPr>
              <w:widowControl/>
              <w:jc w:val="center"/>
            </w:pPr>
            <w:r>
              <w:rPr>
                <w:rFonts w:hint="eastAsia"/>
              </w:rPr>
              <w:t>0</w:t>
            </w:r>
          </w:p>
        </w:tc>
        <w:tc>
          <w:tcPr>
            <w:tcW w:w="567" w:type="dxa"/>
            <w:tcBorders>
              <w:left w:val="nil"/>
              <w:bottom w:val="single" w:color="auto" w:sz="8" w:space="0"/>
              <w:right w:val="single" w:color="auto" w:sz="8" w:space="0"/>
            </w:tcBorders>
            <w:tcMar>
              <w:left w:w="108" w:type="dxa"/>
              <w:right w:w="108" w:type="dxa"/>
            </w:tcMar>
            <w:vAlign w:val="center"/>
          </w:tcPr>
          <w:p w14:paraId="036F7C69">
            <w:pPr>
              <w:widowControl/>
              <w:jc w:val="center"/>
            </w:pPr>
            <w:r>
              <w:rPr>
                <w:rFonts w:hint="eastAsia"/>
              </w:rPr>
              <w:t>0</w:t>
            </w:r>
          </w:p>
        </w:tc>
        <w:tc>
          <w:tcPr>
            <w:tcW w:w="567" w:type="dxa"/>
            <w:tcBorders>
              <w:left w:val="nil"/>
              <w:bottom w:val="single" w:color="auto" w:sz="8" w:space="0"/>
              <w:right w:val="single" w:color="auto" w:sz="8" w:space="0"/>
            </w:tcBorders>
            <w:tcMar>
              <w:left w:w="108" w:type="dxa"/>
              <w:right w:w="108" w:type="dxa"/>
            </w:tcMar>
            <w:vAlign w:val="center"/>
          </w:tcPr>
          <w:p w14:paraId="7B013C20">
            <w:pPr>
              <w:widowControl/>
              <w:jc w:val="center"/>
            </w:pPr>
            <w:r>
              <w:rPr>
                <w:rFonts w:hint="eastAsia"/>
              </w:rPr>
              <w:t>0</w:t>
            </w:r>
          </w:p>
        </w:tc>
        <w:tc>
          <w:tcPr>
            <w:tcW w:w="567" w:type="dxa"/>
            <w:tcBorders>
              <w:left w:val="nil"/>
              <w:bottom w:val="single" w:color="auto" w:sz="8" w:space="0"/>
              <w:right w:val="single" w:color="auto" w:sz="8" w:space="0"/>
            </w:tcBorders>
            <w:tcMar>
              <w:left w:w="108" w:type="dxa"/>
              <w:right w:w="108" w:type="dxa"/>
            </w:tcMar>
            <w:vAlign w:val="center"/>
          </w:tcPr>
          <w:p w14:paraId="5F48E63B">
            <w:pPr>
              <w:widowControl/>
              <w:jc w:val="center"/>
            </w:pPr>
            <w:r>
              <w:rPr>
                <w:rFonts w:hint="eastAsia"/>
              </w:rPr>
              <w:t>0</w:t>
            </w:r>
          </w:p>
        </w:tc>
        <w:tc>
          <w:tcPr>
            <w:tcW w:w="540" w:type="dxa"/>
            <w:tcBorders>
              <w:left w:val="nil"/>
              <w:bottom w:val="single" w:color="auto" w:sz="8" w:space="0"/>
              <w:right w:val="single" w:color="auto" w:sz="8" w:space="0"/>
            </w:tcBorders>
            <w:tcMar>
              <w:left w:w="108" w:type="dxa"/>
              <w:right w:w="108" w:type="dxa"/>
            </w:tcMar>
            <w:vAlign w:val="center"/>
          </w:tcPr>
          <w:p w14:paraId="40D32F1A">
            <w:pPr>
              <w:widowControl/>
              <w:jc w:val="center"/>
            </w:pPr>
            <w:r>
              <w:rPr>
                <w:rFonts w:hint="eastAsia"/>
              </w:rPr>
              <w:t>0</w:t>
            </w:r>
            <w:bookmarkStart w:id="0" w:name="_GoBack"/>
            <w:bookmarkEnd w:id="0"/>
          </w:p>
        </w:tc>
        <w:tc>
          <w:tcPr>
            <w:tcW w:w="635" w:type="dxa"/>
            <w:tcBorders>
              <w:left w:val="nil"/>
              <w:bottom w:val="single" w:color="auto" w:sz="8" w:space="0"/>
              <w:right w:val="single" w:color="auto" w:sz="8" w:space="0"/>
            </w:tcBorders>
            <w:tcMar>
              <w:left w:w="108" w:type="dxa"/>
              <w:right w:w="108" w:type="dxa"/>
            </w:tcMar>
            <w:vAlign w:val="center"/>
          </w:tcPr>
          <w:p w14:paraId="3161CD9C">
            <w:pPr>
              <w:widowControl/>
              <w:jc w:val="center"/>
            </w:pPr>
            <w:r>
              <w:rPr>
                <w:rFonts w:hint="eastAsia"/>
              </w:rPr>
              <w:t>0</w:t>
            </w:r>
          </w:p>
        </w:tc>
      </w:tr>
      <w:tr w14:paraId="123F5B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DE0B788">
            <w:pPr>
              <w:rPr>
                <w:rFonts w:ascii="宋体"/>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14:paraId="5782EBB5">
            <w:pPr>
              <w:widowControl/>
              <w:spacing w:line="200" w:lineRule="exact"/>
            </w:pPr>
            <w:r>
              <w:rPr>
                <w:rFonts w:hint="eastAsia" w:ascii="楷体" w:hAnsi="楷体" w:eastAsia="楷体" w:cs="楷体"/>
                <w:kern w:val="0"/>
                <w:sz w:val="20"/>
                <w:szCs w:val="20"/>
              </w:rPr>
              <w:t>（七）总计</w:t>
            </w:r>
          </w:p>
        </w:tc>
        <w:tc>
          <w:tcPr>
            <w:tcW w:w="850" w:type="dxa"/>
            <w:tcBorders>
              <w:top w:val="nil"/>
              <w:left w:val="nil"/>
              <w:bottom w:val="single" w:color="auto" w:sz="8" w:space="0"/>
              <w:right w:val="single" w:color="auto" w:sz="8" w:space="0"/>
            </w:tcBorders>
            <w:tcMar>
              <w:left w:w="108" w:type="dxa"/>
              <w:right w:w="108" w:type="dxa"/>
            </w:tcMar>
            <w:vAlign w:val="center"/>
          </w:tcPr>
          <w:p w14:paraId="336E0546">
            <w:pPr>
              <w:widowControl/>
              <w:jc w:val="center"/>
              <w:rPr>
                <w:rFonts w:hint="eastAsia" w:eastAsia="宋体"/>
                <w:lang w:eastAsia="zh-CN"/>
              </w:rPr>
            </w:pPr>
            <w:r>
              <w:rPr>
                <w:rFonts w:hint="eastAsia"/>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14:paraId="0A2FF431">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1456968">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62573D5">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F9D8D25">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104FF921">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23F59995">
            <w:pPr>
              <w:widowControl/>
              <w:jc w:val="center"/>
              <w:rPr>
                <w:rFonts w:hint="eastAsia" w:eastAsia="宋体"/>
                <w:lang w:eastAsia="zh-CN"/>
              </w:rPr>
            </w:pPr>
            <w:r>
              <w:rPr>
                <w:rFonts w:hint="eastAsia"/>
                <w:lang w:val="en-US" w:eastAsia="zh-CN"/>
              </w:rPr>
              <w:t>1</w:t>
            </w:r>
          </w:p>
        </w:tc>
      </w:tr>
      <w:tr w14:paraId="1EABC5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145631C6">
            <w:pPr>
              <w:widowControl/>
            </w:pPr>
            <w:r>
              <w:rPr>
                <w:rFonts w:hint="eastAsia" w:ascii="宋体" w:hAnsi="宋体" w:cs="宋体"/>
                <w:kern w:val="0"/>
                <w:sz w:val="20"/>
                <w:szCs w:val="20"/>
              </w:rPr>
              <w:t>四、结转下年度继续办理</w:t>
            </w:r>
          </w:p>
        </w:tc>
        <w:tc>
          <w:tcPr>
            <w:tcW w:w="850" w:type="dxa"/>
            <w:tcBorders>
              <w:top w:val="nil"/>
              <w:left w:val="nil"/>
              <w:bottom w:val="single" w:color="auto" w:sz="8" w:space="0"/>
              <w:right w:val="single" w:color="auto" w:sz="8" w:space="0"/>
            </w:tcBorders>
            <w:tcMar>
              <w:left w:w="108" w:type="dxa"/>
              <w:right w:w="108" w:type="dxa"/>
            </w:tcMar>
            <w:vAlign w:val="center"/>
          </w:tcPr>
          <w:p w14:paraId="2514A3E6">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3F172B7">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F215EFA">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5325A9F">
            <w:pPr>
              <w:widowControl/>
              <w:jc w:val="center"/>
            </w:pPr>
            <w:r>
              <w:rPr>
                <w:rFonts w:hint="eastAsia"/>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F01DC5E">
            <w:pPr>
              <w:widowControl/>
              <w:jc w:val="center"/>
            </w:pPr>
            <w:r>
              <w:rPr>
                <w:rFonts w:hint="eastAsia"/>
              </w:rPr>
              <w:t>0</w:t>
            </w:r>
          </w:p>
        </w:tc>
        <w:tc>
          <w:tcPr>
            <w:tcW w:w="540" w:type="dxa"/>
            <w:tcBorders>
              <w:top w:val="nil"/>
              <w:left w:val="nil"/>
              <w:bottom w:val="single" w:color="auto" w:sz="8" w:space="0"/>
              <w:right w:val="single" w:color="auto" w:sz="8" w:space="0"/>
            </w:tcBorders>
            <w:tcMar>
              <w:left w:w="108" w:type="dxa"/>
              <w:right w:w="108" w:type="dxa"/>
            </w:tcMar>
            <w:vAlign w:val="center"/>
          </w:tcPr>
          <w:p w14:paraId="000FF8DB">
            <w:pPr>
              <w:widowControl/>
              <w:jc w:val="center"/>
            </w:pPr>
            <w:r>
              <w:rPr>
                <w:rFonts w:hint="eastAsia"/>
              </w:rPr>
              <w:t>0</w:t>
            </w:r>
          </w:p>
        </w:tc>
        <w:tc>
          <w:tcPr>
            <w:tcW w:w="635" w:type="dxa"/>
            <w:tcBorders>
              <w:top w:val="nil"/>
              <w:left w:val="nil"/>
              <w:bottom w:val="single" w:color="auto" w:sz="8" w:space="0"/>
              <w:right w:val="single" w:color="auto" w:sz="8" w:space="0"/>
            </w:tcBorders>
            <w:tcMar>
              <w:left w:w="108" w:type="dxa"/>
              <w:right w:w="108" w:type="dxa"/>
            </w:tcMar>
            <w:vAlign w:val="center"/>
          </w:tcPr>
          <w:p w14:paraId="08ABCEE0">
            <w:pPr>
              <w:widowControl/>
              <w:jc w:val="center"/>
              <w:rPr>
                <w:rFonts w:ascii="宋体"/>
                <w:sz w:val="24"/>
              </w:rPr>
            </w:pPr>
            <w:r>
              <w:rPr>
                <w:rFonts w:hint="eastAsia"/>
              </w:rPr>
              <w:t>0</w:t>
            </w:r>
          </w:p>
        </w:tc>
      </w:tr>
    </w:tbl>
    <w:p w14:paraId="6C1676FE">
      <w:pPr>
        <w:pStyle w:val="22"/>
        <w:spacing w:line="578" w:lineRule="exact"/>
        <w:ind w:firstLine="640" w:firstLineChars="200"/>
        <w:rPr>
          <w:rFonts w:ascii="仿宋_GB2312" w:hAnsi="ˎ̥" w:eastAsia="仿宋_GB2312"/>
          <w:kern w:val="0"/>
          <w:sz w:val="32"/>
          <w:szCs w:val="32"/>
          <w:lang w:val="en-US" w:eastAsia="zh-CN" w:bidi="ar-SA"/>
        </w:rPr>
      </w:pPr>
      <w:r>
        <w:rPr>
          <w:rFonts w:hint="eastAsia" w:ascii="黑体" w:hAnsi="黑体" w:eastAsia="黑体" w:cs="黑体"/>
          <w:kern w:val="0"/>
          <w:sz w:val="32"/>
          <w:szCs w:val="32"/>
          <w:lang w:val="en-US" w:eastAsia="zh-CN" w:bidi="ar-SA"/>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F1B90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70740A">
            <w:pPr>
              <w:widowControl/>
              <w:jc w:val="cente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3ECA2DA9">
            <w:pPr>
              <w:widowControl/>
              <w:jc w:val="center"/>
            </w:pPr>
            <w:r>
              <w:rPr>
                <w:rFonts w:hint="eastAsia" w:ascii="宋体" w:hAnsi="宋体" w:cs="宋体"/>
                <w:kern w:val="0"/>
                <w:sz w:val="20"/>
                <w:szCs w:val="20"/>
              </w:rPr>
              <w:t>行政诉讼</w:t>
            </w:r>
          </w:p>
        </w:tc>
      </w:tr>
      <w:tr w14:paraId="54EA8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B1D81F0">
            <w:pPr>
              <w:widowControl/>
              <w:ind w:left="-149" w:leftChars="-71" w:right="-170" w:rightChars="-81"/>
              <w:jc w:val="center"/>
              <w:rPr>
                <w:rFonts w:ascii="宋体" w:hAnsi="宋体" w:cs="宋体"/>
                <w:kern w:val="0"/>
                <w:sz w:val="20"/>
                <w:szCs w:val="20"/>
              </w:rPr>
            </w:pPr>
            <w:r>
              <w:rPr>
                <w:rFonts w:hint="eastAsia" w:ascii="宋体" w:hAnsi="宋体" w:cs="宋体"/>
                <w:kern w:val="0"/>
                <w:sz w:val="20"/>
                <w:szCs w:val="20"/>
              </w:rPr>
              <w:t>结果</w:t>
            </w:r>
          </w:p>
          <w:p w14:paraId="05AA6A9F">
            <w:pPr>
              <w:widowControl/>
              <w:ind w:left="-149" w:leftChars="-71" w:right="-170" w:rightChars="-81"/>
              <w:jc w:val="center"/>
            </w:pPr>
            <w:r>
              <w:rPr>
                <w:rFonts w:hint="eastAsia" w:ascii="宋体" w:hAnsi="宋体" w:cs="宋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31B975ED">
            <w:pPr>
              <w:widowControl/>
              <w:ind w:left="-43" w:leftChars="-21" w:right="-132" w:rightChars="-63" w:hanging="1"/>
              <w:jc w:val="cente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73FD53D4">
            <w:pPr>
              <w:widowControl/>
              <w:ind w:left="-82" w:leftChars="-39" w:right="-97" w:rightChars="-46"/>
              <w:jc w:val="cente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68F2701E">
            <w:pPr>
              <w:widowControl/>
              <w:ind w:left="-118" w:leftChars="-56" w:right="-118" w:rightChars="-56"/>
              <w:jc w:val="center"/>
              <w:rPr>
                <w:rFonts w:ascii="宋体" w:hAnsi="宋体" w:cs="宋体"/>
                <w:kern w:val="0"/>
                <w:sz w:val="20"/>
                <w:szCs w:val="20"/>
              </w:rPr>
            </w:pPr>
            <w:r>
              <w:rPr>
                <w:rFonts w:hint="eastAsia" w:ascii="宋体" w:hAnsi="宋体" w:cs="宋体"/>
                <w:kern w:val="0"/>
                <w:sz w:val="20"/>
                <w:szCs w:val="20"/>
              </w:rPr>
              <w:t>尚未</w:t>
            </w:r>
          </w:p>
          <w:p w14:paraId="3E0BAC41">
            <w:pPr>
              <w:widowControl/>
              <w:ind w:left="-118" w:leftChars="-56" w:right="-118" w:rightChars="-56"/>
              <w:jc w:val="center"/>
            </w:pPr>
            <w:r>
              <w:rPr>
                <w:rFonts w:hint="eastAsia" w:ascii="宋体" w:hAnsi="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59F9C525">
            <w:pPr>
              <w:widowControl/>
              <w:spacing w:line="320" w:lineRule="exact"/>
              <w:jc w:val="center"/>
              <w:rPr>
                <w:rFonts w:ascii="宋体" w:hAnsi="宋体" w:cs="宋体"/>
                <w:kern w:val="0"/>
                <w:sz w:val="20"/>
                <w:szCs w:val="20"/>
              </w:rPr>
            </w:pPr>
            <w:r>
              <w:rPr>
                <w:rFonts w:hint="eastAsia" w:ascii="宋体" w:hAnsi="宋体" w:cs="宋体"/>
                <w:kern w:val="0"/>
                <w:sz w:val="20"/>
                <w:szCs w:val="20"/>
              </w:rPr>
              <w:t>总</w:t>
            </w:r>
          </w:p>
          <w:p w14:paraId="1A5D40C7">
            <w:pPr>
              <w:widowControl/>
              <w:spacing w:line="320" w:lineRule="exact"/>
              <w:jc w:val="center"/>
            </w:pPr>
            <w:r>
              <w:rPr>
                <w:rFonts w:hint="eastAsia" w:ascii="宋体" w:hAnsi="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250E3266">
            <w:pPr>
              <w:widowControl/>
              <w:jc w:val="cente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546D37C3">
            <w:pPr>
              <w:widowControl/>
              <w:jc w:val="center"/>
            </w:pPr>
            <w:r>
              <w:rPr>
                <w:rFonts w:hint="eastAsia" w:ascii="宋体" w:hAnsi="宋体" w:cs="宋体"/>
                <w:kern w:val="0"/>
                <w:sz w:val="20"/>
                <w:szCs w:val="20"/>
              </w:rPr>
              <w:t>复议后起诉</w:t>
            </w:r>
          </w:p>
        </w:tc>
      </w:tr>
      <w:tr w14:paraId="706D40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045D9B1">
            <w:pPr>
              <w:rPr>
                <w:rFonts w:ascii="宋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2C79A9A4">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32F4433E">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5CC2ED24">
            <w:pPr>
              <w:rPr>
                <w:rFonts w:ascii="宋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06CB32B">
            <w:pPr>
              <w:rPr>
                <w:rFonts w:ascii="宋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02D52B17">
            <w:pPr>
              <w:widowControl/>
              <w:ind w:left="-105" w:leftChars="-50" w:right="-126" w:rightChars="-60"/>
              <w:jc w:val="cente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2F9F7F49">
            <w:pPr>
              <w:widowControl/>
              <w:ind w:left="-86" w:leftChars="-41" w:right="-88" w:rightChars="-42"/>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0B83117A">
            <w:pPr>
              <w:widowControl/>
              <w:ind w:left="-126" w:leftChars="-60" w:right="-136" w:rightChars="-65"/>
              <w:jc w:val="center"/>
              <w:rPr>
                <w:rFonts w:ascii="宋体" w:hAnsi="宋体" w:cs="宋体"/>
                <w:kern w:val="0"/>
                <w:sz w:val="20"/>
                <w:szCs w:val="20"/>
              </w:rPr>
            </w:pPr>
            <w:r>
              <w:rPr>
                <w:rFonts w:hint="eastAsia" w:ascii="宋体" w:hAnsi="宋体" w:cs="宋体"/>
                <w:kern w:val="0"/>
                <w:sz w:val="20"/>
                <w:szCs w:val="20"/>
              </w:rPr>
              <w:t>其他</w:t>
            </w:r>
          </w:p>
          <w:p w14:paraId="6E1D6507">
            <w:pPr>
              <w:widowControl/>
              <w:ind w:left="-126" w:leftChars="-60" w:right="-136" w:rightChars="-65"/>
              <w:jc w:val="center"/>
            </w:pPr>
            <w:r>
              <w:rPr>
                <w:rFonts w:hint="eastAsia" w:ascii="宋体" w:hAnsi="宋体" w:cs="宋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6CDF73C9">
            <w:pPr>
              <w:widowControl/>
              <w:ind w:left="-164" w:leftChars="-78" w:right="-153" w:rightChars="-73"/>
              <w:jc w:val="center"/>
              <w:rPr>
                <w:rFonts w:ascii="宋体" w:hAnsi="宋体" w:cs="宋体"/>
                <w:kern w:val="0"/>
                <w:sz w:val="20"/>
                <w:szCs w:val="20"/>
              </w:rPr>
            </w:pPr>
            <w:r>
              <w:rPr>
                <w:rFonts w:hint="eastAsia" w:ascii="宋体" w:hAnsi="宋体" w:cs="宋体"/>
                <w:kern w:val="0"/>
                <w:sz w:val="20"/>
                <w:szCs w:val="20"/>
              </w:rPr>
              <w:t>尚未</w:t>
            </w:r>
          </w:p>
          <w:p w14:paraId="3FE079B3">
            <w:pPr>
              <w:widowControl/>
              <w:ind w:left="-164" w:leftChars="-78" w:right="-153" w:rightChars="-73"/>
              <w:jc w:val="center"/>
            </w:pPr>
            <w:r>
              <w:rPr>
                <w:rFonts w:hint="eastAsia" w:ascii="宋体" w:hAnsi="宋体" w:cs="宋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8457958">
            <w:pPr>
              <w:widowControl/>
              <w:jc w:val="cente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678FCD61">
            <w:pPr>
              <w:widowControl/>
              <w:ind w:left="-99" w:leftChars="-47" w:right="-78" w:rightChars="-37"/>
              <w:jc w:val="cente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02B02D52">
            <w:pPr>
              <w:widowControl/>
              <w:ind w:left="-136" w:leftChars="-65" w:right="-124" w:rightChars="-59"/>
              <w:jc w:val="center"/>
              <w:rPr>
                <w:rFonts w:ascii="宋体" w:hAnsi="宋体" w:cs="宋体"/>
                <w:kern w:val="0"/>
                <w:sz w:val="20"/>
                <w:szCs w:val="20"/>
              </w:rPr>
            </w:pPr>
            <w:r>
              <w:rPr>
                <w:rFonts w:hint="eastAsia" w:ascii="宋体" w:hAnsi="宋体" w:cs="宋体"/>
                <w:kern w:val="0"/>
                <w:sz w:val="20"/>
                <w:szCs w:val="20"/>
              </w:rPr>
              <w:t>结果</w:t>
            </w:r>
          </w:p>
          <w:p w14:paraId="5B024FF2">
            <w:pPr>
              <w:widowControl/>
              <w:ind w:left="-136" w:leftChars="-65" w:right="-124" w:rightChars="-59"/>
              <w:jc w:val="center"/>
            </w:pPr>
            <w:r>
              <w:rPr>
                <w:rFonts w:hint="eastAsia" w:ascii="宋体" w:hAnsi="宋体" w:cs="宋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B3C060F">
            <w:pPr>
              <w:widowControl/>
              <w:ind w:left="-173" w:leftChars="-83" w:right="-134" w:rightChars="-64" w:hanging="1"/>
              <w:jc w:val="center"/>
              <w:rPr>
                <w:rFonts w:ascii="宋体" w:hAnsi="宋体" w:cs="宋体"/>
                <w:color w:val="000000"/>
                <w:kern w:val="0"/>
                <w:sz w:val="20"/>
                <w:szCs w:val="20"/>
              </w:rPr>
            </w:pPr>
            <w:r>
              <w:rPr>
                <w:rFonts w:hint="eastAsia" w:ascii="宋体" w:hAnsi="宋体" w:cs="宋体"/>
                <w:color w:val="000000"/>
                <w:kern w:val="0"/>
                <w:sz w:val="20"/>
                <w:szCs w:val="20"/>
              </w:rPr>
              <w:t>其他</w:t>
            </w:r>
          </w:p>
          <w:p w14:paraId="573E93D3">
            <w:pPr>
              <w:widowControl/>
              <w:ind w:left="-173" w:leftChars="-83" w:right="-134" w:rightChars="-64" w:hanging="1"/>
              <w:jc w:val="center"/>
            </w:pPr>
            <w:r>
              <w:rPr>
                <w:rFonts w:hint="eastAsia" w:ascii="宋体" w:hAnsi="宋体" w:cs="宋体"/>
                <w:color w:val="000000"/>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0EA64B37">
            <w:pPr>
              <w:widowControl/>
              <w:ind w:left="-67" w:leftChars="-33" w:right="-105" w:rightChars="-50" w:hanging="2" w:hangingChars="1"/>
              <w:jc w:val="cente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4C85321E">
            <w:pPr>
              <w:widowControl/>
              <w:jc w:val="center"/>
            </w:pPr>
            <w:r>
              <w:rPr>
                <w:rFonts w:hint="eastAsia" w:ascii="宋体" w:hAnsi="宋体" w:cs="宋体"/>
                <w:color w:val="000000"/>
                <w:kern w:val="0"/>
                <w:sz w:val="20"/>
                <w:szCs w:val="20"/>
              </w:rPr>
              <w:t>总计</w:t>
            </w:r>
          </w:p>
        </w:tc>
      </w:tr>
      <w:tr w14:paraId="492E7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51E142D8">
            <w:pPr>
              <w:widowControl/>
              <w:spacing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4A7086E7">
            <w:pPr>
              <w:widowControl/>
              <w:spacing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3180B9A7">
            <w:pPr>
              <w:widowControl/>
              <w:spacing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2EB008A8">
            <w:pPr>
              <w:widowControl/>
              <w:spacing w:beforeLines="50" w:after="180"/>
              <w:jc w:val="center"/>
            </w:pPr>
            <w:r>
              <w:rPr>
                <w:rFonts w:hint="eastAsia"/>
              </w:rPr>
              <w:t>0</w:t>
            </w:r>
          </w:p>
        </w:tc>
        <w:tc>
          <w:tcPr>
            <w:tcW w:w="658" w:type="dxa"/>
            <w:tcBorders>
              <w:top w:val="nil"/>
              <w:left w:val="nil"/>
              <w:bottom w:val="single" w:color="auto" w:sz="8" w:space="0"/>
              <w:right w:val="single" w:color="auto" w:sz="8" w:space="0"/>
            </w:tcBorders>
            <w:tcMar>
              <w:left w:w="108" w:type="dxa"/>
              <w:right w:w="108" w:type="dxa"/>
            </w:tcMar>
            <w:vAlign w:val="center"/>
          </w:tcPr>
          <w:p w14:paraId="0AB932E3">
            <w:pPr>
              <w:widowControl/>
              <w:spacing w:beforeLines="50" w:after="180"/>
              <w:jc w:val="center"/>
            </w:pPr>
            <w:r>
              <w:rPr>
                <w:rFonts w:hint="eastAsia"/>
              </w:rPr>
              <w:t>0</w:t>
            </w:r>
          </w:p>
        </w:tc>
        <w:tc>
          <w:tcPr>
            <w:tcW w:w="550" w:type="dxa"/>
            <w:tcBorders>
              <w:top w:val="nil"/>
              <w:left w:val="nil"/>
              <w:bottom w:val="single" w:color="auto" w:sz="8" w:space="0"/>
              <w:right w:val="single" w:color="auto" w:sz="8" w:space="0"/>
            </w:tcBorders>
            <w:tcMar>
              <w:left w:w="108" w:type="dxa"/>
              <w:right w:w="108" w:type="dxa"/>
            </w:tcMar>
            <w:vAlign w:val="center"/>
          </w:tcPr>
          <w:p w14:paraId="1C0F1DA1">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1BD23D58">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6ACBF22">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092798AD">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676DDD2E">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B1C3924">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3D099BB2">
            <w:pPr>
              <w:widowControl/>
              <w:spacing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493C116B">
            <w:pPr>
              <w:widowControl/>
              <w:spacing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5159C3B1">
            <w:pPr>
              <w:widowControl/>
              <w:spacing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42057624">
            <w:pPr>
              <w:jc w:val="center"/>
              <w:rPr>
                <w:rFonts w:ascii="宋体"/>
                <w:sz w:val="24"/>
              </w:rPr>
            </w:pPr>
            <w:r>
              <w:rPr>
                <w:rFonts w:hint="eastAsia"/>
              </w:rPr>
              <w:t>0</w:t>
            </w:r>
          </w:p>
        </w:tc>
      </w:tr>
    </w:tbl>
    <w:p w14:paraId="2119DD0F">
      <w:pPr>
        <w:pStyle w:val="7"/>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jc w:val="both"/>
        <w:textAlignment w:val="auto"/>
        <w:rPr>
          <w:rFonts w:ascii="宋体" w:hAnsi="宋体" w:cs="宋体"/>
          <w:b w:val="0"/>
          <w:bCs w:val="0"/>
          <w:color w:val="auto"/>
          <w:szCs w:val="24"/>
        </w:rPr>
      </w:pPr>
      <w:r>
        <w:rPr>
          <w:rFonts w:hint="eastAsia" w:ascii="黑体" w:hAnsi="宋体" w:eastAsia="黑体" w:cs="黑体"/>
          <w:b w:val="0"/>
          <w:bCs w:val="0"/>
          <w:color w:val="auto"/>
          <w:sz w:val="32"/>
          <w:szCs w:val="32"/>
        </w:rPr>
        <w:t>五、存在的主要问题及改进情况</w:t>
      </w:r>
    </w:p>
    <w:p w14:paraId="0D52E23D">
      <w:pPr>
        <w:keepNext w:val="0"/>
        <w:keepLines w:val="0"/>
        <w:pageBreakBefore w:val="0"/>
        <w:widowControl/>
        <w:kinsoku/>
        <w:wordWrap/>
        <w:overflowPunct/>
        <w:topLinePunct w:val="0"/>
        <w:autoSpaceDE/>
        <w:autoSpaceDN/>
        <w:bidi w:val="0"/>
        <w:adjustRightInd/>
        <w:snapToGrid/>
        <w:spacing w:line="578" w:lineRule="exact"/>
        <w:ind w:firstLine="643"/>
        <w:jc w:val="left"/>
        <w:textAlignment w:val="auto"/>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kern w:val="0"/>
          <w:sz w:val="32"/>
          <w:szCs w:val="32"/>
        </w:rPr>
        <w:t>（一）202</w:t>
      </w:r>
      <w:r>
        <w:rPr>
          <w:rFonts w:hint="eastAsia" w:ascii="楷体_GB2312" w:hAnsi="楷体_GB2312" w:eastAsia="楷体_GB2312" w:cs="楷体_GB2312"/>
          <w:b w:val="0"/>
          <w:bCs w:val="0"/>
          <w:color w:val="auto"/>
          <w:kern w:val="0"/>
          <w:sz w:val="32"/>
          <w:szCs w:val="32"/>
          <w:lang w:val="en-US" w:eastAsia="zh-CN"/>
        </w:rPr>
        <w:t>3</w:t>
      </w:r>
      <w:r>
        <w:rPr>
          <w:rFonts w:hint="eastAsia" w:ascii="楷体_GB2312" w:hAnsi="楷体_GB2312" w:eastAsia="楷体_GB2312" w:cs="楷体_GB2312"/>
          <w:b w:val="0"/>
          <w:bCs w:val="0"/>
          <w:color w:val="auto"/>
          <w:kern w:val="0"/>
          <w:sz w:val="32"/>
          <w:szCs w:val="32"/>
        </w:rPr>
        <w:t>年问题整改情况。</w:t>
      </w:r>
    </w:p>
    <w:p w14:paraId="427F07AE">
      <w:pPr>
        <w:keepNext w:val="0"/>
        <w:keepLines w:val="0"/>
        <w:pageBreakBefore w:val="0"/>
        <w:widowControl/>
        <w:kinsoku/>
        <w:wordWrap/>
        <w:overflowPunct/>
        <w:topLinePunct w:val="0"/>
        <w:autoSpaceDE/>
        <w:autoSpaceDN/>
        <w:bidi w:val="0"/>
        <w:adjustRightInd/>
        <w:snapToGrid/>
        <w:spacing w:line="578" w:lineRule="exact"/>
        <w:ind w:firstLine="643"/>
        <w:jc w:val="left"/>
        <w:textAlignment w:val="auto"/>
        <w:rPr>
          <w:rFonts w:ascii="仿宋_GB2312" w:hAnsi="宋体"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宋体" w:eastAsia="仿宋_GB2312" w:cs="仿宋_GB2312"/>
          <w:b w:val="0"/>
          <w:bCs w:val="0"/>
          <w:i w:val="0"/>
          <w:iCs w:val="0"/>
          <w:caps w:val="0"/>
          <w:color w:val="auto"/>
          <w:spacing w:val="0"/>
          <w:sz w:val="32"/>
          <w:szCs w:val="32"/>
          <w:shd w:val="clear" w:fill="FFFFFF"/>
          <w:lang w:val="en-US" w:eastAsia="zh-CN"/>
        </w:rPr>
        <w:t>一是</w:t>
      </w:r>
      <w:r>
        <w:rPr>
          <w:rFonts w:ascii="仿宋_GB2312" w:hAnsi="宋体" w:eastAsia="仿宋_GB2312" w:cs="仿宋_GB2312"/>
          <w:b w:val="0"/>
          <w:bCs w:val="0"/>
          <w:i w:val="0"/>
          <w:iCs w:val="0"/>
          <w:caps w:val="0"/>
          <w:color w:val="auto"/>
          <w:spacing w:val="0"/>
          <w:sz w:val="32"/>
          <w:szCs w:val="32"/>
          <w:shd w:val="clear" w:fill="FFFFFF"/>
        </w:rPr>
        <w:t>健全和完善政府信息公开各项制度机制</w:t>
      </w:r>
      <w:r>
        <w:rPr>
          <w:rFonts w:hint="eastAsia" w:ascii="仿宋_GB2312" w:hAnsi="宋体" w:eastAsia="仿宋_GB2312" w:cs="仿宋_GB2312"/>
          <w:b w:val="0"/>
          <w:bCs w:val="0"/>
          <w:i w:val="0"/>
          <w:iCs w:val="0"/>
          <w:caps w:val="0"/>
          <w:color w:val="auto"/>
          <w:spacing w:val="0"/>
          <w:sz w:val="32"/>
          <w:szCs w:val="32"/>
          <w:shd w:val="clear" w:fill="FFFFFF"/>
          <w:lang w:eastAsia="zh-CN"/>
        </w:rPr>
        <w:t>。</w:t>
      </w:r>
      <w:r>
        <w:rPr>
          <w:rFonts w:ascii="仿宋_GB2312" w:hAnsi="宋体" w:eastAsia="仿宋_GB2312" w:cs="仿宋_GB2312"/>
          <w:b w:val="0"/>
          <w:bCs w:val="0"/>
          <w:i w:val="0"/>
          <w:iCs w:val="0"/>
          <w:caps w:val="0"/>
          <w:color w:val="auto"/>
          <w:spacing w:val="0"/>
          <w:sz w:val="32"/>
          <w:szCs w:val="32"/>
          <w:shd w:val="clear" w:fill="FFFFFF"/>
        </w:rPr>
        <w:t>拓展和深化</w:t>
      </w:r>
      <w:r>
        <w:rPr>
          <w:rFonts w:hint="eastAsia" w:ascii="仿宋_GB2312" w:hAnsi="宋体" w:eastAsia="仿宋_GB2312" w:cs="仿宋_GB2312"/>
          <w:b w:val="0"/>
          <w:bCs w:val="0"/>
          <w:i w:val="0"/>
          <w:iCs w:val="0"/>
          <w:caps w:val="0"/>
          <w:color w:val="auto"/>
          <w:spacing w:val="0"/>
          <w:sz w:val="32"/>
          <w:szCs w:val="32"/>
          <w:shd w:val="clear" w:fill="FFFFFF"/>
          <w:lang w:val="en-US" w:eastAsia="zh-CN"/>
        </w:rPr>
        <w:t>交通运输</w:t>
      </w:r>
      <w:r>
        <w:rPr>
          <w:rFonts w:ascii="仿宋_GB2312" w:hAnsi="宋体" w:eastAsia="仿宋_GB2312" w:cs="仿宋_GB2312"/>
          <w:b w:val="0"/>
          <w:bCs w:val="0"/>
          <w:i w:val="0"/>
          <w:iCs w:val="0"/>
          <w:caps w:val="0"/>
          <w:color w:val="auto"/>
          <w:spacing w:val="0"/>
          <w:sz w:val="32"/>
          <w:szCs w:val="32"/>
          <w:shd w:val="clear" w:fill="FFFFFF"/>
        </w:rPr>
        <w:t>领域政府信息公开的内容和范围，及时更新目录内容</w:t>
      </w:r>
      <w:r>
        <w:rPr>
          <w:rFonts w:hint="eastAsia" w:ascii="仿宋_GB2312" w:hAnsi="宋体" w:eastAsia="仿宋_GB2312" w:cs="仿宋_GB2312"/>
          <w:b w:val="0"/>
          <w:bCs w:val="0"/>
          <w:i w:val="0"/>
          <w:iCs w:val="0"/>
          <w:caps w:val="0"/>
          <w:color w:val="auto"/>
          <w:spacing w:val="0"/>
          <w:sz w:val="32"/>
          <w:szCs w:val="32"/>
          <w:shd w:val="clear" w:fill="FFFFFF"/>
          <w:lang w:eastAsia="zh-CN"/>
        </w:rPr>
        <w:t>，</w:t>
      </w:r>
      <w:r>
        <w:rPr>
          <w:rFonts w:ascii="仿宋_GB2312" w:hAnsi="宋体" w:eastAsia="仿宋_GB2312" w:cs="仿宋_GB2312"/>
          <w:b w:val="0"/>
          <w:bCs w:val="0"/>
          <w:i w:val="0"/>
          <w:iCs w:val="0"/>
          <w:caps w:val="0"/>
          <w:color w:val="auto"/>
          <w:spacing w:val="0"/>
          <w:sz w:val="32"/>
          <w:szCs w:val="32"/>
          <w:shd w:val="clear" w:fill="FFFFFF"/>
        </w:rPr>
        <w:t>规范信息公开流程。</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二是</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强化政务公开工作制度建设。不断规范工作程序，创新工作方式，使政务公开工作在制度化、规范化方面有新的突破。</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三是提高政务公开工作人员素质。加强</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政务公开工作人员及责任科室的指导和政策理论学习</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，提高其业务水平和责任意识，确保政务公开工作的有效开展。</w:t>
      </w:r>
    </w:p>
    <w:p w14:paraId="0B2D040C">
      <w:pPr>
        <w:keepNext w:val="0"/>
        <w:keepLines w:val="0"/>
        <w:pageBreakBefore w:val="0"/>
        <w:widowControl/>
        <w:kinsoku/>
        <w:wordWrap/>
        <w:overflowPunct/>
        <w:topLinePunct w:val="0"/>
        <w:autoSpaceDE/>
        <w:autoSpaceDN/>
        <w:bidi w:val="0"/>
        <w:adjustRightInd/>
        <w:snapToGrid/>
        <w:spacing w:line="578" w:lineRule="exact"/>
        <w:ind w:firstLine="643"/>
        <w:jc w:val="left"/>
        <w:textAlignment w:val="auto"/>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kern w:val="0"/>
          <w:sz w:val="32"/>
          <w:szCs w:val="32"/>
        </w:rPr>
        <w:t>（二）202</w:t>
      </w:r>
      <w:r>
        <w:rPr>
          <w:rFonts w:hint="eastAsia" w:ascii="楷体_GB2312" w:hAnsi="楷体_GB2312" w:eastAsia="楷体_GB2312" w:cs="楷体_GB2312"/>
          <w:b w:val="0"/>
          <w:bCs w:val="0"/>
          <w:color w:val="auto"/>
          <w:kern w:val="0"/>
          <w:sz w:val="32"/>
          <w:szCs w:val="32"/>
          <w:lang w:val="en-US" w:eastAsia="zh-CN"/>
        </w:rPr>
        <w:t>4</w:t>
      </w:r>
      <w:r>
        <w:rPr>
          <w:rFonts w:hint="eastAsia" w:ascii="楷体_GB2312" w:hAnsi="楷体_GB2312" w:eastAsia="楷体_GB2312" w:cs="楷体_GB2312"/>
          <w:b w:val="0"/>
          <w:bCs w:val="0"/>
          <w:color w:val="auto"/>
          <w:kern w:val="0"/>
          <w:sz w:val="32"/>
          <w:szCs w:val="32"/>
        </w:rPr>
        <w:t>年存在的主要问题。</w:t>
      </w:r>
    </w:p>
    <w:p w14:paraId="2D29225A">
      <w:pPr>
        <w:keepNext w:val="0"/>
        <w:keepLines w:val="0"/>
        <w:pageBreakBefore w:val="0"/>
        <w:widowControl/>
        <w:kinsoku/>
        <w:wordWrap/>
        <w:overflowPunct/>
        <w:topLinePunct w:val="0"/>
        <w:autoSpaceDE/>
        <w:autoSpaceDN/>
        <w:bidi w:val="0"/>
        <w:adjustRightInd/>
        <w:snapToGrid/>
        <w:spacing w:line="578" w:lineRule="exact"/>
        <w:ind w:firstLine="643"/>
        <w:jc w:val="left"/>
        <w:textAlignment w:val="auto"/>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pP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202</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4年，我局政府信息公开工作总体平稳有序，但同时也存在一些不足。一是参与度不足。</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政府信息公开活动业务科室参与度</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不高</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，活动开展范围有限</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。二是创新性不足。</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政策解读形式不够丰富，回应方式单一</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三是</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协调性不足。</w:t>
      </w:r>
      <w:r>
        <w:rPr>
          <w:rFonts w:ascii="仿宋_GB2312" w:hAnsi="宋体" w:eastAsia="仿宋_GB2312" w:cs="仿宋_GB2312"/>
          <w:b w:val="0"/>
          <w:bCs w:val="0"/>
          <w:i w:val="0"/>
          <w:iCs w:val="0"/>
          <w:caps w:val="0"/>
          <w:color w:val="auto"/>
          <w:spacing w:val="0"/>
          <w:kern w:val="2"/>
          <w:sz w:val="32"/>
          <w:szCs w:val="32"/>
          <w:shd w:val="clear" w:fill="FFFFFF"/>
          <w:lang w:val="en-US" w:eastAsia="zh-CN" w:bidi="ar-SA"/>
        </w:rPr>
        <w:t>信息公开协调组织较为松散</w:t>
      </w: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w:t>
      </w:r>
    </w:p>
    <w:p w14:paraId="15E178B7">
      <w:pPr>
        <w:keepNext w:val="0"/>
        <w:keepLines w:val="0"/>
        <w:pageBreakBefore w:val="0"/>
        <w:widowControl/>
        <w:kinsoku/>
        <w:wordWrap/>
        <w:overflowPunct/>
        <w:topLinePunct w:val="0"/>
        <w:autoSpaceDE/>
        <w:autoSpaceDN/>
        <w:bidi w:val="0"/>
        <w:adjustRightInd/>
        <w:snapToGrid/>
        <w:spacing w:line="578" w:lineRule="exact"/>
        <w:ind w:firstLine="643"/>
        <w:jc w:val="left"/>
        <w:textAlignment w:val="auto"/>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kern w:val="0"/>
          <w:sz w:val="32"/>
          <w:szCs w:val="32"/>
        </w:rPr>
        <w:t>（三）整改措施。</w:t>
      </w:r>
    </w:p>
    <w:p w14:paraId="326873DD">
      <w:pPr>
        <w:pStyle w:val="7"/>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jc w:val="both"/>
        <w:textAlignment w:val="auto"/>
        <w:rPr>
          <w:rFonts w:ascii="Arial" w:hAnsi="Arial" w:eastAsia="宋体" w:cs="Arial"/>
          <w:i w:val="0"/>
          <w:iCs w:val="0"/>
          <w:caps w:val="0"/>
          <w:color w:val="000000"/>
          <w:spacing w:val="0"/>
          <w:sz w:val="24"/>
          <w:szCs w:val="24"/>
        </w:rPr>
      </w:pPr>
      <w:r>
        <w:rPr>
          <w:rFonts w:hint="eastAsia" w:ascii="仿宋_GB2312" w:hAnsi="宋体" w:eastAsia="仿宋_GB2312" w:cs="仿宋_GB2312"/>
          <w:b w:val="0"/>
          <w:bCs w:val="0"/>
          <w:i w:val="0"/>
          <w:iCs w:val="0"/>
          <w:caps w:val="0"/>
          <w:color w:val="auto"/>
          <w:spacing w:val="0"/>
          <w:kern w:val="2"/>
          <w:sz w:val="32"/>
          <w:szCs w:val="32"/>
          <w:shd w:val="clear" w:fill="FFFFFF"/>
          <w:lang w:val="en-US" w:eastAsia="zh-CN" w:bidi="ar-SA"/>
        </w:rPr>
        <w:t>一是实行科室联络员机制。广泛发动、充分调动各业务科室积极性，推行联络员工作模式，将日常工作与信息公开工作紧密结合，强化内设科室信息发布的主体责任意识。二是创新工作方式。规范工作程序，使政务公开工作在制度化、规范化方面有新的突破。三是完善信息公开协调机制。全面推动交通领域信息公开工作，落实执法事前、事中、事后全链条公开制度。</w:t>
      </w:r>
    </w:p>
    <w:p w14:paraId="163BA5D0">
      <w:pPr>
        <w:pStyle w:val="7"/>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jc w:val="both"/>
        <w:textAlignment w:val="auto"/>
        <w:rPr>
          <w:rFonts w:ascii="宋体" w:hAnsi="宋体" w:cs="宋体"/>
          <w:b w:val="0"/>
          <w:bCs w:val="0"/>
          <w:color w:val="auto"/>
          <w:szCs w:val="24"/>
        </w:rPr>
      </w:pPr>
      <w:r>
        <w:rPr>
          <w:rFonts w:hint="eastAsia" w:ascii="黑体" w:hAnsi="宋体" w:eastAsia="黑体" w:cs="黑体"/>
          <w:b w:val="0"/>
          <w:bCs w:val="0"/>
          <w:color w:val="auto"/>
          <w:sz w:val="32"/>
          <w:szCs w:val="32"/>
          <w:lang w:val="en-US" w:eastAsia="zh-CN"/>
        </w:rPr>
        <w:t>六、</w:t>
      </w:r>
      <w:r>
        <w:rPr>
          <w:rFonts w:hint="eastAsia" w:ascii="黑体" w:hAnsi="宋体" w:eastAsia="黑体" w:cs="黑体"/>
          <w:b w:val="0"/>
          <w:bCs w:val="0"/>
          <w:color w:val="auto"/>
          <w:sz w:val="32"/>
          <w:szCs w:val="32"/>
        </w:rPr>
        <w:t>其他需要报告的事项</w:t>
      </w:r>
    </w:p>
    <w:p w14:paraId="43112129">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ascii="宋体" w:hAnsi="宋体" w:cs="宋体"/>
          <w:b w:val="0"/>
          <w:bCs w:val="0"/>
          <w:color w:val="auto"/>
          <w:kern w:val="0"/>
          <w:sz w:val="24"/>
          <w:szCs w:val="24"/>
        </w:rPr>
      </w:pPr>
      <w:r>
        <w:rPr>
          <w:rFonts w:hint="eastAsia" w:ascii="楷体_GB2312" w:hAnsi="宋体" w:eastAsia="楷体_GB2312" w:cs="宋体"/>
          <w:b w:val="0"/>
          <w:bCs w:val="0"/>
          <w:color w:val="auto"/>
          <w:kern w:val="0"/>
          <w:sz w:val="32"/>
          <w:szCs w:val="32"/>
        </w:rPr>
        <w:t>（一）收取信息处理费情况。</w:t>
      </w:r>
      <w:r>
        <w:rPr>
          <w:rFonts w:hint="eastAsia" w:ascii="仿宋_GB2312" w:hAnsi="宋体" w:eastAsia="仿宋_GB2312" w:cs="宋体"/>
          <w:b w:val="0"/>
          <w:bCs w:val="0"/>
          <w:color w:val="auto"/>
          <w:kern w:val="0"/>
          <w:sz w:val="32"/>
          <w:szCs w:val="32"/>
        </w:rPr>
        <w:t>202</w:t>
      </w:r>
      <w:r>
        <w:rPr>
          <w:rFonts w:hint="eastAsia" w:ascii="仿宋_GB2312" w:hAnsi="宋体" w:eastAsia="仿宋_GB2312" w:cs="宋体"/>
          <w:b w:val="0"/>
          <w:bCs w:val="0"/>
          <w:color w:val="auto"/>
          <w:kern w:val="0"/>
          <w:sz w:val="32"/>
          <w:szCs w:val="32"/>
          <w:lang w:val="en-US" w:eastAsia="zh-CN"/>
        </w:rPr>
        <w:t>4</w:t>
      </w:r>
      <w:r>
        <w:rPr>
          <w:rFonts w:hint="eastAsia" w:ascii="仿宋_GB2312" w:hAnsi="宋体" w:eastAsia="仿宋_GB2312" w:cs="宋体"/>
          <w:b w:val="0"/>
          <w:bCs w:val="0"/>
          <w:color w:val="auto"/>
          <w:kern w:val="0"/>
          <w:sz w:val="32"/>
          <w:szCs w:val="32"/>
        </w:rPr>
        <w:t>年，县交通运输局未收取任何政府信息公开信息处理费。</w:t>
      </w:r>
    </w:p>
    <w:p w14:paraId="543E9FB2">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仿宋_GB2312" w:hAnsi="宋体" w:eastAsia="仿宋_GB2312" w:cs="宋体"/>
          <w:b w:val="0"/>
          <w:bCs w:val="0"/>
          <w:color w:val="auto"/>
          <w:kern w:val="0"/>
          <w:sz w:val="32"/>
          <w:szCs w:val="32"/>
        </w:rPr>
      </w:pPr>
      <w:r>
        <w:rPr>
          <w:rFonts w:hint="eastAsia" w:ascii="楷体_GB2312" w:hAnsi="宋体" w:eastAsia="楷体_GB2312" w:cs="宋体"/>
          <w:b w:val="0"/>
          <w:bCs w:val="0"/>
          <w:color w:val="auto"/>
          <w:kern w:val="0"/>
          <w:sz w:val="32"/>
          <w:szCs w:val="32"/>
        </w:rPr>
        <w:t>（二）上级年度政务公开工作要点落实情况。</w:t>
      </w:r>
      <w:r>
        <w:rPr>
          <w:rFonts w:ascii="仿宋_GB2312" w:hAnsi="宋体" w:eastAsia="仿宋_GB2312" w:cs="仿宋_GB2312"/>
          <w:i w:val="0"/>
          <w:iCs w:val="0"/>
          <w:caps w:val="0"/>
          <w:color w:val="auto"/>
          <w:spacing w:val="0"/>
          <w:sz w:val="32"/>
          <w:szCs w:val="32"/>
          <w:shd w:val="clear" w:fill="FFFFFF"/>
        </w:rPr>
        <w:t>根据《</w:t>
      </w:r>
      <w:r>
        <w:rPr>
          <w:rFonts w:hint="eastAsia" w:ascii="仿宋_GB2312" w:hAnsi="宋体" w:eastAsia="仿宋_GB2312" w:cs="仿宋_GB2312"/>
          <w:i w:val="0"/>
          <w:iCs w:val="0"/>
          <w:caps w:val="0"/>
          <w:color w:val="auto"/>
          <w:spacing w:val="0"/>
          <w:sz w:val="32"/>
          <w:szCs w:val="32"/>
          <w:shd w:val="clear" w:fill="FFFFFF"/>
        </w:rPr>
        <w:t>202</w:t>
      </w:r>
      <w:r>
        <w:rPr>
          <w:rFonts w:hint="eastAsia" w:ascii="仿宋_GB2312" w:hAnsi="宋体" w:eastAsia="仿宋_GB2312" w:cs="仿宋_GB2312"/>
          <w:i w:val="0"/>
          <w:iCs w:val="0"/>
          <w:caps w:val="0"/>
          <w:color w:val="auto"/>
          <w:spacing w:val="0"/>
          <w:sz w:val="32"/>
          <w:szCs w:val="32"/>
          <w:shd w:val="clear" w:fill="FFFFFF"/>
          <w:lang w:val="en-US" w:eastAsia="zh-CN"/>
        </w:rPr>
        <w:t>4</w:t>
      </w:r>
      <w:r>
        <w:rPr>
          <w:rFonts w:hint="eastAsia" w:ascii="仿宋_GB2312" w:hAnsi="宋体" w:eastAsia="仿宋_GB2312" w:cs="仿宋_GB2312"/>
          <w:i w:val="0"/>
          <w:iCs w:val="0"/>
          <w:caps w:val="0"/>
          <w:color w:val="auto"/>
          <w:spacing w:val="0"/>
          <w:sz w:val="32"/>
          <w:szCs w:val="32"/>
          <w:shd w:val="clear" w:fill="FFFFFF"/>
        </w:rPr>
        <w:t>年昌乐县政务</w:t>
      </w:r>
      <w:r>
        <w:rPr>
          <w:rFonts w:hint="eastAsia" w:ascii="仿宋_GB2312" w:hAnsi="宋体" w:eastAsia="仿宋_GB2312" w:cs="宋体"/>
          <w:b w:val="0"/>
          <w:bCs w:val="0"/>
          <w:color w:val="auto"/>
          <w:kern w:val="0"/>
          <w:sz w:val="32"/>
          <w:szCs w:val="32"/>
        </w:rPr>
        <w:t>公开重点工作任务分工》安排，召开专题会议研究部署</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rPr>
        <w:t>认真梳理本单位政务公开重点工作任务</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rPr>
        <w:t>形成责任分工表，将责任具体到各科室，其中办公室作为牵头部门协调调度总体情况。目前，县</w:t>
      </w:r>
      <w:r>
        <w:rPr>
          <w:rFonts w:hint="eastAsia" w:ascii="仿宋_GB2312" w:hAnsi="宋体" w:eastAsia="仿宋_GB2312" w:cs="宋体"/>
          <w:b w:val="0"/>
          <w:bCs w:val="0"/>
          <w:color w:val="auto"/>
          <w:kern w:val="0"/>
          <w:sz w:val="32"/>
          <w:szCs w:val="32"/>
          <w:lang w:val="en-US" w:eastAsia="zh-CN"/>
        </w:rPr>
        <w:t>交通运输</w:t>
      </w:r>
      <w:r>
        <w:rPr>
          <w:rFonts w:hint="eastAsia" w:ascii="仿宋_GB2312" w:hAnsi="宋体" w:eastAsia="仿宋_GB2312" w:cs="宋体"/>
          <w:b w:val="0"/>
          <w:bCs w:val="0"/>
          <w:color w:val="auto"/>
          <w:kern w:val="0"/>
          <w:sz w:val="32"/>
          <w:szCs w:val="32"/>
        </w:rPr>
        <w:t>局涉及责任事项已全部落实到位。</w:t>
      </w:r>
    </w:p>
    <w:p w14:paraId="71955A7E">
      <w:pPr>
        <w:keepNext w:val="0"/>
        <w:keepLines w:val="0"/>
        <w:pageBreakBefore w:val="0"/>
        <w:widowControl/>
        <w:kinsoku/>
        <w:wordWrap/>
        <w:overflowPunct/>
        <w:topLinePunct w:val="0"/>
        <w:autoSpaceDE/>
        <w:autoSpaceDN/>
        <w:bidi w:val="0"/>
        <w:adjustRightInd/>
        <w:snapToGrid/>
        <w:spacing w:line="578" w:lineRule="exact"/>
        <w:ind w:firstLine="640"/>
        <w:textAlignment w:val="auto"/>
        <w:rPr>
          <w:rFonts w:hint="eastAsia" w:ascii="宋体" w:hAnsi="宋体" w:cs="宋体"/>
          <w:b w:val="0"/>
          <w:bCs w:val="0"/>
          <w:color w:val="auto"/>
          <w:kern w:val="0"/>
          <w:sz w:val="24"/>
          <w:szCs w:val="24"/>
        </w:rPr>
      </w:pPr>
      <w:r>
        <w:rPr>
          <w:rFonts w:hint="eastAsia" w:ascii="楷体_GB2312" w:hAnsi="宋体" w:eastAsia="楷体_GB2312" w:cs="宋体"/>
          <w:b w:val="0"/>
          <w:bCs w:val="0"/>
          <w:color w:val="auto"/>
          <w:kern w:val="0"/>
          <w:sz w:val="32"/>
          <w:szCs w:val="32"/>
        </w:rPr>
        <w:t>（三）人大代表建议和政协提案办理情况。</w:t>
      </w:r>
      <w:r>
        <w:rPr>
          <w:rFonts w:ascii="仿宋_GB2312" w:hAnsi="宋体" w:eastAsia="仿宋_GB2312" w:cs="仿宋_GB2312"/>
          <w:i w:val="0"/>
          <w:iCs w:val="0"/>
          <w:caps w:val="0"/>
          <w:color w:val="auto"/>
          <w:spacing w:val="0"/>
          <w:sz w:val="32"/>
          <w:szCs w:val="32"/>
          <w:shd w:val="clear" w:fill="FFFFFF"/>
          <w:lang w:val="en-US"/>
        </w:rPr>
        <w:t>202</w:t>
      </w:r>
      <w:r>
        <w:rPr>
          <w:rFonts w:hint="eastAsia" w:ascii="仿宋_GB2312" w:hAnsi="宋体" w:eastAsia="仿宋_GB2312" w:cs="仿宋_GB2312"/>
          <w:i w:val="0"/>
          <w:iCs w:val="0"/>
          <w:caps w:val="0"/>
          <w:color w:val="auto"/>
          <w:spacing w:val="0"/>
          <w:sz w:val="32"/>
          <w:szCs w:val="32"/>
          <w:shd w:val="clear" w:fill="FFFFFF"/>
          <w:lang w:val="en-US" w:eastAsia="zh-CN"/>
        </w:rPr>
        <w:t>4</w:t>
      </w:r>
      <w:r>
        <w:rPr>
          <w:rFonts w:hint="eastAsia" w:ascii="仿宋_GB2312" w:hAnsi="宋体" w:eastAsia="仿宋_GB2312" w:cs="仿宋_GB2312"/>
          <w:i w:val="0"/>
          <w:iCs w:val="0"/>
          <w:caps w:val="0"/>
          <w:color w:val="auto"/>
          <w:spacing w:val="0"/>
          <w:sz w:val="32"/>
          <w:szCs w:val="32"/>
          <w:shd w:val="clear" w:fill="FFFFFF"/>
        </w:rPr>
        <w:t>年，我局共承办</w:t>
      </w:r>
      <w:r>
        <w:rPr>
          <w:rFonts w:hint="eastAsia" w:ascii="仿宋_GB2312" w:hAnsi="宋体" w:eastAsia="仿宋_GB2312" w:cs="仿宋_GB2312"/>
          <w:i w:val="0"/>
          <w:iCs w:val="0"/>
          <w:caps w:val="0"/>
          <w:color w:val="auto"/>
          <w:spacing w:val="0"/>
          <w:sz w:val="32"/>
          <w:szCs w:val="32"/>
          <w:shd w:val="clear" w:fill="FFFFFF"/>
          <w:lang w:val="en-US" w:eastAsia="zh-CN"/>
        </w:rPr>
        <w:t>人大建议8</w:t>
      </w:r>
      <w:r>
        <w:rPr>
          <w:rFonts w:hint="eastAsia" w:ascii="仿宋_GB2312" w:hAnsi="宋体" w:eastAsia="仿宋_GB2312" w:cs="仿宋_GB2312"/>
          <w:i w:val="0"/>
          <w:iCs w:val="0"/>
          <w:caps w:val="0"/>
          <w:color w:val="auto"/>
          <w:spacing w:val="0"/>
          <w:sz w:val="32"/>
          <w:szCs w:val="32"/>
          <w:shd w:val="clear" w:fill="FFFFFF"/>
        </w:rPr>
        <w:t>件，</w:t>
      </w:r>
      <w:r>
        <w:rPr>
          <w:rFonts w:hint="eastAsia" w:ascii="仿宋_GB2312" w:hAnsi="宋体" w:eastAsia="仿宋_GB2312" w:cs="仿宋_GB2312"/>
          <w:i w:val="0"/>
          <w:iCs w:val="0"/>
          <w:caps w:val="0"/>
          <w:color w:val="auto"/>
          <w:spacing w:val="0"/>
          <w:sz w:val="32"/>
          <w:szCs w:val="32"/>
          <w:shd w:val="clear" w:fill="FFFFFF"/>
          <w:lang w:val="en-US" w:eastAsia="zh-CN"/>
        </w:rPr>
        <w:t>政协提案6件，</w:t>
      </w:r>
      <w:r>
        <w:rPr>
          <w:rFonts w:hint="eastAsia" w:ascii="仿宋_GB2312" w:hAnsi="宋体" w:eastAsia="仿宋_GB2312" w:cs="仿宋_GB2312"/>
          <w:i w:val="0"/>
          <w:iCs w:val="0"/>
          <w:caps w:val="0"/>
          <w:color w:val="auto"/>
          <w:spacing w:val="0"/>
          <w:sz w:val="32"/>
          <w:szCs w:val="32"/>
          <w:shd w:val="clear" w:fill="FFFFFF"/>
        </w:rPr>
        <w:t>满意率和见面答复率均为</w:t>
      </w:r>
      <w:r>
        <w:rPr>
          <w:rFonts w:hint="eastAsia" w:ascii="仿宋_GB2312" w:hAnsi="宋体" w:eastAsia="仿宋_GB2312" w:cs="仿宋_GB2312"/>
          <w:i w:val="0"/>
          <w:iCs w:val="0"/>
          <w:caps w:val="0"/>
          <w:color w:val="auto"/>
          <w:spacing w:val="0"/>
          <w:sz w:val="32"/>
          <w:szCs w:val="32"/>
          <w:shd w:val="clear" w:fill="FFFFFF"/>
          <w:lang w:val="en-US"/>
        </w:rPr>
        <w:t>100%</w:t>
      </w:r>
      <w:r>
        <w:rPr>
          <w:rFonts w:hint="eastAsia" w:ascii="仿宋_GB2312" w:hAnsi="宋体" w:eastAsia="仿宋_GB2312" w:cs="仿宋_GB2312"/>
          <w:i w:val="0"/>
          <w:iCs w:val="0"/>
          <w:caps w:val="0"/>
          <w:color w:val="auto"/>
          <w:spacing w:val="0"/>
          <w:sz w:val="32"/>
          <w:szCs w:val="32"/>
          <w:shd w:val="clear" w:fill="FFFFFF"/>
        </w:rPr>
        <w:t>。</w:t>
      </w:r>
    </w:p>
    <w:p w14:paraId="42B5F308">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仿宋_GB2312" w:hAnsi="宋体" w:eastAsia="仿宋_GB2312" w:cs="宋体"/>
          <w:b w:val="0"/>
          <w:bCs w:val="0"/>
          <w:color w:val="auto"/>
          <w:kern w:val="0"/>
          <w:sz w:val="32"/>
          <w:szCs w:val="32"/>
        </w:rPr>
      </w:pPr>
      <w:r>
        <w:rPr>
          <w:rFonts w:hint="eastAsia" w:ascii="楷体_GB2312" w:hAnsi="宋体" w:eastAsia="楷体_GB2312" w:cs="宋体"/>
          <w:b w:val="0"/>
          <w:bCs w:val="0"/>
          <w:color w:val="auto"/>
          <w:kern w:val="0"/>
          <w:sz w:val="32"/>
          <w:szCs w:val="32"/>
        </w:rPr>
        <w:t>（四）年度政务公开工作创新情况。</w:t>
      </w:r>
      <w:r>
        <w:rPr>
          <w:rFonts w:hint="eastAsia" w:ascii="仿宋_GB2312" w:hAnsi="宋体" w:eastAsia="仿宋_GB2312" w:cs="宋体"/>
          <w:b w:val="0"/>
          <w:bCs w:val="0"/>
          <w:color w:val="auto"/>
          <w:kern w:val="0"/>
          <w:sz w:val="32"/>
          <w:szCs w:val="32"/>
          <w:lang w:val="en-US" w:eastAsia="zh-CN"/>
        </w:rPr>
        <w:t>县交通运输局政务</w:t>
      </w:r>
      <w:r>
        <w:rPr>
          <w:rFonts w:hint="eastAsia" w:ascii="仿宋_GB2312" w:hAnsi="宋体" w:eastAsia="仿宋_GB2312" w:cs="宋体"/>
          <w:b w:val="0"/>
          <w:bCs w:val="0"/>
          <w:color w:val="auto"/>
          <w:kern w:val="0"/>
          <w:sz w:val="32"/>
          <w:szCs w:val="32"/>
        </w:rPr>
        <w:t>公开工作始终围绕中心，注重实效，突出重、难、热点问题</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lang w:val="en-US" w:eastAsia="zh-CN"/>
        </w:rPr>
        <w:t>积极探</w:t>
      </w:r>
      <w:r>
        <w:rPr>
          <w:rFonts w:hint="eastAsia" w:ascii="仿宋_GB2312" w:hAnsi="宋体" w:eastAsia="仿宋_GB2312" w:cs="宋体"/>
          <w:b w:val="0"/>
          <w:bCs w:val="0"/>
          <w:color w:val="auto"/>
          <w:kern w:val="0"/>
          <w:sz w:val="32"/>
          <w:szCs w:val="32"/>
        </w:rPr>
        <w:t>索建设局政务公开领导小组会同各业务科室全面发力的政府信息公开建设架构，从源头提高政务公开水平。</w:t>
      </w:r>
      <w:r>
        <w:rPr>
          <w:rFonts w:hint="eastAsia" w:ascii="仿宋_GB2312" w:hAnsi="宋体" w:eastAsia="仿宋_GB2312" w:cs="宋体"/>
          <w:b w:val="0"/>
          <w:bCs w:val="0"/>
          <w:color w:val="auto"/>
          <w:kern w:val="0"/>
          <w:sz w:val="32"/>
          <w:szCs w:val="32"/>
          <w:lang w:val="en-US" w:eastAsia="zh-CN"/>
        </w:rPr>
        <w:t>同时</w:t>
      </w:r>
      <w:r>
        <w:rPr>
          <w:rFonts w:hint="eastAsia" w:ascii="仿宋_GB2312" w:hAnsi="宋体" w:eastAsia="仿宋_GB2312" w:cs="宋体"/>
          <w:b w:val="0"/>
          <w:bCs w:val="0"/>
          <w:color w:val="auto"/>
          <w:kern w:val="0"/>
          <w:sz w:val="32"/>
          <w:szCs w:val="32"/>
        </w:rPr>
        <w:t>不断拓宽政务公开面的创新做法</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rPr>
        <w:t>主动打破政策宣讲边界，常态化开展了政策宣传和服务进企业系列活动，组织开展“政府开放月”系列</w:t>
      </w:r>
      <w:r>
        <w:rPr>
          <w:rFonts w:hint="eastAsia" w:ascii="仿宋_GB2312" w:hAnsi="宋体" w:eastAsia="仿宋_GB2312" w:cs="宋体"/>
          <w:b w:val="0"/>
          <w:bCs w:val="0"/>
          <w:color w:val="auto"/>
          <w:kern w:val="0"/>
          <w:sz w:val="32"/>
          <w:szCs w:val="32"/>
          <w:lang w:val="en-US" w:eastAsia="zh-CN"/>
        </w:rPr>
        <w:t>等</w:t>
      </w:r>
      <w:r>
        <w:rPr>
          <w:rFonts w:hint="eastAsia" w:ascii="仿宋_GB2312" w:hAnsi="宋体" w:eastAsia="仿宋_GB2312" w:cs="宋体"/>
          <w:b w:val="0"/>
          <w:bCs w:val="0"/>
          <w:color w:val="auto"/>
          <w:kern w:val="0"/>
          <w:sz w:val="32"/>
          <w:szCs w:val="32"/>
        </w:rPr>
        <w:t>活动，推动政务公开工作向基层、向群众延伸。</w:t>
      </w:r>
    </w:p>
    <w:p w14:paraId="118140DC">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宋体" w:hAnsi="宋体" w:cs="宋体"/>
          <w:b w:val="0"/>
          <w:bCs w:val="0"/>
          <w:color w:val="auto"/>
          <w:kern w:val="0"/>
          <w:sz w:val="24"/>
          <w:szCs w:val="24"/>
        </w:rPr>
      </w:pPr>
      <w:r>
        <w:rPr>
          <w:rFonts w:hint="eastAsia" w:ascii="楷体_GB2312" w:hAnsi="宋体" w:eastAsia="楷体_GB2312" w:cs="宋体"/>
          <w:b w:val="0"/>
          <w:bCs w:val="0"/>
          <w:color w:val="auto"/>
          <w:kern w:val="0"/>
          <w:sz w:val="32"/>
          <w:szCs w:val="32"/>
        </w:rPr>
        <w:t>（五）报告数据统计说明。</w:t>
      </w:r>
      <w:r>
        <w:rPr>
          <w:rFonts w:hint="eastAsia" w:ascii="仿宋_GB2312" w:hAnsi="宋体" w:eastAsia="仿宋_GB2312" w:cs="宋体"/>
          <w:b w:val="0"/>
          <w:bCs w:val="0"/>
          <w:color w:val="auto"/>
          <w:kern w:val="0"/>
          <w:sz w:val="32"/>
          <w:szCs w:val="32"/>
        </w:rPr>
        <w:t>本报告所列数据统计期限为202</w:t>
      </w:r>
      <w:r>
        <w:rPr>
          <w:rFonts w:hint="eastAsia" w:ascii="仿宋_GB2312" w:hAnsi="宋体" w:eastAsia="仿宋_GB2312" w:cs="宋体"/>
          <w:b w:val="0"/>
          <w:bCs w:val="0"/>
          <w:color w:val="auto"/>
          <w:kern w:val="0"/>
          <w:sz w:val="32"/>
          <w:szCs w:val="32"/>
          <w:lang w:val="en-US" w:eastAsia="zh-CN"/>
        </w:rPr>
        <w:t>4</w:t>
      </w:r>
      <w:r>
        <w:rPr>
          <w:rFonts w:hint="eastAsia" w:ascii="仿宋_GB2312" w:hAnsi="宋体" w:eastAsia="仿宋_GB2312" w:cs="宋体"/>
          <w:b w:val="0"/>
          <w:bCs w:val="0"/>
          <w:color w:val="auto"/>
          <w:kern w:val="0"/>
          <w:sz w:val="32"/>
          <w:szCs w:val="32"/>
        </w:rPr>
        <w:t>年1月1日至202</w:t>
      </w:r>
      <w:r>
        <w:rPr>
          <w:rFonts w:hint="eastAsia" w:ascii="仿宋_GB2312" w:hAnsi="宋体" w:eastAsia="仿宋_GB2312" w:cs="宋体"/>
          <w:b w:val="0"/>
          <w:bCs w:val="0"/>
          <w:color w:val="auto"/>
          <w:kern w:val="0"/>
          <w:sz w:val="32"/>
          <w:szCs w:val="32"/>
          <w:lang w:val="en-US" w:eastAsia="zh-CN"/>
        </w:rPr>
        <w:t>4</w:t>
      </w:r>
      <w:r>
        <w:rPr>
          <w:rFonts w:hint="eastAsia" w:ascii="仿宋_GB2312" w:hAnsi="宋体" w:eastAsia="仿宋_GB2312" w:cs="宋体"/>
          <w:b w:val="0"/>
          <w:bCs w:val="0"/>
          <w:color w:val="auto"/>
          <w:kern w:val="0"/>
          <w:sz w:val="32"/>
          <w:szCs w:val="32"/>
        </w:rPr>
        <w:t>年12月31日。</w:t>
      </w:r>
    </w:p>
    <w:p w14:paraId="21211A51">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宋体" w:hAnsi="宋体" w:cs="宋体"/>
          <w:b w:val="0"/>
          <w:bCs w:val="0"/>
          <w:color w:val="auto"/>
          <w:kern w:val="0"/>
          <w:sz w:val="24"/>
          <w:szCs w:val="24"/>
        </w:rPr>
      </w:pPr>
      <w:r>
        <w:rPr>
          <w:rFonts w:hint="eastAsia" w:ascii="楷体_GB2312" w:hAnsi="宋体" w:eastAsia="楷体_GB2312" w:cs="宋体"/>
          <w:b w:val="0"/>
          <w:bCs w:val="0"/>
          <w:color w:val="auto"/>
          <w:kern w:val="0"/>
          <w:sz w:val="32"/>
          <w:szCs w:val="32"/>
        </w:rPr>
        <w:t>（六）本行政机关认为需要报告的其他事项。</w:t>
      </w:r>
      <w:r>
        <w:rPr>
          <w:rFonts w:hint="eastAsia" w:ascii="仿宋_GB2312" w:hAnsi="宋体" w:eastAsia="仿宋_GB2312" w:cs="宋体"/>
          <w:b w:val="0"/>
          <w:bCs w:val="0"/>
          <w:color w:val="auto"/>
          <w:kern w:val="0"/>
          <w:sz w:val="32"/>
          <w:szCs w:val="32"/>
        </w:rPr>
        <w:t>无。</w:t>
      </w:r>
    </w:p>
    <w:p w14:paraId="378E6666">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hint="eastAsia" w:ascii="宋体" w:hAnsi="宋体" w:cs="宋体"/>
          <w:b w:val="0"/>
          <w:bCs w:val="0"/>
          <w:color w:val="auto"/>
          <w:kern w:val="0"/>
          <w:sz w:val="24"/>
          <w:szCs w:val="24"/>
        </w:rPr>
      </w:pPr>
      <w:r>
        <w:rPr>
          <w:rFonts w:hint="eastAsia" w:ascii="楷体_GB2312" w:hAnsi="宋体" w:eastAsia="楷体_GB2312" w:cs="宋体"/>
          <w:b w:val="0"/>
          <w:bCs w:val="0"/>
          <w:color w:val="auto"/>
          <w:kern w:val="0"/>
          <w:sz w:val="32"/>
          <w:szCs w:val="32"/>
        </w:rPr>
        <w:t>（七）其他有关文件专门要求报告的事项。</w:t>
      </w:r>
      <w:r>
        <w:rPr>
          <w:rFonts w:hint="eastAsia" w:ascii="仿宋_GB2312" w:hAnsi="宋体" w:eastAsia="仿宋_GB2312" w:cs="宋体"/>
          <w:b w:val="0"/>
          <w:bCs w:val="0"/>
          <w:color w:val="auto"/>
          <w:kern w:val="0"/>
          <w:sz w:val="32"/>
          <w:szCs w:val="32"/>
        </w:rPr>
        <w:t>无。</w:t>
      </w:r>
    </w:p>
    <w:p w14:paraId="664CB378">
      <w:pPr>
        <w:keepNext w:val="0"/>
        <w:keepLines w:val="0"/>
        <w:pageBreakBefore w:val="0"/>
        <w:widowControl/>
        <w:kinsoku/>
        <w:wordWrap/>
        <w:overflowPunct/>
        <w:topLinePunct w:val="0"/>
        <w:autoSpaceDE/>
        <w:autoSpaceDN/>
        <w:bidi w:val="0"/>
        <w:adjustRightInd/>
        <w:snapToGrid/>
        <w:spacing w:line="578" w:lineRule="exact"/>
        <w:ind w:firstLine="640"/>
        <w:jc w:val="right"/>
        <w:textAlignment w:val="auto"/>
        <w:rPr>
          <w:rFonts w:hint="eastAsia" w:ascii="仿宋_GB2312" w:hAnsi="宋体" w:eastAsia="仿宋_GB2312" w:cs="仿宋_GB2312"/>
          <w:b w:val="0"/>
          <w:bCs w:val="0"/>
          <w:color w:val="auto"/>
          <w:kern w:val="0"/>
          <w:sz w:val="32"/>
          <w:szCs w:val="32"/>
        </w:rPr>
      </w:pPr>
    </w:p>
    <w:p w14:paraId="7795BF32">
      <w:pPr>
        <w:keepNext w:val="0"/>
        <w:keepLines w:val="0"/>
        <w:pageBreakBefore w:val="0"/>
        <w:widowControl/>
        <w:kinsoku/>
        <w:wordWrap/>
        <w:overflowPunct/>
        <w:topLinePunct w:val="0"/>
        <w:autoSpaceDE/>
        <w:autoSpaceDN/>
        <w:bidi w:val="0"/>
        <w:adjustRightInd/>
        <w:snapToGrid/>
        <w:spacing w:line="578" w:lineRule="exact"/>
        <w:ind w:firstLine="640"/>
        <w:jc w:val="right"/>
        <w:textAlignment w:val="auto"/>
        <w:rPr>
          <w:rFonts w:hint="eastAsia" w:ascii="仿宋_GB2312" w:hAnsi="宋体" w:eastAsia="仿宋_GB2312" w:cs="仿宋_GB2312"/>
          <w:b w:val="0"/>
          <w:bCs w:val="0"/>
          <w:color w:val="auto"/>
          <w:kern w:val="0"/>
          <w:sz w:val="32"/>
          <w:szCs w:val="32"/>
        </w:rPr>
      </w:pPr>
    </w:p>
    <w:p w14:paraId="27BF517B">
      <w:pPr>
        <w:keepNext w:val="0"/>
        <w:keepLines w:val="0"/>
        <w:pageBreakBefore w:val="0"/>
        <w:widowControl/>
        <w:kinsoku/>
        <w:wordWrap/>
        <w:overflowPunct/>
        <w:topLinePunct w:val="0"/>
        <w:autoSpaceDE/>
        <w:autoSpaceDN/>
        <w:bidi w:val="0"/>
        <w:adjustRightInd/>
        <w:snapToGrid/>
        <w:spacing w:line="578" w:lineRule="exact"/>
        <w:ind w:firstLine="640"/>
        <w:jc w:val="right"/>
        <w:textAlignment w:val="auto"/>
        <w:rPr>
          <w:rFonts w:ascii="仿宋_GB2312" w:hAnsi="宋体" w:eastAsia="仿宋_GB2312" w:cs="仿宋_GB2312"/>
          <w:b w:val="0"/>
          <w:bCs w:val="0"/>
          <w:color w:val="auto"/>
          <w:kern w:val="0"/>
          <w:sz w:val="32"/>
          <w:szCs w:val="32"/>
        </w:rPr>
      </w:pPr>
      <w:r>
        <w:rPr>
          <w:rFonts w:hint="eastAsia" w:ascii="仿宋_GB2312" w:hAnsi="宋体" w:eastAsia="仿宋_GB2312" w:cs="仿宋_GB2312"/>
          <w:b w:val="0"/>
          <w:bCs w:val="0"/>
          <w:color w:val="auto"/>
          <w:kern w:val="0"/>
          <w:sz w:val="32"/>
          <w:szCs w:val="32"/>
        </w:rPr>
        <w:t>昌乐县交通运输局</w:t>
      </w:r>
    </w:p>
    <w:p w14:paraId="6787CEFE">
      <w:pPr>
        <w:keepNext w:val="0"/>
        <w:keepLines w:val="0"/>
        <w:pageBreakBefore w:val="0"/>
        <w:widowControl/>
        <w:kinsoku/>
        <w:wordWrap/>
        <w:overflowPunct/>
        <w:topLinePunct w:val="0"/>
        <w:autoSpaceDE/>
        <w:autoSpaceDN/>
        <w:bidi w:val="0"/>
        <w:adjustRightInd/>
        <w:snapToGrid/>
        <w:spacing w:line="578" w:lineRule="exact"/>
        <w:ind w:firstLine="640"/>
        <w:jc w:val="right"/>
        <w:textAlignment w:val="auto"/>
        <w:rPr>
          <w:b w:val="0"/>
          <w:bCs w:val="0"/>
          <w:color w:val="auto"/>
        </w:rPr>
      </w:pPr>
      <w:r>
        <w:rPr>
          <w:rFonts w:hint="eastAsia" w:ascii="仿宋_GB2312" w:hAnsi="宋体" w:eastAsia="仿宋_GB2312" w:cs="仿宋_GB2312"/>
          <w:b w:val="0"/>
          <w:bCs w:val="0"/>
          <w:color w:val="auto"/>
          <w:kern w:val="0"/>
          <w:sz w:val="32"/>
          <w:szCs w:val="32"/>
        </w:rPr>
        <w:t>202</w:t>
      </w:r>
      <w:r>
        <w:rPr>
          <w:rFonts w:hint="eastAsia" w:ascii="仿宋_GB2312" w:hAnsi="宋体" w:eastAsia="仿宋_GB2312" w:cs="仿宋_GB2312"/>
          <w:b w:val="0"/>
          <w:bCs w:val="0"/>
          <w:color w:val="auto"/>
          <w:kern w:val="0"/>
          <w:sz w:val="32"/>
          <w:szCs w:val="32"/>
          <w:lang w:val="en-US" w:eastAsia="zh-CN"/>
        </w:rPr>
        <w:t>5</w:t>
      </w:r>
      <w:r>
        <w:rPr>
          <w:rFonts w:hint="eastAsia" w:ascii="仿宋_GB2312" w:hAnsi="宋体" w:eastAsia="仿宋_GB2312" w:cs="仿宋_GB2312"/>
          <w:b w:val="0"/>
          <w:bCs w:val="0"/>
          <w:color w:val="auto"/>
          <w:kern w:val="0"/>
          <w:sz w:val="32"/>
          <w:szCs w:val="32"/>
        </w:rPr>
        <w:t>年</w:t>
      </w:r>
      <w:r>
        <w:rPr>
          <w:rFonts w:hint="eastAsia" w:ascii="仿宋_GB2312" w:hAnsi="宋体" w:eastAsia="仿宋_GB2312" w:cs="仿宋_GB2312"/>
          <w:b w:val="0"/>
          <w:bCs w:val="0"/>
          <w:color w:val="auto"/>
          <w:kern w:val="0"/>
          <w:sz w:val="32"/>
          <w:szCs w:val="32"/>
          <w:lang w:val="en-US" w:eastAsia="zh-CN"/>
        </w:rPr>
        <w:t>1</w:t>
      </w:r>
      <w:r>
        <w:rPr>
          <w:rFonts w:hint="eastAsia" w:ascii="仿宋_GB2312" w:hAnsi="宋体" w:eastAsia="仿宋_GB2312" w:cs="仿宋_GB2312"/>
          <w:b w:val="0"/>
          <w:bCs w:val="0"/>
          <w:color w:val="auto"/>
          <w:kern w:val="0"/>
          <w:sz w:val="32"/>
          <w:szCs w:val="32"/>
        </w:rPr>
        <w:t>月</w:t>
      </w:r>
      <w:r>
        <w:rPr>
          <w:rFonts w:hint="eastAsia" w:ascii="仿宋_GB2312" w:hAnsi="宋体" w:eastAsia="仿宋_GB2312" w:cs="仿宋_GB2312"/>
          <w:b w:val="0"/>
          <w:bCs w:val="0"/>
          <w:color w:val="auto"/>
          <w:kern w:val="0"/>
          <w:sz w:val="32"/>
          <w:szCs w:val="32"/>
          <w:lang w:val="en-US" w:eastAsia="zh-CN"/>
        </w:rPr>
        <w:t>8</w:t>
      </w:r>
      <w:r>
        <w:rPr>
          <w:rFonts w:hint="eastAsia" w:ascii="仿宋_GB2312" w:hAnsi="宋体" w:eastAsia="仿宋_GB2312" w:cs="仿宋_GB2312"/>
          <w:b w:val="0"/>
          <w:bCs w:val="0"/>
          <w:color w:val="auto"/>
          <w:kern w:val="0"/>
          <w:sz w:val="32"/>
          <w:szCs w:val="32"/>
        </w:rPr>
        <w:t>日</w:t>
      </w:r>
    </w:p>
    <w:sectPr>
      <w:headerReference r:id="rId3" w:type="default"/>
      <w:footerReference r:id="rId4" w:type="default"/>
      <w:pgSz w:w="11906" w:h="16838"/>
      <w:pgMar w:top="2098" w:right="1418" w:bottom="198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1410">
    <w:pPr>
      <w:pStyle w:val="5"/>
      <w:framePr w:wrap="around" w:vAnchor="text" w:hAnchor="margin" w:xAlign="center" w:y="1"/>
      <w:rPr>
        <w:rStyle w:val="11"/>
        <w:rFonts w:ascii="宋体"/>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- 7 -</w:t>
    </w:r>
    <w:r>
      <w:rPr>
        <w:rStyle w:val="11"/>
        <w:rFonts w:ascii="宋体" w:hAnsi="宋体" w:cs="宋体"/>
        <w:sz w:val="28"/>
        <w:szCs w:val="28"/>
      </w:rPr>
      <w:fldChar w:fldCharType="end"/>
    </w:r>
  </w:p>
  <w:p w14:paraId="679270B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6A8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21"/>
      <w:lvlText w:val="%1."/>
      <w:lvlJc w:val="left"/>
      <w:pPr>
        <w:tabs>
          <w:tab w:val="left" w:pos="1003"/>
        </w:tabs>
        <w:ind w:left="1003" w:hanging="36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MDAxOTVhNmYwMmViZDRlN2QzZDVkNDA5Y2E1ZWMifQ=="/>
  </w:docVars>
  <w:rsids>
    <w:rsidRoot w:val="00172A27"/>
    <w:rsid w:val="00005677"/>
    <w:rsid w:val="00011101"/>
    <w:rsid w:val="000156E6"/>
    <w:rsid w:val="000238BF"/>
    <w:rsid w:val="000440E1"/>
    <w:rsid w:val="00051553"/>
    <w:rsid w:val="00051A26"/>
    <w:rsid w:val="00064660"/>
    <w:rsid w:val="00066E0E"/>
    <w:rsid w:val="000741A1"/>
    <w:rsid w:val="000746B8"/>
    <w:rsid w:val="0007784F"/>
    <w:rsid w:val="00087246"/>
    <w:rsid w:val="0009567E"/>
    <w:rsid w:val="000A5CC3"/>
    <w:rsid w:val="000B20B6"/>
    <w:rsid w:val="000B2C63"/>
    <w:rsid w:val="000C2021"/>
    <w:rsid w:val="000C2B55"/>
    <w:rsid w:val="000C3058"/>
    <w:rsid w:val="000E1004"/>
    <w:rsid w:val="000F5907"/>
    <w:rsid w:val="000F5D67"/>
    <w:rsid w:val="000F5F27"/>
    <w:rsid w:val="001019CE"/>
    <w:rsid w:val="001248B2"/>
    <w:rsid w:val="001272CF"/>
    <w:rsid w:val="001520F3"/>
    <w:rsid w:val="00153317"/>
    <w:rsid w:val="00162A64"/>
    <w:rsid w:val="00163820"/>
    <w:rsid w:val="00166C17"/>
    <w:rsid w:val="00172A27"/>
    <w:rsid w:val="00172EA5"/>
    <w:rsid w:val="00176DAE"/>
    <w:rsid w:val="001827D4"/>
    <w:rsid w:val="00186C97"/>
    <w:rsid w:val="00187B7E"/>
    <w:rsid w:val="00190869"/>
    <w:rsid w:val="001E30DC"/>
    <w:rsid w:val="001E4847"/>
    <w:rsid w:val="001F5F59"/>
    <w:rsid w:val="001F6503"/>
    <w:rsid w:val="00216D82"/>
    <w:rsid w:val="002175E5"/>
    <w:rsid w:val="002355D9"/>
    <w:rsid w:val="00241C44"/>
    <w:rsid w:val="00242270"/>
    <w:rsid w:val="00256F34"/>
    <w:rsid w:val="00262F78"/>
    <w:rsid w:val="002739FF"/>
    <w:rsid w:val="002801FC"/>
    <w:rsid w:val="0028310E"/>
    <w:rsid w:val="002842BC"/>
    <w:rsid w:val="002A03A6"/>
    <w:rsid w:val="002A3D27"/>
    <w:rsid w:val="002B387F"/>
    <w:rsid w:val="002C1533"/>
    <w:rsid w:val="002D24C4"/>
    <w:rsid w:val="002D36C3"/>
    <w:rsid w:val="002D7125"/>
    <w:rsid w:val="002E0F72"/>
    <w:rsid w:val="002E54A3"/>
    <w:rsid w:val="002E5E94"/>
    <w:rsid w:val="00301501"/>
    <w:rsid w:val="0031318F"/>
    <w:rsid w:val="003211ED"/>
    <w:rsid w:val="003215D0"/>
    <w:rsid w:val="0033349B"/>
    <w:rsid w:val="00336C84"/>
    <w:rsid w:val="00341703"/>
    <w:rsid w:val="003459F4"/>
    <w:rsid w:val="00351E7B"/>
    <w:rsid w:val="00371332"/>
    <w:rsid w:val="00375D8E"/>
    <w:rsid w:val="00390FA0"/>
    <w:rsid w:val="003A0FB5"/>
    <w:rsid w:val="003A1AF0"/>
    <w:rsid w:val="003B0007"/>
    <w:rsid w:val="003B0114"/>
    <w:rsid w:val="003B239C"/>
    <w:rsid w:val="003B27A0"/>
    <w:rsid w:val="003C2D7A"/>
    <w:rsid w:val="003C496A"/>
    <w:rsid w:val="003C65AE"/>
    <w:rsid w:val="003C750E"/>
    <w:rsid w:val="003D0CDF"/>
    <w:rsid w:val="003D2722"/>
    <w:rsid w:val="003E296F"/>
    <w:rsid w:val="003E61A2"/>
    <w:rsid w:val="003F0D0A"/>
    <w:rsid w:val="003F244E"/>
    <w:rsid w:val="00401A95"/>
    <w:rsid w:val="00406241"/>
    <w:rsid w:val="004075D0"/>
    <w:rsid w:val="0041017A"/>
    <w:rsid w:val="00412CC7"/>
    <w:rsid w:val="0041604B"/>
    <w:rsid w:val="0042265E"/>
    <w:rsid w:val="004246CD"/>
    <w:rsid w:val="00431D5D"/>
    <w:rsid w:val="00450E07"/>
    <w:rsid w:val="00457DDA"/>
    <w:rsid w:val="004714AA"/>
    <w:rsid w:val="00476FB9"/>
    <w:rsid w:val="0048147F"/>
    <w:rsid w:val="0048370E"/>
    <w:rsid w:val="004922EB"/>
    <w:rsid w:val="004965BA"/>
    <w:rsid w:val="00497B87"/>
    <w:rsid w:val="004A6CAB"/>
    <w:rsid w:val="004B053D"/>
    <w:rsid w:val="004B4385"/>
    <w:rsid w:val="004B48B1"/>
    <w:rsid w:val="004C030F"/>
    <w:rsid w:val="004C286B"/>
    <w:rsid w:val="004C3339"/>
    <w:rsid w:val="004D4500"/>
    <w:rsid w:val="004D6913"/>
    <w:rsid w:val="004D6AE0"/>
    <w:rsid w:val="004D6E4D"/>
    <w:rsid w:val="004E1CCC"/>
    <w:rsid w:val="004E2DD0"/>
    <w:rsid w:val="004E3215"/>
    <w:rsid w:val="004E603B"/>
    <w:rsid w:val="004E6852"/>
    <w:rsid w:val="004F0E9C"/>
    <w:rsid w:val="004F3097"/>
    <w:rsid w:val="004F533A"/>
    <w:rsid w:val="004F6640"/>
    <w:rsid w:val="004F7C0D"/>
    <w:rsid w:val="0050333E"/>
    <w:rsid w:val="0050341F"/>
    <w:rsid w:val="00504803"/>
    <w:rsid w:val="0050705B"/>
    <w:rsid w:val="005126D2"/>
    <w:rsid w:val="00521EC2"/>
    <w:rsid w:val="005254A5"/>
    <w:rsid w:val="00530358"/>
    <w:rsid w:val="00530D9B"/>
    <w:rsid w:val="00531FA0"/>
    <w:rsid w:val="00533505"/>
    <w:rsid w:val="00536672"/>
    <w:rsid w:val="005416FC"/>
    <w:rsid w:val="005443ED"/>
    <w:rsid w:val="005456D0"/>
    <w:rsid w:val="00545AC7"/>
    <w:rsid w:val="00547372"/>
    <w:rsid w:val="005712D1"/>
    <w:rsid w:val="00580219"/>
    <w:rsid w:val="00581C1D"/>
    <w:rsid w:val="00586368"/>
    <w:rsid w:val="005942EC"/>
    <w:rsid w:val="00594BEA"/>
    <w:rsid w:val="005A2D64"/>
    <w:rsid w:val="005B40AF"/>
    <w:rsid w:val="005C2CD2"/>
    <w:rsid w:val="005C38C4"/>
    <w:rsid w:val="005C72DC"/>
    <w:rsid w:val="005D07A2"/>
    <w:rsid w:val="005D0D60"/>
    <w:rsid w:val="005D6E07"/>
    <w:rsid w:val="005F6CD0"/>
    <w:rsid w:val="00607982"/>
    <w:rsid w:val="00612655"/>
    <w:rsid w:val="00626835"/>
    <w:rsid w:val="00630637"/>
    <w:rsid w:val="00630ECD"/>
    <w:rsid w:val="006339A7"/>
    <w:rsid w:val="00640CC2"/>
    <w:rsid w:val="0066774D"/>
    <w:rsid w:val="00674D8D"/>
    <w:rsid w:val="00675050"/>
    <w:rsid w:val="006832FE"/>
    <w:rsid w:val="006A1271"/>
    <w:rsid w:val="006A42D9"/>
    <w:rsid w:val="006A7C31"/>
    <w:rsid w:val="006B2944"/>
    <w:rsid w:val="006B50E5"/>
    <w:rsid w:val="006B6683"/>
    <w:rsid w:val="006C0402"/>
    <w:rsid w:val="006C4BD2"/>
    <w:rsid w:val="006E66FC"/>
    <w:rsid w:val="006F1496"/>
    <w:rsid w:val="006F16A4"/>
    <w:rsid w:val="006F3F29"/>
    <w:rsid w:val="00706D16"/>
    <w:rsid w:val="00707032"/>
    <w:rsid w:val="00733957"/>
    <w:rsid w:val="0074403F"/>
    <w:rsid w:val="00750BB6"/>
    <w:rsid w:val="00750EF2"/>
    <w:rsid w:val="00753403"/>
    <w:rsid w:val="007548E6"/>
    <w:rsid w:val="007728D0"/>
    <w:rsid w:val="0077794B"/>
    <w:rsid w:val="00781982"/>
    <w:rsid w:val="007830F3"/>
    <w:rsid w:val="00785EA7"/>
    <w:rsid w:val="00790734"/>
    <w:rsid w:val="00793423"/>
    <w:rsid w:val="007A06E8"/>
    <w:rsid w:val="007B3F19"/>
    <w:rsid w:val="007B6A4E"/>
    <w:rsid w:val="007B6B48"/>
    <w:rsid w:val="007C4C79"/>
    <w:rsid w:val="007C61CC"/>
    <w:rsid w:val="007D00A2"/>
    <w:rsid w:val="007D0C52"/>
    <w:rsid w:val="007D2CE7"/>
    <w:rsid w:val="007E182B"/>
    <w:rsid w:val="007E20E8"/>
    <w:rsid w:val="007E6143"/>
    <w:rsid w:val="007F43BC"/>
    <w:rsid w:val="007F5730"/>
    <w:rsid w:val="0080159F"/>
    <w:rsid w:val="00807CC0"/>
    <w:rsid w:val="00812791"/>
    <w:rsid w:val="008135EE"/>
    <w:rsid w:val="00816DDF"/>
    <w:rsid w:val="00834B0C"/>
    <w:rsid w:val="00837269"/>
    <w:rsid w:val="0084321E"/>
    <w:rsid w:val="00850F71"/>
    <w:rsid w:val="00851941"/>
    <w:rsid w:val="00860C64"/>
    <w:rsid w:val="00862487"/>
    <w:rsid w:val="008624BE"/>
    <w:rsid w:val="00866DD7"/>
    <w:rsid w:val="00871F3E"/>
    <w:rsid w:val="008732ED"/>
    <w:rsid w:val="00874645"/>
    <w:rsid w:val="008843C5"/>
    <w:rsid w:val="00885275"/>
    <w:rsid w:val="00886ADB"/>
    <w:rsid w:val="00890715"/>
    <w:rsid w:val="00890F3B"/>
    <w:rsid w:val="00894C95"/>
    <w:rsid w:val="00895D50"/>
    <w:rsid w:val="008A39A1"/>
    <w:rsid w:val="008A6CA0"/>
    <w:rsid w:val="008C7182"/>
    <w:rsid w:val="008D0BBA"/>
    <w:rsid w:val="008D7F29"/>
    <w:rsid w:val="008E5FF6"/>
    <w:rsid w:val="008F20CC"/>
    <w:rsid w:val="00910B91"/>
    <w:rsid w:val="00917D5C"/>
    <w:rsid w:val="0093510E"/>
    <w:rsid w:val="00946EAD"/>
    <w:rsid w:val="00954619"/>
    <w:rsid w:val="00956891"/>
    <w:rsid w:val="0097649F"/>
    <w:rsid w:val="0098586E"/>
    <w:rsid w:val="00991771"/>
    <w:rsid w:val="00994294"/>
    <w:rsid w:val="00996037"/>
    <w:rsid w:val="0099792B"/>
    <w:rsid w:val="009A30AF"/>
    <w:rsid w:val="009A7182"/>
    <w:rsid w:val="009C2273"/>
    <w:rsid w:val="009C4FEE"/>
    <w:rsid w:val="009C746F"/>
    <w:rsid w:val="009D0B4C"/>
    <w:rsid w:val="009D206F"/>
    <w:rsid w:val="009F37D2"/>
    <w:rsid w:val="009F7A1E"/>
    <w:rsid w:val="00A03D07"/>
    <w:rsid w:val="00A049D6"/>
    <w:rsid w:val="00A0579D"/>
    <w:rsid w:val="00A10861"/>
    <w:rsid w:val="00A15F7B"/>
    <w:rsid w:val="00A33389"/>
    <w:rsid w:val="00A35817"/>
    <w:rsid w:val="00A44015"/>
    <w:rsid w:val="00A44BD7"/>
    <w:rsid w:val="00A552AA"/>
    <w:rsid w:val="00A61004"/>
    <w:rsid w:val="00A63BE7"/>
    <w:rsid w:val="00A72AD8"/>
    <w:rsid w:val="00A93D65"/>
    <w:rsid w:val="00A94097"/>
    <w:rsid w:val="00A946BE"/>
    <w:rsid w:val="00A94D58"/>
    <w:rsid w:val="00A952F7"/>
    <w:rsid w:val="00A9744F"/>
    <w:rsid w:val="00AA5114"/>
    <w:rsid w:val="00AA6AB4"/>
    <w:rsid w:val="00AB21B2"/>
    <w:rsid w:val="00AB3193"/>
    <w:rsid w:val="00AB3E34"/>
    <w:rsid w:val="00AB55AE"/>
    <w:rsid w:val="00AB5806"/>
    <w:rsid w:val="00AC490F"/>
    <w:rsid w:val="00AE79F5"/>
    <w:rsid w:val="00AF22F7"/>
    <w:rsid w:val="00B00384"/>
    <w:rsid w:val="00B00905"/>
    <w:rsid w:val="00B15806"/>
    <w:rsid w:val="00B16B55"/>
    <w:rsid w:val="00B22BE2"/>
    <w:rsid w:val="00B315F6"/>
    <w:rsid w:val="00B32A42"/>
    <w:rsid w:val="00B3373D"/>
    <w:rsid w:val="00B344D4"/>
    <w:rsid w:val="00B34F50"/>
    <w:rsid w:val="00B41F46"/>
    <w:rsid w:val="00B42B34"/>
    <w:rsid w:val="00B453DB"/>
    <w:rsid w:val="00B5098C"/>
    <w:rsid w:val="00B541BF"/>
    <w:rsid w:val="00B57113"/>
    <w:rsid w:val="00B57BB2"/>
    <w:rsid w:val="00B64869"/>
    <w:rsid w:val="00B82B54"/>
    <w:rsid w:val="00B9684C"/>
    <w:rsid w:val="00BA5FA9"/>
    <w:rsid w:val="00BB1AB4"/>
    <w:rsid w:val="00BB2539"/>
    <w:rsid w:val="00BB40FD"/>
    <w:rsid w:val="00BC3548"/>
    <w:rsid w:val="00BD21E7"/>
    <w:rsid w:val="00BD4950"/>
    <w:rsid w:val="00BD64AF"/>
    <w:rsid w:val="00BE5F8E"/>
    <w:rsid w:val="00BF1637"/>
    <w:rsid w:val="00BF2043"/>
    <w:rsid w:val="00C012D0"/>
    <w:rsid w:val="00C07370"/>
    <w:rsid w:val="00C11D05"/>
    <w:rsid w:val="00C12DE3"/>
    <w:rsid w:val="00C135E2"/>
    <w:rsid w:val="00C16EB7"/>
    <w:rsid w:val="00C3689B"/>
    <w:rsid w:val="00C435EB"/>
    <w:rsid w:val="00C50B43"/>
    <w:rsid w:val="00C515FC"/>
    <w:rsid w:val="00C61A5C"/>
    <w:rsid w:val="00C624A9"/>
    <w:rsid w:val="00C639E0"/>
    <w:rsid w:val="00C67EDF"/>
    <w:rsid w:val="00C713F2"/>
    <w:rsid w:val="00C74223"/>
    <w:rsid w:val="00C750A0"/>
    <w:rsid w:val="00C82A6D"/>
    <w:rsid w:val="00CA0C7F"/>
    <w:rsid w:val="00CA2FA2"/>
    <w:rsid w:val="00CA4E05"/>
    <w:rsid w:val="00CB482D"/>
    <w:rsid w:val="00CB5C43"/>
    <w:rsid w:val="00CC2FE7"/>
    <w:rsid w:val="00CC7299"/>
    <w:rsid w:val="00CD5527"/>
    <w:rsid w:val="00D050CA"/>
    <w:rsid w:val="00D14B87"/>
    <w:rsid w:val="00D21AB0"/>
    <w:rsid w:val="00D2541F"/>
    <w:rsid w:val="00D259DE"/>
    <w:rsid w:val="00D36106"/>
    <w:rsid w:val="00D456F9"/>
    <w:rsid w:val="00D513F5"/>
    <w:rsid w:val="00D57471"/>
    <w:rsid w:val="00D66F7C"/>
    <w:rsid w:val="00D74663"/>
    <w:rsid w:val="00D764BA"/>
    <w:rsid w:val="00D80F0D"/>
    <w:rsid w:val="00D81E60"/>
    <w:rsid w:val="00D82215"/>
    <w:rsid w:val="00D82C3F"/>
    <w:rsid w:val="00D83CFE"/>
    <w:rsid w:val="00D94035"/>
    <w:rsid w:val="00D9781E"/>
    <w:rsid w:val="00DA319F"/>
    <w:rsid w:val="00DB31E5"/>
    <w:rsid w:val="00DB328A"/>
    <w:rsid w:val="00DB4210"/>
    <w:rsid w:val="00DC648C"/>
    <w:rsid w:val="00DD0826"/>
    <w:rsid w:val="00DE1574"/>
    <w:rsid w:val="00DE1BC3"/>
    <w:rsid w:val="00DE55DA"/>
    <w:rsid w:val="00DE6343"/>
    <w:rsid w:val="00DF2F90"/>
    <w:rsid w:val="00DF324A"/>
    <w:rsid w:val="00E01C45"/>
    <w:rsid w:val="00E022BA"/>
    <w:rsid w:val="00E0590D"/>
    <w:rsid w:val="00E061EF"/>
    <w:rsid w:val="00E07B97"/>
    <w:rsid w:val="00E1050D"/>
    <w:rsid w:val="00E15D49"/>
    <w:rsid w:val="00E2383F"/>
    <w:rsid w:val="00E279CD"/>
    <w:rsid w:val="00E37FCB"/>
    <w:rsid w:val="00E41363"/>
    <w:rsid w:val="00E431BD"/>
    <w:rsid w:val="00E459F3"/>
    <w:rsid w:val="00E502E5"/>
    <w:rsid w:val="00E514A8"/>
    <w:rsid w:val="00E5505F"/>
    <w:rsid w:val="00E554DC"/>
    <w:rsid w:val="00E55E8C"/>
    <w:rsid w:val="00E57190"/>
    <w:rsid w:val="00E60269"/>
    <w:rsid w:val="00E7400F"/>
    <w:rsid w:val="00E94041"/>
    <w:rsid w:val="00E95B5B"/>
    <w:rsid w:val="00E95F79"/>
    <w:rsid w:val="00EA0C3D"/>
    <w:rsid w:val="00EA4775"/>
    <w:rsid w:val="00EA60CA"/>
    <w:rsid w:val="00EB4AD7"/>
    <w:rsid w:val="00EC51B6"/>
    <w:rsid w:val="00EC5F24"/>
    <w:rsid w:val="00ED00DC"/>
    <w:rsid w:val="00ED3C23"/>
    <w:rsid w:val="00ED3CD5"/>
    <w:rsid w:val="00EE2642"/>
    <w:rsid w:val="00EE3177"/>
    <w:rsid w:val="00EF63FF"/>
    <w:rsid w:val="00EF6CCA"/>
    <w:rsid w:val="00F00093"/>
    <w:rsid w:val="00F124F0"/>
    <w:rsid w:val="00F13167"/>
    <w:rsid w:val="00F1564B"/>
    <w:rsid w:val="00F24797"/>
    <w:rsid w:val="00F254AD"/>
    <w:rsid w:val="00F3098D"/>
    <w:rsid w:val="00F3224C"/>
    <w:rsid w:val="00F4569D"/>
    <w:rsid w:val="00F466CC"/>
    <w:rsid w:val="00F546AD"/>
    <w:rsid w:val="00F57DCA"/>
    <w:rsid w:val="00F60115"/>
    <w:rsid w:val="00F603DC"/>
    <w:rsid w:val="00F6355D"/>
    <w:rsid w:val="00F66359"/>
    <w:rsid w:val="00F67B1A"/>
    <w:rsid w:val="00F73511"/>
    <w:rsid w:val="00F77114"/>
    <w:rsid w:val="00F814BA"/>
    <w:rsid w:val="00F81517"/>
    <w:rsid w:val="00FE2490"/>
    <w:rsid w:val="00FE26EA"/>
    <w:rsid w:val="00FE385E"/>
    <w:rsid w:val="00FF22DE"/>
    <w:rsid w:val="00FF37C4"/>
    <w:rsid w:val="00FF58B4"/>
    <w:rsid w:val="00FF7EA4"/>
    <w:rsid w:val="01003E20"/>
    <w:rsid w:val="01645294"/>
    <w:rsid w:val="01A222F8"/>
    <w:rsid w:val="01C65F6B"/>
    <w:rsid w:val="01DD2B5F"/>
    <w:rsid w:val="021E75C8"/>
    <w:rsid w:val="02244114"/>
    <w:rsid w:val="02D36DFE"/>
    <w:rsid w:val="02DA4536"/>
    <w:rsid w:val="02E5725D"/>
    <w:rsid w:val="02F20646"/>
    <w:rsid w:val="034D0CC7"/>
    <w:rsid w:val="03A17907"/>
    <w:rsid w:val="03AB7985"/>
    <w:rsid w:val="03EE1FC9"/>
    <w:rsid w:val="046A3887"/>
    <w:rsid w:val="04BA64C7"/>
    <w:rsid w:val="053A38A2"/>
    <w:rsid w:val="05485881"/>
    <w:rsid w:val="05662F8F"/>
    <w:rsid w:val="056E7204"/>
    <w:rsid w:val="06D01FD2"/>
    <w:rsid w:val="06FF2C4F"/>
    <w:rsid w:val="078377A9"/>
    <w:rsid w:val="07DE071F"/>
    <w:rsid w:val="07EF1ED2"/>
    <w:rsid w:val="083B2FB7"/>
    <w:rsid w:val="08AE19B6"/>
    <w:rsid w:val="08E65ADD"/>
    <w:rsid w:val="08F8541D"/>
    <w:rsid w:val="09485457"/>
    <w:rsid w:val="097A7FD3"/>
    <w:rsid w:val="09F91840"/>
    <w:rsid w:val="0BAA1044"/>
    <w:rsid w:val="0CA10063"/>
    <w:rsid w:val="0CBD002D"/>
    <w:rsid w:val="0D074FD4"/>
    <w:rsid w:val="0DCF2BA5"/>
    <w:rsid w:val="0E1E0331"/>
    <w:rsid w:val="0E5E1C72"/>
    <w:rsid w:val="0E852DC6"/>
    <w:rsid w:val="0E8D69FB"/>
    <w:rsid w:val="0F3254B8"/>
    <w:rsid w:val="0FAC2EB1"/>
    <w:rsid w:val="0FBA2FCE"/>
    <w:rsid w:val="0FDB1831"/>
    <w:rsid w:val="101A5ED1"/>
    <w:rsid w:val="108A3C99"/>
    <w:rsid w:val="10AA54C0"/>
    <w:rsid w:val="10AB228F"/>
    <w:rsid w:val="10BA5950"/>
    <w:rsid w:val="10F06E4E"/>
    <w:rsid w:val="113133F2"/>
    <w:rsid w:val="11515D33"/>
    <w:rsid w:val="115753A6"/>
    <w:rsid w:val="11691059"/>
    <w:rsid w:val="11F46B52"/>
    <w:rsid w:val="120A5F0B"/>
    <w:rsid w:val="123F1DBA"/>
    <w:rsid w:val="12846A67"/>
    <w:rsid w:val="129C2607"/>
    <w:rsid w:val="12D83D7B"/>
    <w:rsid w:val="130E2D15"/>
    <w:rsid w:val="137C46E7"/>
    <w:rsid w:val="13B60386"/>
    <w:rsid w:val="14614744"/>
    <w:rsid w:val="14F54328"/>
    <w:rsid w:val="154445F7"/>
    <w:rsid w:val="161809B8"/>
    <w:rsid w:val="16FE65B0"/>
    <w:rsid w:val="1758703B"/>
    <w:rsid w:val="17A713D5"/>
    <w:rsid w:val="18624295"/>
    <w:rsid w:val="18A062AA"/>
    <w:rsid w:val="18E84F59"/>
    <w:rsid w:val="19FA7888"/>
    <w:rsid w:val="1A00218F"/>
    <w:rsid w:val="1B043BA1"/>
    <w:rsid w:val="1C181A1F"/>
    <w:rsid w:val="1C481328"/>
    <w:rsid w:val="1D323882"/>
    <w:rsid w:val="1D334CF0"/>
    <w:rsid w:val="1DB4365C"/>
    <w:rsid w:val="1E321691"/>
    <w:rsid w:val="1E3672B6"/>
    <w:rsid w:val="1E6E4153"/>
    <w:rsid w:val="1FA051B5"/>
    <w:rsid w:val="1FC761A9"/>
    <w:rsid w:val="1FCB2EDF"/>
    <w:rsid w:val="1FE15949"/>
    <w:rsid w:val="20461E5B"/>
    <w:rsid w:val="20DD2ECA"/>
    <w:rsid w:val="20E82CA4"/>
    <w:rsid w:val="21333D5A"/>
    <w:rsid w:val="21EB60C0"/>
    <w:rsid w:val="221909AA"/>
    <w:rsid w:val="22230F84"/>
    <w:rsid w:val="22394A78"/>
    <w:rsid w:val="22584D11"/>
    <w:rsid w:val="22B13FD6"/>
    <w:rsid w:val="231B4393"/>
    <w:rsid w:val="23403A92"/>
    <w:rsid w:val="23423E06"/>
    <w:rsid w:val="235D4B06"/>
    <w:rsid w:val="236909E5"/>
    <w:rsid w:val="249C2D73"/>
    <w:rsid w:val="24B67BA9"/>
    <w:rsid w:val="24E51C8E"/>
    <w:rsid w:val="25023795"/>
    <w:rsid w:val="25DD396C"/>
    <w:rsid w:val="264F6618"/>
    <w:rsid w:val="26B446CD"/>
    <w:rsid w:val="26E04A52"/>
    <w:rsid w:val="270B4D1E"/>
    <w:rsid w:val="27111B1F"/>
    <w:rsid w:val="274A7E54"/>
    <w:rsid w:val="274F59D6"/>
    <w:rsid w:val="276C1C5E"/>
    <w:rsid w:val="27B20930"/>
    <w:rsid w:val="27C8225B"/>
    <w:rsid w:val="27CC1D8B"/>
    <w:rsid w:val="283D63CA"/>
    <w:rsid w:val="28495179"/>
    <w:rsid w:val="28A95D87"/>
    <w:rsid w:val="28C57065"/>
    <w:rsid w:val="28E93AC6"/>
    <w:rsid w:val="29260A38"/>
    <w:rsid w:val="298A5BB9"/>
    <w:rsid w:val="29E24F75"/>
    <w:rsid w:val="2AEA047F"/>
    <w:rsid w:val="2B0669B6"/>
    <w:rsid w:val="2BBA5BC2"/>
    <w:rsid w:val="2BF21352"/>
    <w:rsid w:val="2C5D5807"/>
    <w:rsid w:val="2CD0363D"/>
    <w:rsid w:val="2CFB12A7"/>
    <w:rsid w:val="2CFF4523"/>
    <w:rsid w:val="2D0C2A53"/>
    <w:rsid w:val="2D3E3613"/>
    <w:rsid w:val="2D6F3874"/>
    <w:rsid w:val="2D8D24C2"/>
    <w:rsid w:val="2DA70D60"/>
    <w:rsid w:val="2DBD47AF"/>
    <w:rsid w:val="2E4D023A"/>
    <w:rsid w:val="2E953024"/>
    <w:rsid w:val="2F925E16"/>
    <w:rsid w:val="300641C5"/>
    <w:rsid w:val="30A25AD5"/>
    <w:rsid w:val="310B3A83"/>
    <w:rsid w:val="31401297"/>
    <w:rsid w:val="31A62D9E"/>
    <w:rsid w:val="31BD3743"/>
    <w:rsid w:val="31E51A8B"/>
    <w:rsid w:val="32901248"/>
    <w:rsid w:val="32970984"/>
    <w:rsid w:val="32A001FB"/>
    <w:rsid w:val="33211964"/>
    <w:rsid w:val="333A5C90"/>
    <w:rsid w:val="33FE3429"/>
    <w:rsid w:val="33FE6325"/>
    <w:rsid w:val="34293F0D"/>
    <w:rsid w:val="344E43B3"/>
    <w:rsid w:val="34B975CE"/>
    <w:rsid w:val="35DB36B0"/>
    <w:rsid w:val="35FD7675"/>
    <w:rsid w:val="362F7C2F"/>
    <w:rsid w:val="36347E6B"/>
    <w:rsid w:val="36814BC5"/>
    <w:rsid w:val="379B0DCE"/>
    <w:rsid w:val="37F232A7"/>
    <w:rsid w:val="37F372B9"/>
    <w:rsid w:val="381B6735"/>
    <w:rsid w:val="3834284E"/>
    <w:rsid w:val="385201EA"/>
    <w:rsid w:val="38B94348"/>
    <w:rsid w:val="38D81473"/>
    <w:rsid w:val="38DD47B7"/>
    <w:rsid w:val="38FB262F"/>
    <w:rsid w:val="39035C32"/>
    <w:rsid w:val="39CC096C"/>
    <w:rsid w:val="3A1F5E1D"/>
    <w:rsid w:val="3A4D5948"/>
    <w:rsid w:val="3A4F2C33"/>
    <w:rsid w:val="3AA7663E"/>
    <w:rsid w:val="3AC30F2B"/>
    <w:rsid w:val="3B2D1FAF"/>
    <w:rsid w:val="3BD50F16"/>
    <w:rsid w:val="3BE253E0"/>
    <w:rsid w:val="3BF7379F"/>
    <w:rsid w:val="3C0B3A7C"/>
    <w:rsid w:val="3C51322C"/>
    <w:rsid w:val="3C845FA1"/>
    <w:rsid w:val="3D0A24D3"/>
    <w:rsid w:val="3D0E0391"/>
    <w:rsid w:val="3D1D2B74"/>
    <w:rsid w:val="3D4C16AB"/>
    <w:rsid w:val="3D7C434C"/>
    <w:rsid w:val="3DAB4895"/>
    <w:rsid w:val="3E186B4C"/>
    <w:rsid w:val="3E193878"/>
    <w:rsid w:val="3E2F37DC"/>
    <w:rsid w:val="3E5F540E"/>
    <w:rsid w:val="3EBD6773"/>
    <w:rsid w:val="3EF6112D"/>
    <w:rsid w:val="3EF82D74"/>
    <w:rsid w:val="3F836AAB"/>
    <w:rsid w:val="40577F35"/>
    <w:rsid w:val="406910C0"/>
    <w:rsid w:val="406C1B89"/>
    <w:rsid w:val="40793B07"/>
    <w:rsid w:val="40BD4B63"/>
    <w:rsid w:val="41193298"/>
    <w:rsid w:val="41CD2D4D"/>
    <w:rsid w:val="41F17FB5"/>
    <w:rsid w:val="42811EA0"/>
    <w:rsid w:val="42893C6E"/>
    <w:rsid w:val="42A930FC"/>
    <w:rsid w:val="42AD4968"/>
    <w:rsid w:val="42DF72BA"/>
    <w:rsid w:val="43321D76"/>
    <w:rsid w:val="43FE7CCA"/>
    <w:rsid w:val="44012FC4"/>
    <w:rsid w:val="4427077C"/>
    <w:rsid w:val="445B2518"/>
    <w:rsid w:val="459070EC"/>
    <w:rsid w:val="45CA64E1"/>
    <w:rsid w:val="45E24AE3"/>
    <w:rsid w:val="460770F5"/>
    <w:rsid w:val="460A3BE8"/>
    <w:rsid w:val="460D1D60"/>
    <w:rsid w:val="46145DE6"/>
    <w:rsid w:val="46F273CF"/>
    <w:rsid w:val="47077A4B"/>
    <w:rsid w:val="47D37848"/>
    <w:rsid w:val="47FB6470"/>
    <w:rsid w:val="4921081C"/>
    <w:rsid w:val="496F0FE9"/>
    <w:rsid w:val="49FD4867"/>
    <w:rsid w:val="4A164D2D"/>
    <w:rsid w:val="4A244932"/>
    <w:rsid w:val="4A5404C9"/>
    <w:rsid w:val="4A735B24"/>
    <w:rsid w:val="4ACA5FC5"/>
    <w:rsid w:val="4B677104"/>
    <w:rsid w:val="4BE3099B"/>
    <w:rsid w:val="4BFA7DA3"/>
    <w:rsid w:val="4C4429F5"/>
    <w:rsid w:val="4CD03774"/>
    <w:rsid w:val="4D017C5C"/>
    <w:rsid w:val="4D1473C4"/>
    <w:rsid w:val="4D4D5A97"/>
    <w:rsid w:val="4D5A127B"/>
    <w:rsid w:val="4D5A7FC0"/>
    <w:rsid w:val="4D7C4B7E"/>
    <w:rsid w:val="4D810D8E"/>
    <w:rsid w:val="4DCD714D"/>
    <w:rsid w:val="4DD05491"/>
    <w:rsid w:val="4DDA0E91"/>
    <w:rsid w:val="4E073314"/>
    <w:rsid w:val="4E497A58"/>
    <w:rsid w:val="4E4B36FF"/>
    <w:rsid w:val="4EAC6842"/>
    <w:rsid w:val="4EC31918"/>
    <w:rsid w:val="4F294E94"/>
    <w:rsid w:val="50174451"/>
    <w:rsid w:val="503E2F42"/>
    <w:rsid w:val="508000F0"/>
    <w:rsid w:val="50A21437"/>
    <w:rsid w:val="50FE33E5"/>
    <w:rsid w:val="516E3547"/>
    <w:rsid w:val="517843C5"/>
    <w:rsid w:val="51795E10"/>
    <w:rsid w:val="5243620C"/>
    <w:rsid w:val="52701D99"/>
    <w:rsid w:val="531531F3"/>
    <w:rsid w:val="53DB6E93"/>
    <w:rsid w:val="53E05987"/>
    <w:rsid w:val="54030E0A"/>
    <w:rsid w:val="54621D49"/>
    <w:rsid w:val="54E0475B"/>
    <w:rsid w:val="54F53374"/>
    <w:rsid w:val="55697C0F"/>
    <w:rsid w:val="5596057D"/>
    <w:rsid w:val="55E464CD"/>
    <w:rsid w:val="56093319"/>
    <w:rsid w:val="566B39C0"/>
    <w:rsid w:val="568455BA"/>
    <w:rsid w:val="56933A4F"/>
    <w:rsid w:val="56EF1092"/>
    <w:rsid w:val="57064221"/>
    <w:rsid w:val="57632432"/>
    <w:rsid w:val="57D367F9"/>
    <w:rsid w:val="57EE1238"/>
    <w:rsid w:val="58E12F61"/>
    <w:rsid w:val="58E33CEF"/>
    <w:rsid w:val="590C3159"/>
    <w:rsid w:val="592C34BE"/>
    <w:rsid w:val="59374B66"/>
    <w:rsid w:val="597162CA"/>
    <w:rsid w:val="59970B8E"/>
    <w:rsid w:val="59D423B5"/>
    <w:rsid w:val="5A020316"/>
    <w:rsid w:val="5AE41AEF"/>
    <w:rsid w:val="5AFA0869"/>
    <w:rsid w:val="5B057365"/>
    <w:rsid w:val="5B244B34"/>
    <w:rsid w:val="5B8B1FEF"/>
    <w:rsid w:val="5C141C68"/>
    <w:rsid w:val="5C6A707D"/>
    <w:rsid w:val="5C8C010D"/>
    <w:rsid w:val="5CAB38A1"/>
    <w:rsid w:val="5CC71DD7"/>
    <w:rsid w:val="5CFD2FF2"/>
    <w:rsid w:val="5D174F32"/>
    <w:rsid w:val="5D312F09"/>
    <w:rsid w:val="5D50080F"/>
    <w:rsid w:val="5E127261"/>
    <w:rsid w:val="5E6755B0"/>
    <w:rsid w:val="5E7A60C0"/>
    <w:rsid w:val="5E7F5211"/>
    <w:rsid w:val="5EC93569"/>
    <w:rsid w:val="5EED7163"/>
    <w:rsid w:val="5F2D0132"/>
    <w:rsid w:val="5F5D4BFA"/>
    <w:rsid w:val="5F780946"/>
    <w:rsid w:val="5F8256F8"/>
    <w:rsid w:val="6035571C"/>
    <w:rsid w:val="606762B3"/>
    <w:rsid w:val="60EC5414"/>
    <w:rsid w:val="61302F16"/>
    <w:rsid w:val="618B36FE"/>
    <w:rsid w:val="61972646"/>
    <w:rsid w:val="61BC5B7A"/>
    <w:rsid w:val="61D909C1"/>
    <w:rsid w:val="62022BA4"/>
    <w:rsid w:val="62AD0CC3"/>
    <w:rsid w:val="62D242C8"/>
    <w:rsid w:val="63A92A9A"/>
    <w:rsid w:val="63BB75EA"/>
    <w:rsid w:val="63E044EB"/>
    <w:rsid w:val="63E11633"/>
    <w:rsid w:val="641C6E32"/>
    <w:rsid w:val="641E352D"/>
    <w:rsid w:val="64B730E2"/>
    <w:rsid w:val="64FF04FF"/>
    <w:rsid w:val="65C20398"/>
    <w:rsid w:val="664B1C51"/>
    <w:rsid w:val="664F2413"/>
    <w:rsid w:val="666176C6"/>
    <w:rsid w:val="67242BCD"/>
    <w:rsid w:val="67495CC2"/>
    <w:rsid w:val="6796172E"/>
    <w:rsid w:val="67AB28E7"/>
    <w:rsid w:val="67FD44F2"/>
    <w:rsid w:val="68656C34"/>
    <w:rsid w:val="6945591A"/>
    <w:rsid w:val="696E57CB"/>
    <w:rsid w:val="6983451E"/>
    <w:rsid w:val="69AE122B"/>
    <w:rsid w:val="69BB79BE"/>
    <w:rsid w:val="69EB0869"/>
    <w:rsid w:val="6A043D40"/>
    <w:rsid w:val="6A527A52"/>
    <w:rsid w:val="6B3A2FDF"/>
    <w:rsid w:val="6BA14502"/>
    <w:rsid w:val="6BB169FA"/>
    <w:rsid w:val="6BB973D3"/>
    <w:rsid w:val="6BD8652B"/>
    <w:rsid w:val="6C4C04D0"/>
    <w:rsid w:val="6C5258BF"/>
    <w:rsid w:val="6C95790C"/>
    <w:rsid w:val="6D417909"/>
    <w:rsid w:val="6D5033FC"/>
    <w:rsid w:val="6DCE3790"/>
    <w:rsid w:val="6E4D0697"/>
    <w:rsid w:val="6E8437C4"/>
    <w:rsid w:val="6E9E3BEA"/>
    <w:rsid w:val="6EB507A2"/>
    <w:rsid w:val="6EFE001B"/>
    <w:rsid w:val="6F241291"/>
    <w:rsid w:val="7026630B"/>
    <w:rsid w:val="70B730A3"/>
    <w:rsid w:val="711A294B"/>
    <w:rsid w:val="71531D3F"/>
    <w:rsid w:val="7161686F"/>
    <w:rsid w:val="717C18CB"/>
    <w:rsid w:val="72347A3D"/>
    <w:rsid w:val="72712A3F"/>
    <w:rsid w:val="729C70D0"/>
    <w:rsid w:val="730F4AB3"/>
    <w:rsid w:val="73576CB2"/>
    <w:rsid w:val="73A314BA"/>
    <w:rsid w:val="74A50399"/>
    <w:rsid w:val="74BD1B02"/>
    <w:rsid w:val="74EC45FF"/>
    <w:rsid w:val="752B44DA"/>
    <w:rsid w:val="756E2B29"/>
    <w:rsid w:val="759B542E"/>
    <w:rsid w:val="75BA7A49"/>
    <w:rsid w:val="760B6C14"/>
    <w:rsid w:val="76320737"/>
    <w:rsid w:val="76466098"/>
    <w:rsid w:val="76CA3ABA"/>
    <w:rsid w:val="76EC2328"/>
    <w:rsid w:val="7709593C"/>
    <w:rsid w:val="77530641"/>
    <w:rsid w:val="7769145A"/>
    <w:rsid w:val="777A05E8"/>
    <w:rsid w:val="77942A3F"/>
    <w:rsid w:val="77F70923"/>
    <w:rsid w:val="78016613"/>
    <w:rsid w:val="78201147"/>
    <w:rsid w:val="7827105C"/>
    <w:rsid w:val="784C6566"/>
    <w:rsid w:val="784F1079"/>
    <w:rsid w:val="787E4CA8"/>
    <w:rsid w:val="78DA7590"/>
    <w:rsid w:val="79F42793"/>
    <w:rsid w:val="7A3B234E"/>
    <w:rsid w:val="7A944C9B"/>
    <w:rsid w:val="7ACB4572"/>
    <w:rsid w:val="7B29105A"/>
    <w:rsid w:val="7B5A0F97"/>
    <w:rsid w:val="7B7460DA"/>
    <w:rsid w:val="7B760214"/>
    <w:rsid w:val="7B8374DB"/>
    <w:rsid w:val="7BDC361F"/>
    <w:rsid w:val="7C58481A"/>
    <w:rsid w:val="7D7711F5"/>
    <w:rsid w:val="7D9341B1"/>
    <w:rsid w:val="7D953489"/>
    <w:rsid w:val="7DC03599"/>
    <w:rsid w:val="7E2A172F"/>
    <w:rsid w:val="7E3000F9"/>
    <w:rsid w:val="7E4278A8"/>
    <w:rsid w:val="7F4A2E33"/>
    <w:rsid w:val="7F645E05"/>
    <w:rsid w:val="7F8D79EC"/>
    <w:rsid w:val="7FE568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locked/>
    <w:uiPriority w:val="9"/>
    <w:pPr>
      <w:keepNext/>
      <w:keepLines/>
      <w:spacing w:line="576" w:lineRule="auto"/>
      <w:outlineLvl w:val="0"/>
    </w:pPr>
    <w:rPr>
      <w:b/>
      <w:kern w:val="44"/>
      <w:sz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4"/>
    <w:autoRedefine/>
    <w:qFormat/>
    <w:uiPriority w:val="99"/>
    <w:pPr>
      <w:ind w:left="100" w:leftChars="2500"/>
    </w:pPr>
  </w:style>
  <w:style w:type="paragraph" w:styleId="4">
    <w:name w:val="Balloon Text"/>
    <w:basedOn w:val="1"/>
    <w:link w:val="15"/>
    <w:autoRedefine/>
    <w:semiHidden/>
    <w:qFormat/>
    <w:uiPriority w:val="99"/>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locked/>
    <w:uiPriority w:val="99"/>
    <w:pPr>
      <w:spacing w:beforeAutospacing="1" w:afterAutospacing="1"/>
      <w:jc w:val="left"/>
    </w:pPr>
    <w:rPr>
      <w:kern w:val="0"/>
      <w:sz w:val="24"/>
    </w:rPr>
  </w:style>
  <w:style w:type="character" w:styleId="10">
    <w:name w:val="Strong"/>
    <w:basedOn w:val="9"/>
    <w:autoRedefine/>
    <w:qFormat/>
    <w:locked/>
    <w:uiPriority w:val="22"/>
    <w:rPr>
      <w:b/>
    </w:rPr>
  </w:style>
  <w:style w:type="character" w:styleId="11">
    <w:name w:val="page number"/>
    <w:basedOn w:val="9"/>
    <w:autoRedefine/>
    <w:qFormat/>
    <w:uiPriority w:val="99"/>
  </w:style>
  <w:style w:type="character" w:styleId="12">
    <w:name w:val="FollowedHyperlink"/>
    <w:basedOn w:val="9"/>
    <w:autoRedefine/>
    <w:semiHidden/>
    <w:unhideWhenUsed/>
    <w:qFormat/>
    <w:locked/>
    <w:uiPriority w:val="99"/>
    <w:rPr>
      <w:rFonts w:ascii="微软雅黑" w:hAnsi="微软雅黑" w:eastAsia="微软雅黑" w:cs="微软雅黑"/>
      <w:color w:val="800080"/>
      <w:u w:val="none"/>
    </w:rPr>
  </w:style>
  <w:style w:type="character" w:styleId="13">
    <w:name w:val="Hyperlink"/>
    <w:basedOn w:val="9"/>
    <w:autoRedefine/>
    <w:semiHidden/>
    <w:unhideWhenUsed/>
    <w:qFormat/>
    <w:locked/>
    <w:uiPriority w:val="99"/>
    <w:rPr>
      <w:color w:val="0000FF"/>
      <w:u w:val="single"/>
    </w:rPr>
  </w:style>
  <w:style w:type="character" w:customStyle="1" w:styleId="14">
    <w:name w:val="日期 Char"/>
    <w:basedOn w:val="9"/>
    <w:link w:val="3"/>
    <w:autoRedefine/>
    <w:semiHidden/>
    <w:qFormat/>
    <w:locked/>
    <w:uiPriority w:val="99"/>
    <w:rPr>
      <w:sz w:val="24"/>
      <w:szCs w:val="24"/>
    </w:rPr>
  </w:style>
  <w:style w:type="character" w:customStyle="1" w:styleId="15">
    <w:name w:val="批注框文本 Char"/>
    <w:basedOn w:val="9"/>
    <w:link w:val="4"/>
    <w:autoRedefine/>
    <w:semiHidden/>
    <w:qFormat/>
    <w:locked/>
    <w:uiPriority w:val="99"/>
    <w:rPr>
      <w:sz w:val="2"/>
      <w:szCs w:val="2"/>
    </w:rPr>
  </w:style>
  <w:style w:type="character" w:customStyle="1" w:styleId="16">
    <w:name w:val="页脚 Char"/>
    <w:basedOn w:val="9"/>
    <w:link w:val="5"/>
    <w:autoRedefine/>
    <w:semiHidden/>
    <w:qFormat/>
    <w:locked/>
    <w:uiPriority w:val="99"/>
    <w:rPr>
      <w:sz w:val="18"/>
      <w:szCs w:val="18"/>
    </w:rPr>
  </w:style>
  <w:style w:type="character" w:customStyle="1" w:styleId="17">
    <w:name w:val="页眉 Char"/>
    <w:basedOn w:val="9"/>
    <w:link w:val="6"/>
    <w:autoRedefine/>
    <w:semiHidden/>
    <w:qFormat/>
    <w:locked/>
    <w:uiPriority w:val="99"/>
    <w:rPr>
      <w:sz w:val="18"/>
      <w:szCs w:val="18"/>
    </w:rPr>
  </w:style>
  <w:style w:type="paragraph" w:customStyle="1" w:styleId="18">
    <w:name w:val="Char"/>
    <w:basedOn w:val="1"/>
    <w:autoRedefine/>
    <w:qFormat/>
    <w:uiPriority w:val="99"/>
  </w:style>
  <w:style w:type="paragraph" w:customStyle="1" w:styleId="19">
    <w:name w:val="Char Char Char Char Char Char Char"/>
    <w:basedOn w:val="1"/>
    <w:autoRedefine/>
    <w:qFormat/>
    <w:uiPriority w:val="99"/>
    <w:pPr>
      <w:spacing w:line="360" w:lineRule="auto"/>
      <w:ind w:firstLine="200" w:firstLineChars="200"/>
    </w:pPr>
  </w:style>
  <w:style w:type="paragraph" w:customStyle="1" w:styleId="20">
    <w:name w:val="_Style 5"/>
    <w:basedOn w:val="1"/>
    <w:autoRedefine/>
    <w:qFormat/>
    <w:uiPriority w:val="99"/>
    <w:pPr>
      <w:spacing w:line="360" w:lineRule="auto"/>
      <w:ind w:firstLine="200" w:firstLineChars="200"/>
    </w:pPr>
  </w:style>
  <w:style w:type="paragraph" w:customStyle="1" w:styleId="21">
    <w:name w:val="Char Char Char"/>
    <w:basedOn w:val="1"/>
    <w:autoRedefine/>
    <w:qFormat/>
    <w:uiPriority w:val="99"/>
    <w:pPr>
      <w:widowControl/>
      <w:numPr>
        <w:ilvl w:val="0"/>
        <w:numId w:val="1"/>
      </w:numPr>
      <w:tabs>
        <w:tab w:val="left" w:pos="425"/>
        <w:tab w:val="clear" w:pos="1003"/>
      </w:tabs>
      <w:spacing w:before="120" w:after="120"/>
      <w:jc w:val="left"/>
    </w:pPr>
    <w:rPr>
      <w:rFonts w:ascii="Verdana" w:hAnsi="Verdana" w:eastAsia="方正大黑简体" w:cs="Verdana"/>
      <w:b/>
      <w:bCs/>
      <w:sz w:val="36"/>
      <w:szCs w:val="36"/>
      <w:lang w:eastAsia="en-US"/>
    </w:rPr>
  </w:style>
  <w:style w:type="paragraph" w:customStyle="1" w:styleId="22">
    <w:name w:val="Body text|1"/>
    <w:basedOn w:val="1"/>
    <w:autoRedefine/>
    <w:qFormat/>
    <w:uiPriority w:val="0"/>
    <w:pPr>
      <w:spacing w:line="593" w:lineRule="exact"/>
      <w:ind w:firstLine="610"/>
    </w:pPr>
    <w:rPr>
      <w:rFonts w:ascii="宋体" w:hAnsi="宋体" w:cs="宋体"/>
      <w:sz w:val="26"/>
      <w:szCs w:val="26"/>
      <w:lang w:val="zh-TW" w:eastAsia="zh-TW" w:bidi="zh-TW"/>
    </w:rPr>
  </w:style>
  <w:style w:type="paragraph" w:customStyle="1" w:styleId="23">
    <w:name w:val="p"/>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1F9DB2-1CE3-42B4-96D8-75645C94524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2913</Words>
  <Characters>3027</Characters>
  <Lines>22</Lines>
  <Paragraphs>6</Paragraphs>
  <TotalTime>50</TotalTime>
  <ScaleCrop>false</ScaleCrop>
  <LinksUpToDate>false</LinksUpToDate>
  <CharactersWithSpaces>3027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2020-02-13T03:41:00Z</dcterms:created>
  <dc:creator>微软用户</dc:creator>
  <cp:lastModifiedBy>lenovo</cp:lastModifiedBy>
  <cp:lastPrinted>2025-01-08T01:47:00Z</cp:lastPrinted>
  <dcterms:modified xsi:type="dcterms:W3CDTF">2025-01-14T05:58:12Z</dcterms:modified>
  <dc:title>接 待 方 案</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97F084A34486446B87CD3CA1F138F502_13</vt:lpwstr>
  </property>
  <property fmtid="{D5CDD505-2E9C-101B-9397-08002B2CF9AE}" pid="4" name="KSOTemplateDocerSaveRecord">
    <vt:lpwstr>eyJoZGlkIjoiMTEzNzMwMGY4NmVmMmU2MjE5Y2U2NTU0NjA3YjI2ZTMifQ==</vt:lpwstr>
  </property>
</Properties>
</file>