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6C32E">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昌乐县工业和信息化局</w:t>
      </w:r>
    </w:p>
    <w:p w14:paraId="71AB6FAB">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年政府信息公开工作年度报告</w:t>
      </w:r>
    </w:p>
    <w:p w14:paraId="1B57FD34">
      <w:pPr>
        <w:spacing w:line="600" w:lineRule="exact"/>
        <w:ind w:firstLine="640" w:firstLineChars="200"/>
        <w:rPr>
          <w:rFonts w:ascii="仿宋_GB2312" w:eastAsia="仿宋_GB2312"/>
          <w:sz w:val="32"/>
          <w:szCs w:val="32"/>
        </w:rPr>
      </w:pPr>
    </w:p>
    <w:p w14:paraId="553572EC">
      <w:pPr>
        <w:spacing w:line="600" w:lineRule="exact"/>
        <w:ind w:firstLine="640" w:firstLineChars="200"/>
        <w:jc w:val="left"/>
        <w:rPr>
          <w:rFonts w:hint="eastAsia" w:ascii="仿宋_GB2312" w:eastAsia="宋体"/>
          <w:sz w:val="32"/>
          <w:szCs w:val="32"/>
          <w:lang w:eastAsia="zh-CN"/>
        </w:rPr>
      </w:pPr>
      <w:r>
        <w:rPr>
          <w:rFonts w:hint="eastAsia" w:ascii="仿宋_GB2312" w:eastAsia="仿宋_GB2312"/>
          <w:sz w:val="32"/>
          <w:szCs w:val="32"/>
        </w:rPr>
        <w:t>根据《中华人民共和国政府信息公开条例》</w:t>
      </w:r>
      <w:r>
        <w:rPr>
          <w:rFonts w:hint="eastAsia" w:ascii="仿宋_GB2312" w:eastAsia="仿宋_GB2312"/>
          <w:sz w:val="32"/>
          <w:szCs w:val="32"/>
          <w:lang w:eastAsia="zh-CN"/>
        </w:rPr>
        <w:t>的</w:t>
      </w:r>
      <w:r>
        <w:rPr>
          <w:rFonts w:hint="eastAsia" w:ascii="仿宋_GB2312" w:eastAsia="仿宋_GB2312"/>
          <w:sz w:val="32"/>
          <w:szCs w:val="32"/>
        </w:rPr>
        <w:t>要求和市县关于年度信息公开安排，结合我局实际，编制并向社会发布昌乐县工业和信息化局202</w:t>
      </w:r>
      <w:r>
        <w:rPr>
          <w:rFonts w:hint="eastAsia" w:ascii="仿宋_GB2312" w:eastAsia="仿宋_GB2312"/>
          <w:sz w:val="32"/>
          <w:szCs w:val="32"/>
          <w:lang w:val="en-US" w:eastAsia="zh-CN"/>
        </w:rPr>
        <w:t>4</w:t>
      </w:r>
      <w:r>
        <w:rPr>
          <w:rFonts w:hint="eastAsia" w:ascii="仿宋_GB2312" w:eastAsia="仿宋_GB2312"/>
          <w:sz w:val="32"/>
          <w:szCs w:val="32"/>
        </w:rPr>
        <w:t>年政府信息公开工作年度报告。</w:t>
      </w:r>
      <w:r>
        <w:rPr>
          <w:rFonts w:hint="eastAsia" w:ascii="仿宋_GB2312" w:eastAsia="仿宋_GB2312"/>
          <w:sz w:val="32"/>
          <w:szCs w:val="32"/>
          <w:lang w:eastAsia="zh-CN"/>
        </w:rPr>
        <w:t>本报告由总体情况，</w:t>
      </w:r>
      <w:r>
        <w:rPr>
          <w:rFonts w:hint="eastAsia" w:ascii="仿宋_GB2312" w:eastAsia="仿宋_GB2312"/>
          <w:sz w:val="32"/>
          <w:szCs w:val="32"/>
        </w:rPr>
        <w:t>行政机关主动公开政府信息情况</w:t>
      </w:r>
      <w:r>
        <w:rPr>
          <w:rFonts w:hint="eastAsia" w:ascii="仿宋_GB2312" w:eastAsia="仿宋_GB2312"/>
          <w:sz w:val="32"/>
          <w:szCs w:val="32"/>
          <w:lang w:eastAsia="zh-CN"/>
        </w:rPr>
        <w:t>，</w:t>
      </w:r>
      <w:r>
        <w:rPr>
          <w:rFonts w:hint="eastAsia" w:ascii="仿宋_GB2312" w:eastAsia="仿宋_GB2312"/>
          <w:sz w:val="32"/>
          <w:szCs w:val="32"/>
        </w:rPr>
        <w:t>行政机关收到和处理政府信息公开申请情况</w:t>
      </w:r>
      <w:r>
        <w:rPr>
          <w:rFonts w:hint="eastAsia" w:ascii="仿宋_GB2312" w:eastAsia="仿宋_GB2312"/>
          <w:sz w:val="32"/>
          <w:szCs w:val="32"/>
          <w:lang w:eastAsia="zh-CN"/>
        </w:rPr>
        <w:t>，</w:t>
      </w:r>
      <w:r>
        <w:rPr>
          <w:rFonts w:hint="eastAsia" w:ascii="仿宋_GB2312" w:eastAsia="仿宋_GB2312"/>
          <w:sz w:val="32"/>
          <w:szCs w:val="32"/>
        </w:rPr>
        <w:t>因政府信息公开工作被申请行政复议、提起行政诉讼情况</w:t>
      </w:r>
      <w:r>
        <w:rPr>
          <w:rFonts w:hint="eastAsia" w:ascii="仿宋_GB2312" w:eastAsia="仿宋_GB2312"/>
          <w:sz w:val="32"/>
          <w:szCs w:val="32"/>
          <w:lang w:eastAsia="zh-CN"/>
        </w:rPr>
        <w:t>，</w:t>
      </w:r>
      <w:r>
        <w:rPr>
          <w:rFonts w:hint="eastAsia" w:ascii="仿宋_GB2312" w:eastAsia="仿宋_GB2312"/>
          <w:sz w:val="32"/>
          <w:szCs w:val="32"/>
        </w:rPr>
        <w:t>政府信息公开工作存在的主要问题及改进情况</w:t>
      </w:r>
      <w:r>
        <w:rPr>
          <w:rFonts w:hint="eastAsia" w:ascii="仿宋_GB2312" w:eastAsia="仿宋_GB2312"/>
          <w:sz w:val="32"/>
          <w:szCs w:val="32"/>
          <w:lang w:eastAsia="zh-CN"/>
        </w:rPr>
        <w:t>，</w:t>
      </w:r>
      <w:r>
        <w:rPr>
          <w:rFonts w:hint="eastAsia" w:ascii="仿宋_GB2312" w:eastAsia="仿宋_GB2312"/>
          <w:sz w:val="32"/>
          <w:szCs w:val="32"/>
        </w:rPr>
        <w:t>其他需要报告的事项</w:t>
      </w:r>
      <w:r>
        <w:rPr>
          <w:rFonts w:hint="eastAsia" w:ascii="仿宋_GB2312" w:eastAsia="仿宋_GB2312"/>
          <w:sz w:val="32"/>
          <w:szCs w:val="32"/>
          <w:lang w:eastAsia="zh-CN"/>
        </w:rPr>
        <w:t>六部分组成</w:t>
      </w:r>
      <w:r>
        <w:rPr>
          <w:rFonts w:hint="eastAsia" w:ascii="仿宋_GB2312" w:eastAsia="仿宋_GB2312"/>
          <w:sz w:val="32"/>
          <w:szCs w:val="32"/>
        </w:rPr>
        <w:t>。本年度报告中所列数据统计期限从202</w:t>
      </w:r>
      <w:r>
        <w:rPr>
          <w:rFonts w:hint="eastAsia" w:ascii="仿宋_GB2312" w:eastAsia="仿宋_GB2312"/>
          <w:sz w:val="32"/>
          <w:szCs w:val="32"/>
          <w:lang w:val="en-US" w:eastAsia="zh-CN"/>
        </w:rPr>
        <w:t>4</w:t>
      </w:r>
      <w:r>
        <w:rPr>
          <w:rFonts w:hint="eastAsia" w:ascii="仿宋_GB2312" w:eastAsia="仿宋_GB2312"/>
          <w:sz w:val="32"/>
          <w:szCs w:val="32"/>
        </w:rPr>
        <w:t>年1月1日到202</w:t>
      </w:r>
      <w:r>
        <w:rPr>
          <w:rFonts w:hint="eastAsia" w:ascii="仿宋_GB2312" w:eastAsia="仿宋_GB2312"/>
          <w:sz w:val="32"/>
          <w:szCs w:val="32"/>
          <w:lang w:val="en-US" w:eastAsia="zh-CN"/>
        </w:rPr>
        <w:t>4</w:t>
      </w:r>
      <w:r>
        <w:rPr>
          <w:rFonts w:hint="eastAsia" w:ascii="仿宋_GB2312" w:eastAsia="仿宋_GB2312"/>
          <w:sz w:val="32"/>
          <w:szCs w:val="32"/>
        </w:rPr>
        <w:t>年12月31日止</w:t>
      </w:r>
      <w:r>
        <w:rPr>
          <w:rFonts w:hint="eastAsia" w:ascii="仿宋_GB2312" w:eastAsia="仿宋_GB2312"/>
          <w:sz w:val="32"/>
          <w:szCs w:val="32"/>
          <w:lang w:eastAsia="zh-CN"/>
        </w:rPr>
        <w:t>。</w:t>
      </w:r>
    </w:p>
    <w:p w14:paraId="5D24CA54">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eastAsia="zh-CN"/>
        </w:rPr>
        <w:t>一、</w:t>
      </w:r>
      <w:r>
        <w:rPr>
          <w:rFonts w:hint="eastAsia" w:ascii="黑体" w:hAnsi="黑体" w:eastAsia="黑体" w:cs="黑体"/>
          <w:b/>
          <w:bCs/>
          <w:sz w:val="32"/>
          <w:szCs w:val="32"/>
        </w:rPr>
        <w:t>总体情况</w:t>
      </w:r>
    </w:p>
    <w:p w14:paraId="231C78AB">
      <w:pPr>
        <w:spacing w:line="60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2024年，在县委、县政府的正确领导下，</w:t>
      </w:r>
      <w:r>
        <w:rPr>
          <w:rFonts w:hint="eastAsia" w:ascii="仿宋_GB2312" w:eastAsia="仿宋_GB2312"/>
          <w:sz w:val="32"/>
          <w:szCs w:val="32"/>
        </w:rPr>
        <w:t>认真落实国务院、省政府和市政府有关政府信息公开工作的部署</w:t>
      </w:r>
      <w:r>
        <w:rPr>
          <w:rFonts w:hint="eastAsia" w:ascii="仿宋_GB2312" w:eastAsia="仿宋_GB2312"/>
          <w:sz w:val="32"/>
          <w:szCs w:val="32"/>
          <w:lang w:eastAsia="zh-CN"/>
        </w:rPr>
        <w:t>，</w:t>
      </w:r>
      <w:r>
        <w:rPr>
          <w:rFonts w:hint="eastAsia" w:ascii="仿宋_GB2312" w:eastAsia="仿宋_GB2312"/>
          <w:sz w:val="32"/>
          <w:szCs w:val="32"/>
        </w:rPr>
        <w:t>紧紧围绕政务公开重点工作和工业和信息化中心工作，坚持以人民为中心，</w:t>
      </w:r>
      <w:r>
        <w:rPr>
          <w:rFonts w:hint="eastAsia" w:ascii="仿宋_GB2312" w:eastAsia="仿宋_GB2312"/>
          <w:sz w:val="32"/>
          <w:szCs w:val="32"/>
          <w:lang w:val="en-US" w:eastAsia="zh-CN"/>
        </w:rPr>
        <w:t>积极健全管理制度，狠抓工作落实，</w:t>
      </w:r>
      <w:r>
        <w:rPr>
          <w:rFonts w:hint="eastAsia" w:ascii="仿宋_GB2312" w:eastAsia="仿宋_GB2312"/>
          <w:sz w:val="32"/>
          <w:szCs w:val="32"/>
        </w:rPr>
        <w:t>不断深化主动公开，努力提升政府信息公开工作的质量和水平。</w:t>
      </w:r>
    </w:p>
    <w:p w14:paraId="3D811960">
      <w:pPr>
        <w:spacing w:line="600" w:lineRule="exact"/>
        <w:ind w:firstLine="640" w:firstLineChars="200"/>
        <w:rPr>
          <w:rFonts w:hint="eastAsia" w:ascii="仿宋_GB2312" w:eastAsia="仿宋_GB2312"/>
          <w:sz w:val="32"/>
          <w:szCs w:val="32"/>
          <w:lang w:val="en-US" w:eastAsia="zh-CN"/>
        </w:rPr>
      </w:pPr>
      <w:r>
        <w:rPr>
          <w:rFonts w:hint="eastAsia" w:ascii="楷体_GB2312" w:hAnsi="楷体_GB2312" w:eastAsia="楷体_GB2312" w:cs="楷体_GB2312"/>
          <w:sz w:val="32"/>
          <w:szCs w:val="32"/>
          <w:highlight w:val="none"/>
          <w:lang w:val="en-US" w:eastAsia="zh-CN"/>
        </w:rPr>
        <w:t>（一）主</w:t>
      </w:r>
      <w:r>
        <w:rPr>
          <w:rFonts w:hint="eastAsia" w:ascii="楷体_GB2312" w:hAnsi="楷体_GB2312" w:eastAsia="楷体_GB2312" w:cs="楷体_GB2312"/>
          <w:sz w:val="32"/>
          <w:szCs w:val="32"/>
          <w:lang w:val="en-US" w:eastAsia="zh-CN"/>
        </w:rPr>
        <w:t>动公开</w:t>
      </w:r>
    </w:p>
    <w:p w14:paraId="79CAC628">
      <w:pPr>
        <w:spacing w:line="600" w:lineRule="exact"/>
        <w:ind w:firstLine="640" w:firstLineChars="200"/>
        <w:rPr>
          <w:rFonts w:hint="eastAsia" w:ascii="仿宋_GB2312" w:eastAsia="仿宋_GB2312"/>
          <w:sz w:val="32"/>
          <w:szCs w:val="32"/>
          <w:highlight w:val="yellow"/>
          <w:lang w:val="en-US" w:eastAsia="zh-CN"/>
        </w:rPr>
      </w:pPr>
      <w:r>
        <w:rPr>
          <w:rFonts w:hint="eastAsia" w:ascii="仿宋_GB2312" w:eastAsia="仿宋_GB2312"/>
          <w:sz w:val="32"/>
          <w:szCs w:val="32"/>
          <w:lang w:val="en-US" w:eastAsia="zh-CN"/>
        </w:rPr>
        <w:t>截至2024年12月31日，主动公开政府信息</w:t>
      </w:r>
      <w:r>
        <w:rPr>
          <w:rFonts w:hint="eastAsia" w:ascii="仿宋_GB2312" w:eastAsia="仿宋_GB2312"/>
          <w:sz w:val="32"/>
          <w:szCs w:val="32"/>
          <w:highlight w:val="none"/>
          <w:lang w:val="en-US" w:eastAsia="zh-CN"/>
        </w:rPr>
        <w:t>85条，其中机构职能1条，政策文件及解读11条，工作信息4条，财政信息24条，行政权力9条，行政权力运用信息16条，建议提案15条，重大建设项目批准和实施领域1条，公共资源配置领域1条，社会公益事业建设领域3条。</w:t>
      </w:r>
    </w:p>
    <w:p w14:paraId="4993FB40">
      <w:pPr>
        <w:spacing w:line="600" w:lineRule="exact"/>
        <w:ind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（二）依申请公开</w:t>
      </w:r>
    </w:p>
    <w:p w14:paraId="37E2FA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lang w:val="en-US" w:eastAsia="zh-CN"/>
        </w:rPr>
        <w:t>2024年，我局收到依申请公开</w:t>
      </w:r>
      <w:r>
        <w:rPr>
          <w:rFonts w:hint="eastAsia" w:ascii="仿宋_GB2312" w:eastAsia="仿宋_GB2312"/>
          <w:sz w:val="32"/>
          <w:szCs w:val="32"/>
          <w:highlight w:val="none"/>
          <w:lang w:val="en-US" w:eastAsia="zh-CN"/>
        </w:rPr>
        <w:t>案件0件。</w:t>
      </w:r>
    </w:p>
    <w:p w14:paraId="3119DB6A">
      <w:pPr>
        <w:spacing w:line="600" w:lineRule="exact"/>
        <w:ind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（三）政府信息管理</w:t>
      </w:r>
    </w:p>
    <w:p w14:paraId="6605907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10" w:afterAutospacing="0" w:line="600" w:lineRule="exact"/>
        <w:ind w:left="0" w:right="0" w:firstLine="640" w:firstLineChars="200"/>
        <w:jc w:val="left"/>
        <w:rPr>
          <w:rFonts w:hint="default" w:ascii="仿宋_GB2312" w:hAnsi="Segoe UI" w:eastAsia="仿宋_GB2312" w:cs="仿宋_GB2312"/>
          <w:color w:val="212529"/>
          <w:kern w:val="0"/>
          <w:sz w:val="32"/>
          <w:szCs w:val="32"/>
          <w:shd w:val="clear" w:fill="FFFFFF"/>
          <w:lang w:val="en-US" w:eastAsia="zh-CN" w:bidi="ar"/>
        </w:rPr>
      </w:pPr>
      <w:r>
        <w:rPr>
          <w:rFonts w:hint="eastAsia" w:ascii="仿宋_GB2312" w:hAnsi="Segoe UI" w:eastAsia="仿宋_GB2312" w:cs="仿宋_GB2312"/>
          <w:color w:val="212529"/>
          <w:kern w:val="0"/>
          <w:sz w:val="32"/>
          <w:szCs w:val="32"/>
          <w:shd w:val="clear" w:fill="FFFFFF"/>
          <w:lang w:val="en-US" w:eastAsia="zh-CN" w:bidi="ar"/>
        </w:rPr>
        <w:t>进一步</w:t>
      </w:r>
      <w:r>
        <w:rPr>
          <w:rFonts w:ascii="仿宋_GB2312" w:hAnsi="Segoe UI" w:eastAsia="仿宋_GB2312" w:cs="仿宋_GB2312"/>
          <w:color w:val="212529"/>
          <w:kern w:val="0"/>
          <w:sz w:val="32"/>
          <w:szCs w:val="32"/>
          <w:shd w:val="clear" w:fill="FFFFFF"/>
          <w:lang w:val="en-US" w:eastAsia="zh-CN" w:bidi="ar"/>
        </w:rPr>
        <w:t>健全信息收集、审查、处理机制</w:t>
      </w:r>
      <w:r>
        <w:rPr>
          <w:rFonts w:hint="eastAsia" w:ascii="仿宋_GB2312" w:hAnsi="Segoe UI" w:eastAsia="仿宋_GB2312" w:cs="仿宋_GB2312"/>
          <w:color w:val="212529"/>
          <w:kern w:val="0"/>
          <w:sz w:val="32"/>
          <w:szCs w:val="32"/>
          <w:shd w:val="clear" w:fill="FFFFFF"/>
          <w:lang w:val="en-US" w:eastAsia="zh-CN" w:bidi="ar"/>
        </w:rPr>
        <w:t>，</w:t>
      </w:r>
      <w:r>
        <w:rPr>
          <w:rFonts w:hint="default" w:ascii="仿宋_GB2312" w:hAnsi="Segoe UI" w:eastAsia="仿宋_GB2312" w:cs="仿宋_GB2312"/>
          <w:color w:val="212529"/>
          <w:kern w:val="0"/>
          <w:sz w:val="32"/>
          <w:szCs w:val="32"/>
          <w:shd w:val="clear" w:fill="FFFFFF"/>
          <w:lang w:val="en-US" w:eastAsia="zh-CN" w:bidi="ar"/>
        </w:rPr>
        <w:t>规范政务公开工作流程、分工、责任。</w:t>
      </w:r>
      <w:r>
        <w:rPr>
          <w:rFonts w:ascii="仿宋_GB2312" w:hAnsi="Segoe UI" w:eastAsia="仿宋_GB2312" w:cs="仿宋_GB2312"/>
          <w:color w:val="212529"/>
          <w:kern w:val="0"/>
          <w:sz w:val="32"/>
          <w:szCs w:val="32"/>
          <w:shd w:val="clear" w:fill="FFFFFF"/>
          <w:lang w:val="en-US" w:eastAsia="zh-CN" w:bidi="ar"/>
        </w:rPr>
        <w:t>严格执行</w:t>
      </w:r>
      <w:r>
        <w:rPr>
          <w:rFonts w:hint="default" w:ascii="仿宋_GB2312" w:hAnsi="Segoe UI" w:eastAsia="仿宋_GB2312" w:cs="仿宋_GB2312"/>
          <w:color w:val="212529"/>
          <w:kern w:val="0"/>
          <w:sz w:val="32"/>
          <w:szCs w:val="32"/>
          <w:shd w:val="clear" w:fill="FFFFFF"/>
          <w:lang w:val="en-US" w:eastAsia="zh-CN" w:bidi="ar"/>
        </w:rPr>
        <w:t>“先审查，后公开”，从严加强审查工作，对拟发布的信息均进行审查，保证公开信息不涉密，涉密信息不公开。指定专人负责政府信息公开发布，</w:t>
      </w:r>
      <w:r>
        <w:rPr>
          <w:rFonts w:hint="eastAsia" w:ascii="仿宋_GB2312" w:hAnsi="Segoe UI" w:eastAsia="仿宋_GB2312" w:cs="仿宋_GB2312"/>
          <w:color w:val="212529"/>
          <w:kern w:val="0"/>
          <w:sz w:val="32"/>
          <w:szCs w:val="32"/>
          <w:shd w:val="clear" w:fill="FFFFFF"/>
          <w:lang w:val="en-US" w:eastAsia="zh-CN" w:bidi="ar"/>
        </w:rPr>
        <w:t>确保凡是需要主动向社会公开的政府信息都在规定的时间内予以及时主动公开</w:t>
      </w:r>
      <w:r>
        <w:rPr>
          <w:rFonts w:hint="default" w:ascii="仿宋_GB2312" w:hAnsi="Segoe UI" w:eastAsia="仿宋_GB2312" w:cs="仿宋_GB2312"/>
          <w:color w:val="212529"/>
          <w:kern w:val="0"/>
          <w:sz w:val="32"/>
          <w:szCs w:val="32"/>
          <w:shd w:val="clear" w:fill="FFFFFF"/>
          <w:lang w:val="en-US" w:eastAsia="zh-CN" w:bidi="ar"/>
        </w:rPr>
        <w:t>。根据政策文件生效、失效时间及时更新梳理相关内容。</w:t>
      </w:r>
    </w:p>
    <w:p w14:paraId="5D62E363">
      <w:pPr>
        <w:spacing w:line="600" w:lineRule="exact"/>
        <w:ind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（四）政府信息公开平台建设</w:t>
      </w:r>
    </w:p>
    <w:p w14:paraId="6B81194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10" w:afterAutospacing="0" w:line="600" w:lineRule="exact"/>
        <w:ind w:left="0" w:right="0" w:firstLine="640" w:firstLineChars="200"/>
        <w:jc w:val="left"/>
        <w:rPr>
          <w:rFonts w:hint="eastAsia" w:ascii="仿宋_GB2312" w:eastAsia="仿宋_GB2312"/>
          <w:sz w:val="32"/>
          <w:szCs w:val="32"/>
          <w:highlight w:val="none"/>
          <w:lang w:val="en-US" w:eastAsia="zh-CN"/>
        </w:rPr>
      </w:pPr>
      <w:r>
        <w:rPr>
          <w:rFonts w:hint="eastAsia" w:ascii="仿宋_GB2312" w:hAnsi="Segoe UI" w:eastAsia="仿宋_GB2312" w:cs="仿宋_GB2312"/>
          <w:color w:val="212529"/>
          <w:kern w:val="0"/>
          <w:sz w:val="32"/>
          <w:szCs w:val="32"/>
          <w:shd w:val="clear" w:fill="FFFFFF"/>
          <w:lang w:val="en-US" w:eastAsia="zh-CN" w:bidi="ar"/>
        </w:rPr>
        <w:t>充分利用政府门户网站，全年及时更新工作信息。进一步提高“昌乐工信”</w:t>
      </w:r>
      <w:r>
        <w:rPr>
          <w:rFonts w:hint="default" w:ascii="仿宋_GB2312" w:hAnsi="Segoe UI" w:eastAsia="仿宋_GB2312" w:cs="仿宋_GB2312"/>
          <w:color w:val="212529"/>
          <w:kern w:val="0"/>
          <w:sz w:val="32"/>
          <w:szCs w:val="32"/>
          <w:shd w:val="clear" w:fill="FFFFFF"/>
          <w:lang w:val="en-US" w:eastAsia="zh-CN" w:bidi="ar"/>
        </w:rPr>
        <w:t>微信公众号运营质量，及时公布</w:t>
      </w:r>
      <w:r>
        <w:rPr>
          <w:rFonts w:hint="eastAsia" w:ascii="仿宋_GB2312" w:hAnsi="Segoe UI" w:eastAsia="仿宋_GB2312" w:cs="仿宋_GB2312"/>
          <w:color w:val="212529"/>
          <w:kern w:val="0"/>
          <w:sz w:val="32"/>
          <w:szCs w:val="32"/>
          <w:shd w:val="clear" w:fill="FFFFFF"/>
          <w:lang w:val="en-US" w:eastAsia="zh-CN" w:bidi="ar"/>
        </w:rPr>
        <w:t>惠企政策、申报荣誉</w:t>
      </w:r>
      <w:r>
        <w:rPr>
          <w:rFonts w:hint="default" w:ascii="仿宋_GB2312" w:hAnsi="Segoe UI" w:eastAsia="仿宋_GB2312" w:cs="仿宋_GB2312"/>
          <w:color w:val="212529"/>
          <w:kern w:val="0"/>
          <w:sz w:val="32"/>
          <w:szCs w:val="32"/>
          <w:shd w:val="clear" w:fill="FFFFFF"/>
          <w:lang w:val="en-US" w:eastAsia="zh-CN" w:bidi="ar"/>
        </w:rPr>
        <w:t>等</w:t>
      </w:r>
      <w:r>
        <w:rPr>
          <w:rFonts w:hint="eastAsia" w:ascii="仿宋_GB2312" w:hAnsi="Segoe UI" w:eastAsia="仿宋_GB2312" w:cs="仿宋_GB2312"/>
          <w:color w:val="212529"/>
          <w:kern w:val="0"/>
          <w:sz w:val="32"/>
          <w:szCs w:val="32"/>
          <w:shd w:val="clear" w:fill="FFFFFF"/>
          <w:lang w:val="en-US" w:eastAsia="zh-CN" w:bidi="ar"/>
        </w:rPr>
        <w:t>企业</w:t>
      </w:r>
      <w:r>
        <w:rPr>
          <w:rFonts w:hint="default" w:ascii="仿宋_GB2312" w:hAnsi="Segoe UI" w:eastAsia="仿宋_GB2312" w:cs="仿宋_GB2312"/>
          <w:color w:val="212529"/>
          <w:kern w:val="0"/>
          <w:sz w:val="32"/>
          <w:szCs w:val="32"/>
          <w:shd w:val="clear" w:fill="FFFFFF"/>
          <w:lang w:val="en-US" w:eastAsia="zh-CN" w:bidi="ar"/>
        </w:rPr>
        <w:t>关切的热点信息</w:t>
      </w:r>
      <w:r>
        <w:rPr>
          <w:rFonts w:hint="eastAsia" w:ascii="仿宋_GB2312" w:hAnsi="Segoe UI" w:eastAsia="仿宋_GB2312" w:cs="仿宋_GB2312"/>
          <w:color w:val="212529"/>
          <w:kern w:val="0"/>
          <w:sz w:val="32"/>
          <w:szCs w:val="32"/>
          <w:shd w:val="clear" w:fill="FFFFFF"/>
          <w:lang w:val="en-US" w:eastAsia="zh-CN" w:bidi="ar"/>
        </w:rPr>
        <w:t>，共发布了39条相关内容。</w:t>
      </w:r>
    </w:p>
    <w:p w14:paraId="10761053">
      <w:pPr>
        <w:spacing w:line="600" w:lineRule="exact"/>
        <w:ind w:firstLine="640" w:firstLineChars="2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（五）监督保障</w:t>
      </w:r>
    </w:p>
    <w:p w14:paraId="0056845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10" w:afterAutospacing="0" w:line="600" w:lineRule="exact"/>
        <w:ind w:left="0" w:right="0" w:firstLine="640" w:firstLineChars="200"/>
        <w:jc w:val="left"/>
        <w:rPr>
          <w:rFonts w:hint="eastAsia" w:ascii="仿宋_GB2312" w:eastAsia="仿宋_GB2312"/>
          <w:color w:val="FF0000"/>
          <w:sz w:val="32"/>
          <w:szCs w:val="32"/>
          <w:lang w:val="en-US" w:eastAsia="zh-CN"/>
        </w:rPr>
      </w:pPr>
      <w:r>
        <w:rPr>
          <w:rFonts w:hint="default" w:ascii="仿宋_GB2312" w:hAnsi="Segoe UI" w:eastAsia="仿宋_GB2312" w:cs="仿宋_GB2312"/>
          <w:color w:val="212529"/>
          <w:kern w:val="0"/>
          <w:sz w:val="32"/>
          <w:szCs w:val="32"/>
          <w:shd w:val="clear" w:fill="FFFFFF"/>
          <w:lang w:val="en-US" w:eastAsia="zh-CN" w:bidi="ar"/>
        </w:rPr>
        <w:t>成立由主要负责同志为组长，分管机关同志为副组长，办公室人员为成员的政务公开工作领导小组。</w:t>
      </w:r>
      <w:r>
        <w:rPr>
          <w:rFonts w:hint="eastAsia" w:ascii="仿宋_GB2312" w:hAnsi="Segoe UI" w:eastAsia="仿宋_GB2312" w:cs="仿宋_GB2312"/>
          <w:color w:val="212529"/>
          <w:kern w:val="0"/>
          <w:sz w:val="32"/>
          <w:szCs w:val="32"/>
          <w:shd w:val="clear" w:fill="FFFFFF"/>
          <w:lang w:val="en-US" w:eastAsia="zh-CN" w:bidi="ar"/>
        </w:rPr>
        <w:t>制定实施方案，</w:t>
      </w:r>
      <w:r>
        <w:rPr>
          <w:rFonts w:hint="default" w:ascii="仿宋_GB2312" w:hAnsi="Segoe UI" w:eastAsia="仿宋_GB2312" w:cs="仿宋_GB2312"/>
          <w:color w:val="212529"/>
          <w:kern w:val="0"/>
          <w:sz w:val="32"/>
          <w:szCs w:val="32"/>
          <w:shd w:val="clear" w:fill="FFFFFF"/>
          <w:lang w:val="en-US" w:eastAsia="zh-CN" w:bidi="ar"/>
        </w:rPr>
        <w:t>把全年重要工作时间节点，结合固定工作任务，将人大建议、政协提案办理、面向社会公开征求意见建议、政策文件印发和解读等工作与政务公开的要求相结合，将培训与日常工作相结合，进一步提高工作人员政务公开的意识和水平，真正做到公开为常态，不公开为例外。此外，面向新入职人员开展了政务公开基础内容培训。</w:t>
      </w:r>
    </w:p>
    <w:p w14:paraId="369F7EAE">
      <w:pPr>
        <w:spacing w:line="600" w:lineRule="exact"/>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二、行政机关主动公开政府信息情况</w:t>
      </w:r>
    </w:p>
    <w:tbl>
      <w:tblPr>
        <w:tblStyle w:val="6"/>
        <w:tblW w:w="9060" w:type="dxa"/>
        <w:tblInd w:w="0" w:type="dxa"/>
        <w:tblLayout w:type="fixed"/>
        <w:tblCellMar>
          <w:top w:w="0" w:type="dxa"/>
          <w:left w:w="108" w:type="dxa"/>
          <w:bottom w:w="0" w:type="dxa"/>
          <w:right w:w="108" w:type="dxa"/>
        </w:tblCellMar>
      </w:tblPr>
      <w:tblGrid>
        <w:gridCol w:w="2265"/>
        <w:gridCol w:w="2265"/>
        <w:gridCol w:w="2265"/>
        <w:gridCol w:w="2265"/>
      </w:tblGrid>
      <w:tr w14:paraId="6C3BB8AD">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37E402C">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2E74C3B1">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5DF294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14:paraId="1F455EF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14:paraId="4F0593D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14:paraId="05FA860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374B999E">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1539C9ED">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14:paraId="74E40458">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033D0CEB">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2C28DA94">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7266378">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5A425D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14:paraId="56FC2918">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19FCCAFA">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3BBEA84A">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FFBC635">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F43F2A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5DE06CC6">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14E9573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C2D37F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173201AC">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7AC51C3F">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02C30611">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06599B81">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51BF42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0445C06C">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2B6AA7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1AB7E8E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AB9C355">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2A5E33F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11A3437E">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7B3D89A1">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105691C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7147618">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6FEA7449">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B980521">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594149E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06013D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85AF22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57DEF3B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6D6C676">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119168A7">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4818EDF0">
      <w:pPr>
        <w:spacing w:line="600" w:lineRule="exact"/>
        <w:ind w:firstLine="643"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三、行政机关收到和处理政府信息公开申请情况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55DEA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5853581F">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78425654">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501F1B5B">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0E395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649BF688">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57B76C50">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69EA096E">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2E1DE323">
            <w:pPr>
              <w:widowControl/>
              <w:jc w:val="center"/>
              <w:rPr>
                <w:rFonts w:ascii="黑体" w:hAnsi="黑体" w:eastAsia="黑体"/>
                <w:szCs w:val="21"/>
              </w:rPr>
            </w:pPr>
            <w:r>
              <w:rPr>
                <w:rFonts w:hint="eastAsia" w:ascii="黑体" w:hAnsi="黑体" w:eastAsia="黑体"/>
                <w:kern w:val="0"/>
                <w:szCs w:val="21"/>
              </w:rPr>
              <w:t>总计</w:t>
            </w:r>
          </w:p>
        </w:tc>
      </w:tr>
      <w:tr w14:paraId="2242B2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27DF94DA">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6D48CDD1">
            <w:pPr>
              <w:jc w:val="center"/>
              <w:rPr>
                <w:rFonts w:ascii="黑体" w:hAnsi="黑体" w:eastAsia="黑体"/>
                <w:szCs w:val="21"/>
              </w:rPr>
            </w:pPr>
          </w:p>
        </w:tc>
        <w:tc>
          <w:tcPr>
            <w:tcW w:w="567" w:type="dxa"/>
            <w:shd w:val="clear" w:color="auto" w:fill="auto"/>
            <w:tcMar>
              <w:left w:w="108" w:type="dxa"/>
              <w:right w:w="108" w:type="dxa"/>
            </w:tcMar>
            <w:vAlign w:val="center"/>
          </w:tcPr>
          <w:p w14:paraId="3164FCBD">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06839BBC">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3788DD50">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00A92AE7">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2C917E9E">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05C43805">
            <w:pPr>
              <w:jc w:val="center"/>
              <w:rPr>
                <w:rFonts w:ascii="仿宋_GB2312" w:hAnsi="Times New Roman" w:eastAsia="仿宋_GB2312"/>
                <w:szCs w:val="21"/>
              </w:rPr>
            </w:pPr>
          </w:p>
        </w:tc>
      </w:tr>
      <w:tr w14:paraId="28D15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E22F7D2">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5F9B9F3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83FB10C">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21283C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461C289">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461B263">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12507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9237245">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656F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15ACEE3A">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4E1079B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77D238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4CA43F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AE6985B">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F88AF44">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4924E5F">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B44EF8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35BDEA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0C6F88E3">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7F377B87">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0C2A632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BEB483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17B372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177FFF4">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9A7534F">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B221CD4">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6F333BF">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DC89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A4B6857">
            <w:pPr>
              <w:rPr>
                <w:rFonts w:ascii="黑体" w:hAnsi="黑体" w:eastAsia="黑体"/>
                <w:szCs w:val="21"/>
              </w:rPr>
            </w:pPr>
          </w:p>
        </w:tc>
        <w:tc>
          <w:tcPr>
            <w:tcW w:w="4677" w:type="dxa"/>
            <w:gridSpan w:val="2"/>
            <w:shd w:val="clear" w:color="auto" w:fill="auto"/>
            <w:tcMar>
              <w:left w:w="108" w:type="dxa"/>
              <w:right w:w="108" w:type="dxa"/>
            </w:tcMar>
            <w:vAlign w:val="center"/>
          </w:tcPr>
          <w:p w14:paraId="12318A19">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5B50A6C4">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4C0B93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8565C3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8C12E05">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C42191B">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288D65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9110DF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515B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19D9971">
            <w:pPr>
              <w:rPr>
                <w:rFonts w:ascii="黑体" w:hAnsi="黑体" w:eastAsia="黑体"/>
                <w:szCs w:val="21"/>
              </w:rPr>
            </w:pPr>
          </w:p>
        </w:tc>
        <w:tc>
          <w:tcPr>
            <w:tcW w:w="1701" w:type="dxa"/>
            <w:vMerge w:val="restart"/>
            <w:shd w:val="clear" w:color="auto" w:fill="auto"/>
            <w:tcMar>
              <w:left w:w="108" w:type="dxa"/>
              <w:right w:w="108" w:type="dxa"/>
            </w:tcMar>
            <w:vAlign w:val="center"/>
          </w:tcPr>
          <w:p w14:paraId="7B6B9D3E">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149169B2">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7D97EDEF">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D648CBE">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11A071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886C6B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96D28A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D73ECDF">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EA1A174">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D5F84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C68DD0F">
            <w:pPr>
              <w:rPr>
                <w:rFonts w:ascii="黑体" w:hAnsi="黑体" w:eastAsia="黑体"/>
                <w:szCs w:val="21"/>
              </w:rPr>
            </w:pPr>
          </w:p>
        </w:tc>
        <w:tc>
          <w:tcPr>
            <w:tcW w:w="1701" w:type="dxa"/>
            <w:vMerge w:val="continue"/>
            <w:shd w:val="clear" w:color="auto" w:fill="auto"/>
            <w:tcMar>
              <w:left w:w="108" w:type="dxa"/>
              <w:right w:w="108" w:type="dxa"/>
            </w:tcMar>
            <w:vAlign w:val="center"/>
          </w:tcPr>
          <w:p w14:paraId="2E9CEC2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58D2242">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1142E492">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0A74384">
            <w:pPr>
              <w:widowControl/>
              <w:spacing w:after="180" w:line="200" w:lineRule="exact"/>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1E9FC6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262BF3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758447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3E7E57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572E9F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E17DE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2023C6A">
            <w:pPr>
              <w:rPr>
                <w:rFonts w:ascii="黑体" w:hAnsi="黑体" w:eastAsia="黑体"/>
                <w:szCs w:val="21"/>
              </w:rPr>
            </w:pPr>
          </w:p>
        </w:tc>
        <w:tc>
          <w:tcPr>
            <w:tcW w:w="1701" w:type="dxa"/>
            <w:vMerge w:val="continue"/>
            <w:shd w:val="clear" w:color="auto" w:fill="auto"/>
            <w:tcMar>
              <w:left w:w="108" w:type="dxa"/>
              <w:right w:w="108" w:type="dxa"/>
            </w:tcMar>
            <w:vAlign w:val="center"/>
          </w:tcPr>
          <w:p w14:paraId="5701A1D0">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6CFC6242">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35E5A6FE">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D04D2C9">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0B5C8A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3C1C5BD">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16B34E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FE50D8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A1A985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D87B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2A32834">
            <w:pPr>
              <w:rPr>
                <w:rFonts w:ascii="黑体" w:hAnsi="黑体" w:eastAsia="黑体"/>
                <w:szCs w:val="21"/>
              </w:rPr>
            </w:pPr>
          </w:p>
        </w:tc>
        <w:tc>
          <w:tcPr>
            <w:tcW w:w="1701" w:type="dxa"/>
            <w:vMerge w:val="continue"/>
            <w:shd w:val="clear" w:color="auto" w:fill="auto"/>
            <w:tcMar>
              <w:left w:w="108" w:type="dxa"/>
              <w:right w:w="108" w:type="dxa"/>
            </w:tcMar>
            <w:vAlign w:val="center"/>
          </w:tcPr>
          <w:p w14:paraId="1E7136D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6BBA838">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71C8A366">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AC6E788">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C16BC09">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C8699BD">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8DAFB3C">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E37AF5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6F2724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6AD35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C1571F">
            <w:pPr>
              <w:rPr>
                <w:rFonts w:ascii="黑体" w:hAnsi="黑体" w:eastAsia="黑体"/>
                <w:szCs w:val="21"/>
              </w:rPr>
            </w:pPr>
          </w:p>
        </w:tc>
        <w:tc>
          <w:tcPr>
            <w:tcW w:w="1701" w:type="dxa"/>
            <w:vMerge w:val="continue"/>
            <w:shd w:val="clear" w:color="auto" w:fill="auto"/>
            <w:tcMar>
              <w:left w:w="108" w:type="dxa"/>
              <w:right w:w="108" w:type="dxa"/>
            </w:tcMar>
            <w:vAlign w:val="center"/>
          </w:tcPr>
          <w:p w14:paraId="2863892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7C52F620">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400FDB3A">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B42F3CA">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BE5DF5B">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29EA8B9">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737629C">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1DB1C4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9FFF9D9">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4E77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029C4A3">
            <w:pPr>
              <w:rPr>
                <w:rFonts w:ascii="黑体" w:hAnsi="黑体" w:eastAsia="黑体"/>
                <w:szCs w:val="21"/>
              </w:rPr>
            </w:pPr>
          </w:p>
        </w:tc>
        <w:tc>
          <w:tcPr>
            <w:tcW w:w="1701" w:type="dxa"/>
            <w:vMerge w:val="continue"/>
            <w:shd w:val="clear" w:color="auto" w:fill="auto"/>
            <w:tcMar>
              <w:left w:w="108" w:type="dxa"/>
              <w:right w:w="108" w:type="dxa"/>
            </w:tcMar>
            <w:vAlign w:val="center"/>
          </w:tcPr>
          <w:p w14:paraId="333DB0CE">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5C0FFC2">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04DADA38">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D5107E3">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E4ECBE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F278594">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4BFFDEF">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0800ACD">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44316CD">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1579EF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571477D">
            <w:pPr>
              <w:rPr>
                <w:rFonts w:ascii="黑体" w:hAnsi="黑体" w:eastAsia="黑体"/>
                <w:szCs w:val="21"/>
              </w:rPr>
            </w:pPr>
          </w:p>
        </w:tc>
        <w:tc>
          <w:tcPr>
            <w:tcW w:w="1701" w:type="dxa"/>
            <w:vMerge w:val="continue"/>
            <w:shd w:val="clear" w:color="auto" w:fill="auto"/>
            <w:tcMar>
              <w:left w:w="108" w:type="dxa"/>
              <w:right w:w="108" w:type="dxa"/>
            </w:tcMar>
            <w:vAlign w:val="center"/>
          </w:tcPr>
          <w:p w14:paraId="5ED7F1D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C1767D7">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2B20B2F4">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63CBA21">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7A086E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24C40F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673570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8F8D7DB">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9FC7D2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CDB3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8EF704B">
            <w:pPr>
              <w:rPr>
                <w:rFonts w:ascii="黑体" w:hAnsi="黑体" w:eastAsia="黑体"/>
                <w:szCs w:val="21"/>
              </w:rPr>
            </w:pPr>
          </w:p>
        </w:tc>
        <w:tc>
          <w:tcPr>
            <w:tcW w:w="1701" w:type="dxa"/>
            <w:vMerge w:val="continue"/>
            <w:shd w:val="clear" w:color="auto" w:fill="auto"/>
            <w:tcMar>
              <w:left w:w="108" w:type="dxa"/>
              <w:right w:w="108" w:type="dxa"/>
            </w:tcMar>
            <w:vAlign w:val="center"/>
          </w:tcPr>
          <w:p w14:paraId="687AFA1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8081EE4">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62E15612">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23FB41F">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8F05134">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F8C914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8144EE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7F9C2C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0D695C5">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2615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B960880">
            <w:pPr>
              <w:rPr>
                <w:rFonts w:ascii="黑体" w:hAnsi="黑体" w:eastAsia="黑体"/>
                <w:szCs w:val="21"/>
              </w:rPr>
            </w:pPr>
          </w:p>
        </w:tc>
        <w:tc>
          <w:tcPr>
            <w:tcW w:w="1701" w:type="dxa"/>
            <w:vMerge w:val="restart"/>
            <w:shd w:val="clear" w:color="auto" w:fill="auto"/>
            <w:tcMar>
              <w:left w:w="108" w:type="dxa"/>
              <w:right w:w="108" w:type="dxa"/>
            </w:tcMar>
            <w:vAlign w:val="center"/>
          </w:tcPr>
          <w:p w14:paraId="6AF15350">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08952153">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30B1EF6C">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17B83B8">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D73D3F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E7C631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C95FA0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D63D894">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F5791B9">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AB9E9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799153F">
            <w:pPr>
              <w:rPr>
                <w:rFonts w:ascii="黑体" w:hAnsi="黑体" w:eastAsia="黑体"/>
                <w:szCs w:val="21"/>
              </w:rPr>
            </w:pPr>
          </w:p>
        </w:tc>
        <w:tc>
          <w:tcPr>
            <w:tcW w:w="1701" w:type="dxa"/>
            <w:vMerge w:val="continue"/>
            <w:shd w:val="clear" w:color="auto" w:fill="auto"/>
            <w:tcMar>
              <w:left w:w="108" w:type="dxa"/>
              <w:right w:w="108" w:type="dxa"/>
            </w:tcMar>
            <w:vAlign w:val="center"/>
          </w:tcPr>
          <w:p w14:paraId="1FF8D1C6">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14:paraId="60DDC686">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50AD5B7D">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C9C52C">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CB0B5E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8DE023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78F6B7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92B949C">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809355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1ACB6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1C26612">
            <w:pPr>
              <w:rPr>
                <w:rFonts w:ascii="黑体" w:hAnsi="黑体" w:eastAsia="黑体"/>
                <w:szCs w:val="21"/>
              </w:rPr>
            </w:pPr>
          </w:p>
        </w:tc>
        <w:tc>
          <w:tcPr>
            <w:tcW w:w="1701" w:type="dxa"/>
            <w:vMerge w:val="continue"/>
            <w:shd w:val="clear" w:color="auto" w:fill="auto"/>
            <w:tcMar>
              <w:left w:w="108" w:type="dxa"/>
              <w:right w:w="108" w:type="dxa"/>
            </w:tcMar>
            <w:vAlign w:val="center"/>
          </w:tcPr>
          <w:p w14:paraId="4814693B">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14:paraId="1201582F">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0B9B56C8">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D0EA084">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71985F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DB9656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F8C4415">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549E19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7FF57C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66F56F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8C14200">
            <w:pPr>
              <w:rPr>
                <w:rFonts w:ascii="黑体" w:hAnsi="黑体" w:eastAsia="黑体"/>
                <w:szCs w:val="21"/>
              </w:rPr>
            </w:pPr>
          </w:p>
        </w:tc>
        <w:tc>
          <w:tcPr>
            <w:tcW w:w="1701" w:type="dxa"/>
            <w:vMerge w:val="restart"/>
            <w:shd w:val="clear" w:color="auto" w:fill="auto"/>
            <w:tcMar>
              <w:left w:w="108" w:type="dxa"/>
              <w:right w:w="108" w:type="dxa"/>
            </w:tcMar>
            <w:vAlign w:val="center"/>
          </w:tcPr>
          <w:p w14:paraId="0B48782E">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7C2144E8">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6BCE9F17">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2A1943E">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3192B6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F5D23D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0C06FA9">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7E1381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54520A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2214C5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76C2196">
            <w:pPr>
              <w:rPr>
                <w:rFonts w:ascii="黑体" w:hAnsi="黑体" w:eastAsia="黑体"/>
                <w:szCs w:val="21"/>
              </w:rPr>
            </w:pPr>
          </w:p>
        </w:tc>
        <w:tc>
          <w:tcPr>
            <w:tcW w:w="1701" w:type="dxa"/>
            <w:vMerge w:val="continue"/>
            <w:shd w:val="clear" w:color="auto" w:fill="auto"/>
            <w:tcMar>
              <w:left w:w="108" w:type="dxa"/>
              <w:right w:w="108" w:type="dxa"/>
            </w:tcMar>
            <w:vAlign w:val="center"/>
          </w:tcPr>
          <w:p w14:paraId="20ABAA9C">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B1F30DA">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23EEE89C">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348341F">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D2D0F2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01C8089">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5024FB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514F3C5">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466F3D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11116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5CE377D">
            <w:pPr>
              <w:rPr>
                <w:rFonts w:ascii="黑体" w:hAnsi="黑体" w:eastAsia="黑体"/>
                <w:szCs w:val="21"/>
              </w:rPr>
            </w:pPr>
          </w:p>
        </w:tc>
        <w:tc>
          <w:tcPr>
            <w:tcW w:w="1701" w:type="dxa"/>
            <w:vMerge w:val="continue"/>
            <w:shd w:val="clear" w:color="auto" w:fill="auto"/>
            <w:tcMar>
              <w:left w:w="108" w:type="dxa"/>
              <w:right w:w="108" w:type="dxa"/>
            </w:tcMar>
            <w:vAlign w:val="center"/>
          </w:tcPr>
          <w:p w14:paraId="57E9B26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975D97C">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305D86CD">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4113154">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427D3FB">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E434E93">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9C8AE0C">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732FA94">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15D5EA5">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0798D9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22442FE9">
            <w:pPr>
              <w:rPr>
                <w:rFonts w:ascii="黑体" w:hAnsi="黑体" w:eastAsia="黑体"/>
                <w:szCs w:val="21"/>
              </w:rPr>
            </w:pPr>
          </w:p>
        </w:tc>
        <w:tc>
          <w:tcPr>
            <w:tcW w:w="1701" w:type="dxa"/>
            <w:vMerge w:val="continue"/>
            <w:shd w:val="clear" w:color="auto" w:fill="auto"/>
            <w:tcMar>
              <w:left w:w="108" w:type="dxa"/>
              <w:right w:w="108" w:type="dxa"/>
            </w:tcMar>
            <w:vAlign w:val="center"/>
          </w:tcPr>
          <w:p w14:paraId="009B7F72">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C1A1254">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573EE84F">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BB20183">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9821CA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C078B2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EF032F9">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DB5F8B">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5A638C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33F2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6FDF91C">
            <w:pPr>
              <w:rPr>
                <w:rFonts w:ascii="黑体" w:hAnsi="黑体" w:eastAsia="黑体"/>
                <w:szCs w:val="21"/>
              </w:rPr>
            </w:pPr>
          </w:p>
        </w:tc>
        <w:tc>
          <w:tcPr>
            <w:tcW w:w="1701" w:type="dxa"/>
            <w:vMerge w:val="continue"/>
            <w:shd w:val="clear" w:color="auto" w:fill="auto"/>
            <w:tcMar>
              <w:left w:w="108" w:type="dxa"/>
              <w:right w:w="108" w:type="dxa"/>
            </w:tcMar>
            <w:vAlign w:val="center"/>
          </w:tcPr>
          <w:p w14:paraId="6671DC4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5A84336">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13044F75">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05658C0D">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439BE0B">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A46ECB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28EACFD">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157230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1879DF4">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893344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92A9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5383C1B">
            <w:pPr>
              <w:rPr>
                <w:rFonts w:ascii="黑体" w:hAnsi="黑体" w:eastAsia="黑体"/>
                <w:szCs w:val="21"/>
              </w:rPr>
            </w:pPr>
          </w:p>
        </w:tc>
        <w:tc>
          <w:tcPr>
            <w:tcW w:w="1701" w:type="dxa"/>
            <w:vMerge w:val="restart"/>
            <w:shd w:val="clear" w:color="auto" w:fill="auto"/>
            <w:tcMar>
              <w:left w:w="108" w:type="dxa"/>
              <w:right w:w="108" w:type="dxa"/>
            </w:tcMar>
            <w:vAlign w:val="center"/>
          </w:tcPr>
          <w:p w14:paraId="5E453A2D">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348BD422">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386A6A36">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34055AF">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E286E3D">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7338D1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8DAAA4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C7B08B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B375B79">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084180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E38158E">
            <w:pPr>
              <w:rPr>
                <w:rFonts w:ascii="黑体" w:hAnsi="黑体" w:eastAsia="黑体"/>
                <w:szCs w:val="21"/>
              </w:rPr>
            </w:pPr>
          </w:p>
        </w:tc>
        <w:tc>
          <w:tcPr>
            <w:tcW w:w="1701" w:type="dxa"/>
            <w:vMerge w:val="continue"/>
            <w:shd w:val="clear" w:color="auto" w:fill="auto"/>
            <w:tcMar>
              <w:left w:w="108" w:type="dxa"/>
              <w:right w:w="108" w:type="dxa"/>
            </w:tcMar>
            <w:vAlign w:val="center"/>
          </w:tcPr>
          <w:p w14:paraId="7AD4ECBD">
            <w:pPr>
              <w:widowControl/>
              <w:spacing w:line="300" w:lineRule="exact"/>
              <w:rPr>
                <w:rFonts w:ascii="黑体" w:hAnsi="黑体" w:eastAsia="黑体"/>
                <w:kern w:val="0"/>
                <w:szCs w:val="21"/>
              </w:rPr>
            </w:pPr>
          </w:p>
        </w:tc>
        <w:tc>
          <w:tcPr>
            <w:tcW w:w="2976" w:type="dxa"/>
            <w:shd w:val="clear" w:color="auto" w:fill="auto"/>
            <w:vAlign w:val="center"/>
          </w:tcPr>
          <w:p w14:paraId="35C1381E">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23EFFB71">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187B5F0">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CE03344">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E22A2C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EFED414">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A322B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872AFB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A3D99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42A6227">
            <w:pPr>
              <w:rPr>
                <w:rFonts w:ascii="黑体" w:hAnsi="黑体" w:eastAsia="黑体"/>
                <w:szCs w:val="21"/>
              </w:rPr>
            </w:pPr>
          </w:p>
        </w:tc>
        <w:tc>
          <w:tcPr>
            <w:tcW w:w="1701" w:type="dxa"/>
            <w:vMerge w:val="continue"/>
            <w:shd w:val="clear" w:color="auto" w:fill="auto"/>
            <w:tcMar>
              <w:left w:w="108" w:type="dxa"/>
              <w:right w:w="108" w:type="dxa"/>
            </w:tcMar>
            <w:vAlign w:val="center"/>
          </w:tcPr>
          <w:p w14:paraId="4E1B9086">
            <w:pPr>
              <w:widowControl/>
              <w:spacing w:line="300" w:lineRule="exact"/>
              <w:rPr>
                <w:rFonts w:ascii="黑体" w:hAnsi="黑体" w:eastAsia="黑体"/>
                <w:kern w:val="0"/>
                <w:szCs w:val="21"/>
              </w:rPr>
            </w:pPr>
          </w:p>
        </w:tc>
        <w:tc>
          <w:tcPr>
            <w:tcW w:w="2976" w:type="dxa"/>
            <w:shd w:val="clear" w:color="auto" w:fill="auto"/>
            <w:vAlign w:val="center"/>
          </w:tcPr>
          <w:p w14:paraId="337AB3C7">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1F074C1A">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730038E">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9303A6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391071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C13F6B3">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2C21975">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56BDF76">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9B56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F131A2F">
            <w:pPr>
              <w:rPr>
                <w:rFonts w:ascii="黑体" w:hAnsi="黑体" w:eastAsia="黑体"/>
                <w:szCs w:val="21"/>
              </w:rPr>
            </w:pPr>
          </w:p>
        </w:tc>
        <w:tc>
          <w:tcPr>
            <w:tcW w:w="4677" w:type="dxa"/>
            <w:gridSpan w:val="2"/>
            <w:shd w:val="clear" w:color="auto" w:fill="auto"/>
            <w:tcMar>
              <w:left w:w="108" w:type="dxa"/>
              <w:right w:w="108" w:type="dxa"/>
            </w:tcMar>
            <w:vAlign w:val="center"/>
          </w:tcPr>
          <w:p w14:paraId="4CECFBD5">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4B3B4DF5">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FAE06D1">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500807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D2093BF">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D17D8D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E3102EF">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F399B05">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0D86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717C7C81">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41545B56">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436C64B">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D360C6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E1B7889">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4413B1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8784B5D">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2C4A0C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14:paraId="7BC00CFB">
      <w:pPr>
        <w:spacing w:line="600" w:lineRule="exact"/>
        <w:rPr>
          <w:rFonts w:hint="eastAsia" w:ascii="黑体" w:hAnsi="黑体" w:eastAsia="黑体" w:cs="黑体"/>
          <w:b/>
          <w:bCs/>
          <w:sz w:val="32"/>
          <w:szCs w:val="32"/>
        </w:rPr>
      </w:pPr>
      <w:r>
        <w:rPr>
          <w:rFonts w:hint="eastAsia" w:ascii="黑体" w:hAnsi="黑体" w:eastAsia="黑体" w:cs="黑体"/>
          <w:b/>
          <w:bCs/>
          <w:sz w:val="32"/>
          <w:szCs w:val="32"/>
          <w:lang w:eastAsia="zh-CN"/>
        </w:rPr>
        <w:t>四、</w:t>
      </w:r>
      <w:r>
        <w:rPr>
          <w:rFonts w:hint="eastAsia" w:ascii="黑体" w:hAnsi="黑体" w:eastAsia="黑体" w:cs="黑体"/>
          <w:b/>
          <w:bCs/>
          <w:sz w:val="32"/>
          <w:szCs w:val="32"/>
        </w:rPr>
        <w:t>因政府信息公开工作被申请行政复议、提起行政诉讼情况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9D0EE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8659214">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170AEAE">
            <w:pPr>
              <w:widowControl/>
              <w:jc w:val="center"/>
              <w:rPr>
                <w:rFonts w:ascii="黑体" w:hAnsi="黑体" w:eastAsia="黑体"/>
              </w:rPr>
            </w:pPr>
            <w:r>
              <w:rPr>
                <w:rFonts w:ascii="黑体" w:hAnsi="黑体" w:eastAsia="黑体"/>
                <w:kern w:val="0"/>
                <w:sz w:val="20"/>
                <w:szCs w:val="20"/>
              </w:rPr>
              <w:t>行政诉讼</w:t>
            </w:r>
          </w:p>
        </w:tc>
      </w:tr>
      <w:tr w14:paraId="4D8E1A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FE67D72">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0F8B5D3E">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BF26945">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90BCD01">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CF4EE7A">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723D89FD">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C89DBB3">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2A66D729">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FE9E34">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5E5BA64">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18A538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D96B29">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F78269F">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B2FE7AE">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F60D740">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9ED5A50">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FBA1209">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8C841A3">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0CE4536">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166211EF">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9F8741E">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1983D1A4">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DF769A8">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B7BDEC6">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E22AA5">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6813C2A8">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E1BACD">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0066A46E">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D960F4E">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173A3B">
            <w:pPr>
              <w:widowControl/>
              <w:jc w:val="center"/>
              <w:rPr>
                <w:rFonts w:ascii="黑体" w:hAnsi="黑体" w:eastAsia="黑体"/>
              </w:rPr>
            </w:pPr>
            <w:r>
              <w:rPr>
                <w:rFonts w:ascii="黑体" w:hAnsi="黑体" w:eastAsia="黑体"/>
                <w:kern w:val="0"/>
                <w:sz w:val="20"/>
                <w:szCs w:val="20"/>
              </w:rPr>
              <w:t>总计</w:t>
            </w:r>
          </w:p>
        </w:tc>
      </w:tr>
      <w:tr w14:paraId="2A5C4B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B8BE2E1">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B849052">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2ECCD77">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3BFE90C2">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74030792">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0331367">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4BE4741">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B74AEB8">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DD9E767">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A502477">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B68821F">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969EDD7">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451A9D2">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D027C5F">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1A65E0B3">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14:paraId="671ABD43">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eastAsia="zh-CN"/>
        </w:rPr>
        <w:t>五、</w:t>
      </w:r>
      <w:r>
        <w:rPr>
          <w:rFonts w:hint="eastAsia" w:ascii="黑体" w:hAnsi="黑体" w:eastAsia="黑体" w:cs="黑体"/>
          <w:b/>
          <w:bCs/>
          <w:sz w:val="32"/>
          <w:szCs w:val="32"/>
        </w:rPr>
        <w:t>政府信息公开工作存在的主要问题及改进情况</w:t>
      </w:r>
    </w:p>
    <w:p w14:paraId="5567E542">
      <w:pPr>
        <w:spacing w:line="600" w:lineRule="exact"/>
        <w:ind w:firstLine="640" w:firstLineChars="200"/>
        <w:rPr>
          <w:rFonts w:hint="eastAsia" w:ascii="仿宋_GB2312" w:eastAsia="仿宋_GB2312"/>
          <w:sz w:val="32"/>
          <w:szCs w:val="32"/>
          <w:lang w:val="en-US" w:eastAsia="zh-CN"/>
        </w:rPr>
      </w:pPr>
      <w:r>
        <w:rPr>
          <w:rFonts w:hint="eastAsia" w:ascii="楷体_GB2312" w:hAnsi="楷体_GB2312" w:eastAsia="楷体_GB2312" w:cs="楷体_GB2312"/>
          <w:sz w:val="32"/>
          <w:szCs w:val="32"/>
          <w:highlight w:val="none"/>
          <w:lang w:val="en-US" w:eastAsia="zh-CN"/>
        </w:rPr>
        <w:t>（一）2023年问题整改情况。</w:t>
      </w:r>
      <w:r>
        <w:rPr>
          <w:rFonts w:hint="eastAsia" w:ascii="仿宋_GB2312" w:eastAsia="仿宋_GB2312"/>
          <w:sz w:val="32"/>
          <w:szCs w:val="32"/>
          <w:lang w:val="en-US" w:eastAsia="zh-CN"/>
        </w:rPr>
        <w:t>针对政务公开工作水平的研究还不够的问题。持续深化学习，提升业务能力，认真学习《中华人民共和国政府信息公开条例》等政务信息公开业务知识。严格按照条例要求，强化主动公开意识，及时准确公开政府信息，不断提升政府信息公开工作水平。</w:t>
      </w:r>
    </w:p>
    <w:p w14:paraId="513D0783">
      <w:pPr>
        <w:spacing w:line="600" w:lineRule="exact"/>
        <w:ind w:firstLine="640" w:firstLineChars="200"/>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（二）2024年存在的主要问题。</w:t>
      </w:r>
      <w:r>
        <w:rPr>
          <w:rFonts w:hint="eastAsia" w:ascii="仿宋_GB2312" w:eastAsia="仿宋_GB2312"/>
          <w:sz w:val="32"/>
          <w:szCs w:val="32"/>
          <w:lang w:val="en-US" w:eastAsia="zh-CN"/>
        </w:rPr>
        <w:t>一是主动公开信息的时效性需进一步提升。二是信息公开制度需要进一步完善规范，细化流程，提高效率。三是工作人员业务能力有待提升，部分人员调换比较频繁，新接手人员进入情况较慢。</w:t>
      </w:r>
    </w:p>
    <w:p w14:paraId="4E4E63C9">
      <w:pPr>
        <w:spacing w:line="600" w:lineRule="exact"/>
        <w:ind w:firstLine="640" w:firstLineChars="200"/>
        <w:rPr>
          <w:rFonts w:hint="eastAsia" w:ascii="黑体" w:hAnsi="黑体" w:eastAsia="黑体" w:cs="黑体"/>
          <w:b/>
          <w:bCs/>
          <w:sz w:val="32"/>
          <w:szCs w:val="32"/>
          <w:lang w:eastAsia="zh-CN"/>
        </w:rPr>
      </w:pPr>
      <w:r>
        <w:rPr>
          <w:rFonts w:hint="eastAsia" w:ascii="楷体_GB2312" w:hAnsi="楷体_GB2312" w:eastAsia="楷体_GB2312" w:cs="楷体_GB2312"/>
          <w:sz w:val="32"/>
          <w:szCs w:val="32"/>
          <w:lang w:val="en-US" w:eastAsia="zh-CN"/>
        </w:rPr>
        <w:t>（三）下步整</w:t>
      </w:r>
      <w:bookmarkStart w:id="10" w:name="_GoBack"/>
      <w:bookmarkEnd w:id="10"/>
      <w:r>
        <w:rPr>
          <w:rFonts w:hint="eastAsia" w:ascii="楷体_GB2312" w:hAnsi="楷体_GB2312" w:eastAsia="楷体_GB2312" w:cs="楷体_GB2312"/>
          <w:sz w:val="32"/>
          <w:szCs w:val="32"/>
          <w:lang w:val="en-US" w:eastAsia="zh-CN"/>
        </w:rPr>
        <w:t>改措施。</w:t>
      </w:r>
      <w:r>
        <w:rPr>
          <w:rFonts w:hint="eastAsia" w:ascii="仿宋_GB2312" w:eastAsia="仿宋_GB2312"/>
          <w:sz w:val="32"/>
          <w:szCs w:val="32"/>
          <w:lang w:val="en-US" w:eastAsia="zh-CN"/>
        </w:rPr>
        <w:t>一是强化工作认识，提升工作质量。明确办理程序和办理时限，加大考核力度，提高信息公开工作人员的积极性和主动性，推进政府信息公开工作规范、高质量开展，确保政府信息公开规范运作，保证信息公开的时效性。二是健全完善制度，规范办理流程。以推进政务公开标准化、规范化为目标，围绕主动公开、依申请公开两大重点工作，进一步细化完善各项制度，规范办理流程，落实各环节责任，确保工作高质高效。三是组织业务学习，提升工作水平。组织各单位、科室开展信息公开专题学习研讨活动，深入学习习近平总书记关于政务公开的重要论述，深刻领会政府信息公开对于建设法治部门、服务型部门的重要政治意义，不断提高工作水平。</w:t>
      </w:r>
    </w:p>
    <w:p w14:paraId="500F17B4">
      <w:pPr>
        <w:spacing w:line="60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eastAsia="zh-CN"/>
        </w:rPr>
        <w:t>六、</w:t>
      </w:r>
      <w:r>
        <w:rPr>
          <w:rFonts w:hint="eastAsia" w:ascii="黑体" w:hAnsi="黑体" w:eastAsia="黑体" w:cs="黑体"/>
          <w:b/>
          <w:bCs/>
          <w:sz w:val="32"/>
          <w:szCs w:val="32"/>
        </w:rPr>
        <w:t>其他需要报告的事项</w:t>
      </w:r>
    </w:p>
    <w:p w14:paraId="30E1AA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10" w:afterAutospacing="0" w:line="600" w:lineRule="exact"/>
        <w:ind w:left="0" w:right="0" w:firstLine="640" w:firstLineChars="200"/>
        <w:jc w:val="left"/>
        <w:rPr>
          <w:rFonts w:hint="eastAsia" w:ascii="仿宋_GB2312" w:eastAsia="仿宋_GB2312"/>
          <w:strike w:val="0"/>
          <w:dstrike w:val="0"/>
          <w:sz w:val="32"/>
          <w:szCs w:val="32"/>
          <w:highlight w:val="none"/>
          <w:lang w:val="en-US" w:eastAsia="zh-CN"/>
        </w:rPr>
      </w:pPr>
      <w:r>
        <w:rPr>
          <w:rFonts w:hint="eastAsia" w:ascii="楷体_GB2312" w:hAnsi="楷体_GB2312" w:eastAsia="楷体_GB2312" w:cs="楷体_GB2312"/>
          <w:sz w:val="32"/>
          <w:szCs w:val="32"/>
          <w:lang w:val="en-US" w:eastAsia="zh-CN"/>
        </w:rPr>
        <w:t>（一）收取信息处理费情况。</w:t>
      </w:r>
      <w:r>
        <w:rPr>
          <w:rFonts w:hint="eastAsia" w:ascii="仿宋_GB2312" w:eastAsia="仿宋_GB2312"/>
          <w:strike w:val="0"/>
          <w:dstrike w:val="0"/>
          <w:sz w:val="32"/>
          <w:szCs w:val="32"/>
          <w:highlight w:val="none"/>
          <w:lang w:val="en-US" w:eastAsia="zh-CN"/>
        </w:rPr>
        <w:t>2024年，昌乐县工业和信息化局未收取任何政府信息公开信息处理费。</w:t>
      </w:r>
    </w:p>
    <w:p w14:paraId="7BB2D2B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10" w:afterAutospacing="0" w:line="600" w:lineRule="exact"/>
        <w:ind w:left="0" w:right="0" w:firstLine="640" w:firstLineChars="200"/>
        <w:jc w:val="left"/>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（二）落实上级年度政务公开工作要点情况。</w:t>
      </w:r>
      <w:r>
        <w:rPr>
          <w:rFonts w:hint="eastAsia" w:ascii="仿宋_GB2312" w:eastAsia="仿宋_GB2312"/>
          <w:sz w:val="32"/>
          <w:szCs w:val="32"/>
          <w:lang w:val="en-US" w:eastAsia="zh-CN"/>
        </w:rPr>
        <w:t>我单位根据政务公开工作要点，制定详细的政务公开工作培训计划、工作考核、工作督导等工作规划，将政务公开工作考核列入科室绩效考核指标。开展业务培训提升工作人员能力，并宣传政务公开相关内容，提升知晓度与参与度 。</w:t>
      </w:r>
    </w:p>
    <w:p w14:paraId="097F4A6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10" w:afterAutospacing="0" w:line="600" w:lineRule="exact"/>
        <w:ind w:left="0" w:right="0" w:firstLine="640" w:firstLineChars="200"/>
        <w:jc w:val="left"/>
        <w:rPr>
          <w:rFonts w:hint="eastAsia" w:ascii="仿宋_GB2312" w:eastAsia="仿宋_GB2312"/>
          <w:strike w:val="0"/>
          <w:dstrike w:val="0"/>
          <w:sz w:val="32"/>
          <w:szCs w:val="32"/>
          <w:highlight w:val="none"/>
          <w:lang w:val="en-US" w:eastAsia="zh-CN"/>
        </w:rPr>
      </w:pPr>
      <w:r>
        <w:rPr>
          <w:rFonts w:hint="eastAsia" w:ascii="楷体_GB2312" w:hAnsi="楷体_GB2312" w:eastAsia="楷体_GB2312" w:cs="楷体_GB2312"/>
          <w:sz w:val="32"/>
          <w:szCs w:val="32"/>
          <w:lang w:val="en-US" w:eastAsia="zh-CN"/>
        </w:rPr>
        <w:t>（三）人大代表建议和政协提案办理情况。</w:t>
      </w:r>
      <w:r>
        <w:rPr>
          <w:rFonts w:hint="eastAsia" w:ascii="仿宋_GB2312" w:eastAsia="仿宋_GB2312"/>
          <w:strike w:val="0"/>
          <w:dstrike w:val="0"/>
          <w:sz w:val="32"/>
          <w:szCs w:val="32"/>
          <w:highlight w:val="none"/>
          <w:lang w:val="en-US" w:eastAsia="zh-CN"/>
        </w:rPr>
        <w:t>2024年县工信局收到的政协提案13件，人大代表建议2件，结办率和满意度达到</w:t>
      </w:r>
      <w:r>
        <w:rPr>
          <w:rFonts w:hint="default" w:ascii="仿宋_GB2312" w:eastAsia="仿宋_GB2312"/>
          <w:strike w:val="0"/>
          <w:dstrike w:val="0"/>
          <w:sz w:val="32"/>
          <w:szCs w:val="32"/>
          <w:highlight w:val="none"/>
          <w:lang w:val="en-US" w:eastAsia="zh-CN"/>
        </w:rPr>
        <w:t>100%</w:t>
      </w:r>
      <w:r>
        <w:rPr>
          <w:rFonts w:hint="eastAsia" w:ascii="仿宋_GB2312" w:eastAsia="仿宋_GB2312"/>
          <w:strike w:val="0"/>
          <w:dstrike w:val="0"/>
          <w:sz w:val="32"/>
          <w:szCs w:val="32"/>
          <w:highlight w:val="none"/>
          <w:lang w:val="en-US" w:eastAsia="zh-CN"/>
        </w:rPr>
        <w:t>。对于建议提案工作，我局高度重视，结合工作实际，将人大建议和政协提案中人民群众对工信工作的要求，同推动工信工作有机的结合起来，扩大建议提案的办理效果。办理情况已在“昌乐县人民政府”网站进行了公开。</w:t>
      </w:r>
    </w:p>
    <w:p w14:paraId="31E3D821">
      <w:pPr>
        <w:spacing w:line="600" w:lineRule="exact"/>
        <w:ind w:firstLine="640" w:firstLineChars="200"/>
        <w:rPr>
          <w:rFonts w:hint="eastAsia" w:ascii="仿宋_GB2312" w:eastAsia="仿宋_GB2312"/>
          <w:sz w:val="32"/>
          <w:szCs w:val="32"/>
          <w:highlight w:val="yellow"/>
          <w:lang w:val="en-US" w:eastAsia="zh-CN"/>
        </w:rPr>
      </w:pPr>
      <w:r>
        <w:rPr>
          <w:rFonts w:hint="eastAsia" w:ascii="楷体_GB2312" w:hAnsi="楷体_GB2312" w:eastAsia="楷体_GB2312" w:cs="楷体_GB2312"/>
          <w:sz w:val="32"/>
          <w:szCs w:val="32"/>
          <w:lang w:val="en-US" w:eastAsia="zh-CN"/>
        </w:rPr>
        <w:t>（四）年度政务公开工作创新情况。</w:t>
      </w:r>
      <w:r>
        <w:rPr>
          <w:rFonts w:hint="eastAsia" w:ascii="仿宋_GB2312" w:eastAsia="仿宋_GB2312"/>
          <w:sz w:val="32"/>
          <w:szCs w:val="32"/>
          <w:highlight w:val="none"/>
          <w:lang w:val="en-US" w:eastAsia="zh-CN"/>
        </w:rPr>
        <w:t>2024年，扎实开展“遍访企业”，解决企业反映问题81个；统筹“政府+专家+企业”人才，组建政策宣讲服务专员队伍，为企业争取21个项目纳入工业领域技术改造和设备更新专项再贷款项目清单，2家企业入选工信部5G工厂，1名企业家获省委省政府全省食品产业高质量发展表现突出个人表彰。</w:t>
      </w:r>
    </w:p>
    <w:p w14:paraId="2AB51DB2">
      <w:pPr>
        <w:spacing w:line="60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lang w:val="en-US" w:eastAsia="zh-CN"/>
        </w:rPr>
        <w:t>（五）报告数据统计说明。</w:t>
      </w:r>
      <w:r>
        <w:rPr>
          <w:rFonts w:hint="eastAsia" w:ascii="仿宋_GB2312" w:eastAsia="仿宋_GB2312"/>
          <w:sz w:val="32"/>
          <w:szCs w:val="32"/>
          <w:lang w:val="en-US" w:eastAsia="zh-CN"/>
        </w:rPr>
        <w:t>本报告所列数据统计期限为2024年1月1日至2024年12月31日。</w:t>
      </w:r>
    </w:p>
    <w:p w14:paraId="79B47696">
      <w:pPr>
        <w:spacing w:line="60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lang w:val="en-US" w:eastAsia="zh-CN"/>
        </w:rPr>
        <w:t>（六）本行政机关认为需要报告的其他事项。</w:t>
      </w:r>
      <w:r>
        <w:rPr>
          <w:rFonts w:hint="eastAsia" w:ascii="仿宋_GB2312" w:eastAsia="仿宋_GB2312"/>
          <w:sz w:val="32"/>
          <w:szCs w:val="32"/>
          <w:lang w:val="en-US" w:eastAsia="zh-CN"/>
        </w:rPr>
        <w:t>无。</w:t>
      </w:r>
    </w:p>
    <w:p w14:paraId="19BA7310">
      <w:pPr>
        <w:spacing w:line="600" w:lineRule="exact"/>
        <w:ind w:firstLine="640" w:firstLineChars="200"/>
        <w:rPr>
          <w:rFonts w:hint="eastAsia" w:ascii="仿宋_GB2312" w:eastAsia="仿宋_GB2312"/>
          <w:sz w:val="32"/>
          <w:szCs w:val="32"/>
        </w:rPr>
      </w:pPr>
      <w:r>
        <w:rPr>
          <w:rFonts w:hint="eastAsia" w:ascii="楷体_GB2312" w:hAnsi="楷体_GB2312" w:eastAsia="楷体_GB2312" w:cs="楷体_GB2312"/>
          <w:sz w:val="32"/>
          <w:szCs w:val="32"/>
          <w:lang w:val="en-US" w:eastAsia="zh-CN"/>
        </w:rPr>
        <w:t>（七）其他有关文件专门要求报告的事项。</w:t>
      </w:r>
      <w:r>
        <w:rPr>
          <w:rFonts w:hint="eastAsia" w:ascii="仿宋_GB2312" w:eastAsia="仿宋_GB2312"/>
          <w:sz w:val="32"/>
          <w:szCs w:val="32"/>
          <w:lang w:val="en-US" w:eastAsia="zh-CN"/>
        </w:rPr>
        <w:t>无。 </w:t>
      </w:r>
    </w:p>
    <w:p w14:paraId="39FE76DE">
      <w:pPr>
        <w:spacing w:line="600" w:lineRule="exact"/>
        <w:ind w:firstLine="640" w:firstLineChars="200"/>
        <w:jc w:val="right"/>
        <w:rPr>
          <w:rFonts w:hint="eastAsia" w:ascii="仿宋_GB2312" w:eastAsia="仿宋_GB2312"/>
          <w:sz w:val="32"/>
          <w:szCs w:val="32"/>
          <w:lang w:eastAsia="zh-CN"/>
        </w:rPr>
      </w:pPr>
    </w:p>
    <w:p w14:paraId="26DD6C18">
      <w:pPr>
        <w:spacing w:line="600" w:lineRule="exact"/>
        <w:ind w:firstLine="640" w:firstLineChars="200"/>
        <w:jc w:val="right"/>
        <w:rPr>
          <w:rFonts w:hint="eastAsia" w:ascii="仿宋_GB2312" w:eastAsia="仿宋_GB2312"/>
          <w:sz w:val="32"/>
          <w:szCs w:val="32"/>
          <w:lang w:eastAsia="zh-CN"/>
        </w:rPr>
      </w:pPr>
      <w:r>
        <w:rPr>
          <w:rFonts w:hint="eastAsia" w:ascii="仿宋_GB2312" w:eastAsia="仿宋_GB2312"/>
          <w:sz w:val="32"/>
          <w:szCs w:val="32"/>
          <w:lang w:eastAsia="zh-CN"/>
        </w:rPr>
        <w:t>昌乐县工业和信息化局</w:t>
      </w:r>
    </w:p>
    <w:p w14:paraId="31DB02AB">
      <w:pPr>
        <w:spacing w:line="600" w:lineRule="exact"/>
        <w:ind w:firstLine="640" w:firstLineChars="200"/>
        <w:jc w:val="right"/>
        <w:rPr>
          <w:rFonts w:hint="default" w:ascii="仿宋_GB2312" w:eastAsia="仿宋_GB2312"/>
          <w:sz w:val="32"/>
          <w:szCs w:val="32"/>
          <w:lang w:val="en-US" w:eastAsia="zh-CN"/>
        </w:rPr>
      </w:pPr>
      <w:r>
        <w:rPr>
          <w:rFonts w:hint="eastAsia" w:ascii="仿宋_GB2312" w:eastAsia="仿宋_GB2312"/>
          <w:sz w:val="32"/>
          <w:szCs w:val="32"/>
          <w:lang w:val="en-US" w:eastAsia="zh-CN"/>
        </w:rPr>
        <w:t>2025年1月8日</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10B32">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8240591"/>
                            <w:docPartObj>
                              <w:docPartGallery w:val="autotext"/>
                            </w:docPartObj>
                          </w:sdtPr>
                          <w:sdtEndPr>
                            <w:rPr>
                              <w:rFonts w:ascii="宋体" w:hAnsi="宋体" w:eastAsia="宋体"/>
                              <w:sz w:val="28"/>
                              <w:szCs w:val="28"/>
                            </w:rPr>
                          </w:sdtEndPr>
                          <w:sdtContent>
                            <w:p w14:paraId="64770676">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624E0039">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738240591"/>
                      <w:docPartObj>
                        <w:docPartGallery w:val="autotext"/>
                      </w:docPartObj>
                    </w:sdtPr>
                    <w:sdtEndPr>
                      <w:rPr>
                        <w:rFonts w:ascii="宋体" w:hAnsi="宋体" w:eastAsia="宋体"/>
                        <w:sz w:val="28"/>
                        <w:szCs w:val="28"/>
                      </w:rPr>
                    </w:sdtEndPr>
                    <w:sdtContent>
                      <w:p w14:paraId="64770676">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624E0039">
                    <w:pPr>
                      <w:rPr>
                        <w:rFonts w:ascii="宋体" w:hAnsi="宋体" w:eastAsia="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iNDJhYTY3OThkMzhjNGFkMDEzOTIxN2VmMjkwOGEifQ=="/>
    <w:docVar w:name="KSO_WPS_MARK_KEY" w:val="ba84e630-3ba1-4fef-935f-be902cf4a837"/>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01974FD3"/>
    <w:rsid w:val="041829F5"/>
    <w:rsid w:val="04D405F8"/>
    <w:rsid w:val="07723089"/>
    <w:rsid w:val="0E63372C"/>
    <w:rsid w:val="12464F87"/>
    <w:rsid w:val="147C72F5"/>
    <w:rsid w:val="149437A1"/>
    <w:rsid w:val="15AE34DE"/>
    <w:rsid w:val="15F9474C"/>
    <w:rsid w:val="18791B85"/>
    <w:rsid w:val="1D440BCC"/>
    <w:rsid w:val="1E7E4FA7"/>
    <w:rsid w:val="216929AF"/>
    <w:rsid w:val="21FD6E4B"/>
    <w:rsid w:val="23CC13C9"/>
    <w:rsid w:val="26716B72"/>
    <w:rsid w:val="276709BA"/>
    <w:rsid w:val="2D214EC3"/>
    <w:rsid w:val="30EE6DF9"/>
    <w:rsid w:val="335074FD"/>
    <w:rsid w:val="36853990"/>
    <w:rsid w:val="37BD4057"/>
    <w:rsid w:val="39EB6F56"/>
    <w:rsid w:val="3E070DD7"/>
    <w:rsid w:val="3F402B4A"/>
    <w:rsid w:val="40F736DC"/>
    <w:rsid w:val="4326496B"/>
    <w:rsid w:val="44292F78"/>
    <w:rsid w:val="44C93697"/>
    <w:rsid w:val="46346665"/>
    <w:rsid w:val="47863A0C"/>
    <w:rsid w:val="48EB0F4B"/>
    <w:rsid w:val="4ADD2CA9"/>
    <w:rsid w:val="4C2B3189"/>
    <w:rsid w:val="4DDD4841"/>
    <w:rsid w:val="52307A13"/>
    <w:rsid w:val="598A0241"/>
    <w:rsid w:val="5ACD1175"/>
    <w:rsid w:val="5BF64864"/>
    <w:rsid w:val="5F746EB4"/>
    <w:rsid w:val="64920C96"/>
    <w:rsid w:val="64C55BA9"/>
    <w:rsid w:val="65BB5C16"/>
    <w:rsid w:val="69310DA4"/>
    <w:rsid w:val="6AC47E58"/>
    <w:rsid w:val="6EFF182A"/>
    <w:rsid w:val="6FD44A65"/>
    <w:rsid w:val="70147557"/>
    <w:rsid w:val="71D47813"/>
    <w:rsid w:val="78032EA8"/>
    <w:rsid w:val="797D3399"/>
    <w:rsid w:val="7C9570F1"/>
    <w:rsid w:val="7E9264A2"/>
    <w:rsid w:val="7F663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7"/>
    <w:semiHidden/>
    <w:unhideWhenUsed/>
    <w:qFormat/>
    <w:uiPriority w:val="99"/>
    <w:pPr>
      <w:ind w:left="100" w:leftChars="2500"/>
    </w:p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22"/>
    <w:rPr>
      <w:b/>
      <w:bCs/>
    </w:rPr>
  </w:style>
  <w:style w:type="character" w:styleId="9">
    <w:name w:val="FollowedHyperlink"/>
    <w:basedOn w:val="7"/>
    <w:semiHidden/>
    <w:unhideWhenUsed/>
    <w:qFormat/>
    <w:uiPriority w:val="99"/>
    <w:rPr>
      <w:color w:val="007BFF"/>
      <w:u w:val="none"/>
    </w:rPr>
  </w:style>
  <w:style w:type="character" w:styleId="10">
    <w:name w:val="Hyperlink"/>
    <w:basedOn w:val="7"/>
    <w:semiHidden/>
    <w:unhideWhenUsed/>
    <w:qFormat/>
    <w:uiPriority w:val="99"/>
    <w:rPr>
      <w:color w:val="007BFF"/>
      <w:u w:val="none"/>
    </w:rPr>
  </w:style>
  <w:style w:type="character" w:styleId="11">
    <w:name w:val="HTML Code"/>
    <w:basedOn w:val="7"/>
    <w:semiHidden/>
    <w:unhideWhenUsed/>
    <w:qFormat/>
    <w:uiPriority w:val="99"/>
    <w:rPr>
      <w:rFonts w:hint="default" w:ascii="Consolas" w:hAnsi="Consolas" w:eastAsia="Consolas" w:cs="Consolas"/>
      <w:color w:val="E83E8C"/>
      <w:sz w:val="21"/>
      <w:szCs w:val="21"/>
    </w:rPr>
  </w:style>
  <w:style w:type="character" w:styleId="12">
    <w:name w:val="HTML Keyboard"/>
    <w:basedOn w:val="7"/>
    <w:semiHidden/>
    <w:unhideWhenUsed/>
    <w:qFormat/>
    <w:uiPriority w:val="99"/>
    <w:rPr>
      <w:rFonts w:ascii="Consolas" w:hAnsi="Consolas" w:eastAsia="Consolas" w:cs="Consolas"/>
      <w:color w:val="FFFFFF"/>
      <w:sz w:val="21"/>
      <w:szCs w:val="21"/>
      <w:shd w:val="clear" w:fill="212529"/>
    </w:rPr>
  </w:style>
  <w:style w:type="character" w:styleId="13">
    <w:name w:val="HTML Sample"/>
    <w:basedOn w:val="7"/>
    <w:semiHidden/>
    <w:unhideWhenUsed/>
    <w:qFormat/>
    <w:uiPriority w:val="99"/>
    <w:rPr>
      <w:rFonts w:hint="default" w:ascii="Consolas" w:hAnsi="Consolas" w:eastAsia="Consolas" w:cs="Consolas"/>
      <w:sz w:val="21"/>
      <w:szCs w:val="21"/>
    </w:rPr>
  </w:style>
  <w:style w:type="character" w:customStyle="1" w:styleId="14">
    <w:name w:val="页眉 字符"/>
    <w:basedOn w:val="7"/>
    <w:link w:val="4"/>
    <w:qFormat/>
    <w:uiPriority w:val="99"/>
    <w:rPr>
      <w:sz w:val="18"/>
      <w:szCs w:val="18"/>
    </w:rPr>
  </w:style>
  <w:style w:type="character" w:customStyle="1" w:styleId="15">
    <w:name w:val="页脚 字符"/>
    <w:basedOn w:val="7"/>
    <w:link w:val="3"/>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日期 字符"/>
    <w:basedOn w:val="7"/>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2994</Words>
  <Characters>3077</Characters>
  <Lines>30</Lines>
  <Paragraphs>8</Paragraphs>
  <TotalTime>37</TotalTime>
  <ScaleCrop>false</ScaleCrop>
  <LinksUpToDate>false</LinksUpToDate>
  <CharactersWithSpaces>3079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大王叫我来巡山</cp:lastModifiedBy>
  <cp:lastPrinted>2025-01-08T06:32:00Z</cp:lastPrinted>
  <dcterms:modified xsi:type="dcterms:W3CDTF">2025-01-13T09:35:47Z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BC4601EAF03940E1B24FC4889E358CEC_13</vt:lpwstr>
  </property>
  <property fmtid="{D5CDD505-2E9C-101B-9397-08002B2CF9AE}" pid="4" name="KSOTemplateDocerSaveRecord">
    <vt:lpwstr>eyJoZGlkIjoiOTEwNWExYzBjZDM2YjE5MzRjMDYzMjdhNzZmZmM5MGQiLCJ1c2VySWQiOiI4OTY4MzAzNzkifQ==</vt:lpwstr>
  </property>
</Properties>
</file>