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680" w:lineRule="exact"/>
        <w:ind w:left="0" w:right="0"/>
        <w:jc w:val="center"/>
        <w:rPr>
          <w:rFonts w:hint="eastAsia" w:ascii="文星标宋" w:hAnsi="文星标宋" w:eastAsia="文星标宋"/>
          <w:b w:val="0"/>
          <w:bCs w:val="0"/>
          <w:sz w:val="44"/>
          <w:szCs w:val="44"/>
          <w:lang w:val="en-US" w:eastAsia="zh-CN"/>
        </w:rPr>
      </w:pPr>
      <w:r>
        <w:rPr>
          <w:rFonts w:hint="eastAsia" w:ascii="文星标宋" w:hAnsi="文星标宋" w:eastAsia="文星标宋"/>
          <w:b w:val="0"/>
          <w:bCs w:val="0"/>
          <w:sz w:val="44"/>
          <w:szCs w:val="44"/>
          <w:lang w:val="en-US" w:eastAsia="zh-CN"/>
        </w:rPr>
        <w:t>昌乐县科学技术局</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680" w:lineRule="exact"/>
        <w:ind w:left="0" w:right="0"/>
        <w:jc w:val="center"/>
        <w:rPr>
          <w:rFonts w:hint="eastAsia" w:ascii="文星标宋" w:hAnsi="文星标宋" w:eastAsia="文星标宋"/>
          <w:b w:val="0"/>
          <w:bCs w:val="0"/>
          <w:sz w:val="44"/>
          <w:szCs w:val="44"/>
          <w:lang w:val="en-US" w:eastAsia="zh-CN"/>
        </w:rPr>
      </w:pPr>
      <w:r>
        <w:rPr>
          <w:rFonts w:hint="eastAsia" w:ascii="文星标宋" w:hAnsi="文星标宋" w:eastAsia="文星标宋"/>
          <w:b w:val="0"/>
          <w:bCs w:val="0"/>
          <w:sz w:val="44"/>
          <w:szCs w:val="44"/>
          <w:lang w:val="en-US" w:eastAsia="zh-CN"/>
        </w:rPr>
        <w:t>2023年</w:t>
      </w:r>
      <w:r>
        <w:rPr>
          <w:rFonts w:hint="eastAsia" w:ascii="文星标宋" w:hAnsi="文星标宋" w:eastAsia="文星标宋"/>
          <w:b w:val="0"/>
          <w:bCs w:val="0"/>
          <w:sz w:val="44"/>
          <w:szCs w:val="44"/>
        </w:rPr>
        <w:t>政府信息公开工作年度报告</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420"/>
        <w:jc w:val="both"/>
        <w:rPr>
          <w:rFonts w:hint="eastAsia" w:ascii="宋体" w:hAnsi="宋体" w:eastAsia="宋体"/>
        </w:rPr>
      </w:pPr>
    </w:p>
    <w:p>
      <w:pPr>
        <w:keepNext w:val="0"/>
        <w:keepLines w:val="0"/>
        <w:pageBreakBefore w:val="0"/>
        <w:kinsoku/>
        <w:wordWrap/>
        <w:overflowPunct/>
        <w:topLinePunct w:val="0"/>
        <w:autoSpaceDE/>
        <w:autoSpaceDN/>
        <w:bidi w:val="0"/>
        <w:snapToGrid/>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政府信息公开工作年度报告（以下简称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有重要意义。为更好发挥年度报告的重要作用，</w:t>
      </w:r>
      <w:r>
        <w:rPr>
          <w:rFonts w:ascii="仿宋_GB2312" w:hAnsi="宋体" w:eastAsia="仿宋_GB2312"/>
          <w:i w:val="0"/>
          <w:iCs w:val="0"/>
          <w:color w:val="000000"/>
          <w:spacing w:val="0"/>
          <w:sz w:val="32"/>
          <w:szCs w:val="32"/>
          <w:shd w:val="clear" w:color="auto" w:fill="FFFFFF"/>
        </w:rPr>
        <w:t>根据《中华人民共和国政府信息公开条例》有关规定和县政府办公室通知要求，</w:t>
      </w:r>
      <w:r>
        <w:rPr>
          <w:rFonts w:hint="eastAsia" w:ascii="仿宋_GB2312" w:eastAsia="仿宋_GB2312"/>
          <w:color w:val="000000"/>
          <w:sz w:val="32"/>
          <w:szCs w:val="32"/>
          <w:lang w:val="en-US" w:eastAsia="zh-CN"/>
        </w:rPr>
        <w:t>结合工作实际，制定《昌乐县科学技术局2023年政府信息公开工作年度报告》，并根据情况变化适时更新。本年度报告中所列数据的统计期限自2023年1月1日起，至2023年12月31日止。如对本报告有疑问，请联系昌乐县科技局办公室，联系电话:0536-6221583。</w:t>
      </w:r>
    </w:p>
    <w:p>
      <w:pPr>
        <w:pStyle w:val="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Chars="200" w:right="0" w:rightChars="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一、</w:t>
      </w:r>
      <w:r>
        <w:rPr>
          <w:rFonts w:hint="eastAsia" w:ascii="黑体" w:hAnsi="黑体" w:eastAsia="黑体"/>
          <w:b w:val="0"/>
          <w:bCs w:val="0"/>
          <w:sz w:val="32"/>
          <w:szCs w:val="32"/>
        </w:rPr>
        <w:t>总体情况</w:t>
      </w:r>
    </w:p>
    <w:p>
      <w:pPr>
        <w:keepNext w:val="0"/>
        <w:keepLines w:val="0"/>
        <w:pageBreakBefore w:val="0"/>
        <w:kinsoku/>
        <w:wordWrap/>
        <w:overflowPunct/>
        <w:topLinePunct w:val="0"/>
        <w:autoSpaceDE/>
        <w:autoSpaceDN/>
        <w:bidi w:val="0"/>
        <w:snapToGrid/>
        <w:spacing w:line="578"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县科技局</w:t>
      </w:r>
      <w:r>
        <w:rPr>
          <w:rFonts w:hint="eastAsia" w:ascii="仿宋_GB2312" w:eastAsia="仿宋_GB2312"/>
          <w:color w:val="000000"/>
          <w:sz w:val="32"/>
          <w:szCs w:val="32"/>
        </w:rPr>
        <w:t>按照</w:t>
      </w:r>
      <w:r>
        <w:rPr>
          <w:rFonts w:hint="eastAsia" w:ascii="仿宋_GB2312" w:eastAsia="仿宋_GB2312"/>
          <w:color w:val="000000"/>
          <w:sz w:val="32"/>
          <w:szCs w:val="32"/>
          <w:lang w:eastAsia="zh-CN"/>
        </w:rPr>
        <w:t>昌乐</w:t>
      </w:r>
      <w:r>
        <w:rPr>
          <w:rFonts w:ascii="仿宋_GB2312" w:eastAsia="仿宋_GB2312"/>
          <w:color w:val="000000"/>
          <w:sz w:val="32"/>
          <w:szCs w:val="32"/>
        </w:rPr>
        <w:t>县委、</w:t>
      </w:r>
      <w:r>
        <w:rPr>
          <w:rFonts w:hint="eastAsia" w:ascii="仿宋_GB2312" w:eastAsia="仿宋_GB2312"/>
          <w:color w:val="000000"/>
          <w:sz w:val="32"/>
          <w:szCs w:val="32"/>
        </w:rPr>
        <w:t>县政府</w:t>
      </w:r>
      <w:r>
        <w:rPr>
          <w:rFonts w:ascii="仿宋_GB2312" w:eastAsia="仿宋_GB2312"/>
          <w:color w:val="000000"/>
          <w:sz w:val="32"/>
          <w:szCs w:val="32"/>
        </w:rPr>
        <w:t>关于推进政府信息公开工作的部署和要求，</w:t>
      </w:r>
      <w:r>
        <w:rPr>
          <w:rFonts w:hint="eastAsia" w:ascii="仿宋_GB2312" w:eastAsia="仿宋_GB2312"/>
          <w:color w:val="000000"/>
          <w:sz w:val="32"/>
          <w:szCs w:val="32"/>
        </w:rPr>
        <w:t>认真贯彻落实《中华人民共和国政府信息公开条例》，</w:t>
      </w:r>
      <w:r>
        <w:rPr>
          <w:rFonts w:ascii="仿宋_GB2312" w:eastAsia="仿宋_GB2312"/>
          <w:color w:val="000000"/>
          <w:sz w:val="32"/>
          <w:szCs w:val="32"/>
        </w:rPr>
        <w:t>紧紧围绕</w:t>
      </w:r>
      <w:r>
        <w:rPr>
          <w:rFonts w:hint="eastAsia" w:ascii="仿宋_GB2312" w:eastAsia="仿宋_GB2312"/>
          <w:color w:val="000000"/>
          <w:sz w:val="32"/>
          <w:szCs w:val="32"/>
          <w:lang w:eastAsia="zh-CN"/>
        </w:rPr>
        <w:t>县科技</w:t>
      </w:r>
      <w:r>
        <w:rPr>
          <w:rFonts w:ascii="仿宋_GB2312" w:eastAsia="仿宋_GB2312"/>
          <w:color w:val="000000"/>
          <w:sz w:val="32"/>
          <w:szCs w:val="32"/>
        </w:rPr>
        <w:t>局中心工作，</w:t>
      </w:r>
      <w:r>
        <w:rPr>
          <w:rFonts w:ascii="仿宋_GB2312" w:hAnsi="宋体" w:eastAsia="仿宋_GB2312"/>
          <w:i w:val="0"/>
          <w:iCs w:val="0"/>
          <w:color w:val="000000"/>
          <w:spacing w:val="0"/>
          <w:sz w:val="32"/>
          <w:szCs w:val="32"/>
          <w:shd w:val="clear" w:color="auto" w:fill="FFFFFF"/>
        </w:rPr>
        <w:t>进一步规范公开内容、</w:t>
      </w:r>
      <w:r>
        <w:rPr>
          <w:rFonts w:hint="eastAsia" w:ascii="仿宋_GB2312" w:hAnsi="宋体" w:eastAsia="仿宋_GB2312"/>
          <w:i w:val="0"/>
          <w:iCs w:val="0"/>
          <w:color w:val="000000"/>
          <w:spacing w:val="0"/>
          <w:sz w:val="32"/>
          <w:szCs w:val="32"/>
          <w:shd w:val="clear" w:color="auto" w:fill="FFFFFF"/>
          <w:lang w:eastAsia="zh-CN"/>
        </w:rPr>
        <w:t>丰富</w:t>
      </w:r>
      <w:r>
        <w:rPr>
          <w:rFonts w:ascii="仿宋_GB2312" w:hAnsi="宋体" w:eastAsia="仿宋_GB2312"/>
          <w:i w:val="0"/>
          <w:iCs w:val="0"/>
          <w:color w:val="000000"/>
          <w:spacing w:val="0"/>
          <w:sz w:val="32"/>
          <w:szCs w:val="32"/>
          <w:shd w:val="clear" w:color="auto" w:fill="FFFFFF"/>
        </w:rPr>
        <w:t>公开</w:t>
      </w:r>
      <w:r>
        <w:rPr>
          <w:rFonts w:hint="eastAsia" w:ascii="仿宋_GB2312" w:hAnsi="宋体" w:eastAsia="仿宋_GB2312"/>
          <w:i w:val="0"/>
          <w:iCs w:val="0"/>
          <w:color w:val="000000"/>
          <w:spacing w:val="0"/>
          <w:sz w:val="32"/>
          <w:szCs w:val="32"/>
          <w:shd w:val="clear" w:color="auto" w:fill="FFFFFF"/>
          <w:lang w:eastAsia="zh-CN"/>
        </w:rPr>
        <w:t>信息</w:t>
      </w:r>
      <w:r>
        <w:rPr>
          <w:rFonts w:ascii="仿宋_GB2312" w:hAnsi="宋体" w:eastAsia="仿宋_GB2312"/>
          <w:i w:val="0"/>
          <w:iCs w:val="0"/>
          <w:color w:val="000000"/>
          <w:spacing w:val="0"/>
          <w:sz w:val="32"/>
          <w:szCs w:val="32"/>
          <w:shd w:val="clear" w:color="auto" w:fill="FFFFFF"/>
        </w:rPr>
        <w:t>，拓展公开渠道，</w:t>
      </w:r>
      <w:r>
        <w:rPr>
          <w:rFonts w:hint="eastAsia" w:ascii="仿宋_GB2312" w:eastAsia="仿宋_GB2312"/>
          <w:color w:val="000000"/>
          <w:sz w:val="32"/>
          <w:szCs w:val="32"/>
          <w:lang w:eastAsia="zh-CN"/>
        </w:rPr>
        <w:t>加强监督保障，</w:t>
      </w:r>
      <w:r>
        <w:rPr>
          <w:rFonts w:ascii="仿宋_GB2312" w:hAnsi="宋体" w:eastAsia="仿宋_GB2312"/>
          <w:i w:val="0"/>
          <w:iCs w:val="0"/>
          <w:color w:val="000000"/>
          <w:spacing w:val="0"/>
          <w:sz w:val="32"/>
          <w:szCs w:val="32"/>
          <w:shd w:val="clear" w:color="auto" w:fill="FFFFFF"/>
        </w:rPr>
        <w:t>及时、准确地向社会公开政府信息，</w:t>
      </w:r>
      <w:r>
        <w:rPr>
          <w:rFonts w:hint="eastAsia" w:ascii="仿宋_GB2312" w:hAnsi="宋体" w:eastAsia="仿宋_GB2312"/>
          <w:i w:val="0"/>
          <w:iCs w:val="0"/>
          <w:color w:val="000000"/>
          <w:spacing w:val="0"/>
          <w:sz w:val="32"/>
          <w:szCs w:val="32"/>
          <w:shd w:val="clear" w:color="auto" w:fill="FFFFFF"/>
          <w:lang w:eastAsia="zh-CN"/>
        </w:rPr>
        <w:t>逐</w:t>
      </w:r>
      <w:r>
        <w:rPr>
          <w:rFonts w:ascii="仿宋_GB2312" w:eastAsia="仿宋_GB2312"/>
          <w:color w:val="000000"/>
          <w:sz w:val="32"/>
          <w:szCs w:val="32"/>
        </w:rPr>
        <w:t>步推进政府信息公开工作</w:t>
      </w:r>
      <w:r>
        <w:rPr>
          <w:rFonts w:ascii="仿宋_GB2312" w:hAnsi="宋体" w:eastAsia="仿宋_GB2312"/>
          <w:i w:val="0"/>
          <w:iCs w:val="0"/>
          <w:color w:val="000000"/>
          <w:spacing w:val="0"/>
          <w:sz w:val="32"/>
          <w:szCs w:val="32"/>
          <w:shd w:val="clear" w:color="auto" w:fill="FFFFFF"/>
        </w:rPr>
        <w:t>，</w:t>
      </w:r>
      <w:r>
        <w:rPr>
          <w:rFonts w:hint="eastAsia" w:ascii="仿宋_GB2312" w:eastAsia="仿宋_GB2312"/>
          <w:color w:val="000000"/>
          <w:sz w:val="32"/>
          <w:szCs w:val="32"/>
        </w:rPr>
        <w:t>较好</w:t>
      </w:r>
      <w:r>
        <w:rPr>
          <w:rFonts w:ascii="仿宋_GB2312" w:eastAsia="仿宋_GB2312"/>
          <w:color w:val="000000"/>
          <w:sz w:val="32"/>
          <w:szCs w:val="32"/>
        </w:rPr>
        <w:t>地完成了</w:t>
      </w:r>
      <w:r>
        <w:rPr>
          <w:rFonts w:hint="eastAsia" w:ascii="仿宋_GB2312" w:eastAsia="仿宋_GB2312"/>
          <w:color w:val="000000"/>
          <w:sz w:val="32"/>
          <w:szCs w:val="32"/>
        </w:rPr>
        <w:t>各项</w:t>
      </w:r>
      <w:r>
        <w:rPr>
          <w:rFonts w:ascii="仿宋_GB2312" w:eastAsia="仿宋_GB2312"/>
          <w:color w:val="000000"/>
          <w:sz w:val="32"/>
          <w:szCs w:val="32"/>
        </w:rPr>
        <w:t>工作任务</w:t>
      </w:r>
      <w:r>
        <w:rPr>
          <w:rFonts w:hint="eastAsia" w:ascii="仿宋_GB2312" w:eastAsia="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240" w:lineRule="auto"/>
        <w:ind w:firstLine="640" w:firstLineChars="200"/>
        <w:rPr>
          <w:rFonts w:hint="eastAsia" w:ascii="楷体_GB2312" w:hAnsi="楷体_GB2312" w:eastAsia="楷体_GB2312"/>
          <w:color w:val="000000"/>
          <w:sz w:val="32"/>
          <w:szCs w:val="32"/>
        </w:rPr>
      </w:pPr>
      <w:r>
        <w:rPr>
          <w:rFonts w:hint="eastAsia" w:ascii="楷体_GB2312" w:hAnsi="楷体_GB2312" w:eastAsia="楷体_GB2312"/>
          <w:color w:val="000000"/>
          <w:sz w:val="32"/>
          <w:szCs w:val="32"/>
        </w:rPr>
        <w:t>主动公开情况</w:t>
      </w:r>
    </w:p>
    <w:p>
      <w:pPr>
        <w:keepNext w:val="0"/>
        <w:keepLines w:val="0"/>
        <w:pageBreakBefore w:val="0"/>
        <w:widowControl w:val="0"/>
        <w:numPr>
          <w:ilvl w:val="0"/>
          <w:numId w:val="0"/>
        </w:numPr>
        <w:kinsoku/>
        <w:wordWrap/>
        <w:overflowPunct/>
        <w:topLinePunct w:val="0"/>
        <w:autoSpaceDE/>
        <w:autoSpaceDN/>
        <w:bidi w:val="0"/>
        <w:snapToGrid/>
        <w:spacing w:line="240" w:lineRule="auto"/>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县科技局主要</w:t>
      </w:r>
      <w:r>
        <w:rPr>
          <w:rFonts w:hint="eastAsia" w:ascii="仿宋_GB2312" w:eastAsia="仿宋_GB2312"/>
          <w:color w:val="000000"/>
          <w:sz w:val="32"/>
          <w:szCs w:val="32"/>
        </w:rPr>
        <w:t>在</w:t>
      </w:r>
      <w:r>
        <w:rPr>
          <w:rFonts w:hint="eastAsia" w:ascii="仿宋_GB2312" w:eastAsia="仿宋_GB2312"/>
          <w:color w:val="000000"/>
          <w:kern w:val="2"/>
          <w:sz w:val="32"/>
          <w:szCs w:val="32"/>
        </w:rPr>
        <w:t>“</w:t>
      </w:r>
      <w:r>
        <w:rPr>
          <w:rFonts w:hint="eastAsia" w:ascii="仿宋_GB2312" w:eastAsia="仿宋_GB2312"/>
          <w:color w:val="000000"/>
          <w:kern w:val="2"/>
          <w:sz w:val="32"/>
          <w:szCs w:val="32"/>
          <w:lang w:eastAsia="zh-CN"/>
        </w:rPr>
        <w:t>昌乐县人民政府</w:t>
      </w:r>
      <w:r>
        <w:rPr>
          <w:rFonts w:hint="eastAsia" w:ascii="仿宋_GB2312" w:eastAsia="仿宋_GB2312"/>
          <w:color w:val="000000"/>
          <w:kern w:val="2"/>
          <w:sz w:val="32"/>
          <w:szCs w:val="32"/>
        </w:rPr>
        <w:t>”</w:t>
      </w:r>
      <w:r>
        <w:rPr>
          <w:rFonts w:hint="eastAsia" w:ascii="仿宋_GB2312" w:eastAsia="仿宋_GB2312"/>
          <w:color w:val="000000"/>
          <w:sz w:val="32"/>
          <w:szCs w:val="32"/>
        </w:rPr>
        <w:t>门户网站</w:t>
      </w:r>
      <w:r>
        <w:rPr>
          <w:rFonts w:hint="eastAsia" w:ascii="仿宋_GB2312" w:eastAsia="仿宋_GB2312"/>
          <w:color w:val="000000"/>
          <w:sz w:val="32"/>
          <w:szCs w:val="32"/>
          <w:lang w:eastAsia="zh-CN"/>
        </w:rPr>
        <w:t>“政务公开”栏目下</w:t>
      </w:r>
      <w:r>
        <w:rPr>
          <w:rFonts w:hint="eastAsia" w:ascii="仿宋_GB2312" w:eastAsia="仿宋_GB2312"/>
          <w:color w:val="000000"/>
          <w:sz w:val="32"/>
          <w:szCs w:val="32"/>
        </w:rPr>
        <w:t>科技局专栏</w:t>
      </w:r>
      <w:r>
        <w:rPr>
          <w:rFonts w:hint="eastAsia" w:ascii="仿宋_GB2312" w:eastAsia="仿宋_GB2312"/>
          <w:color w:val="000000"/>
          <w:sz w:val="32"/>
          <w:szCs w:val="32"/>
          <w:lang w:eastAsia="zh-CN"/>
        </w:rPr>
        <w:t>主动公开信息，</w:t>
      </w:r>
      <w:r>
        <w:rPr>
          <w:rFonts w:hint="eastAsia" w:ascii="仿宋_GB2312" w:eastAsia="仿宋_GB2312"/>
          <w:color w:val="000000"/>
          <w:sz w:val="32"/>
          <w:szCs w:val="32"/>
        </w:rPr>
        <w:t>共公开政务信息</w:t>
      </w:r>
      <w:r>
        <w:rPr>
          <w:rFonts w:hint="eastAsia" w:ascii="仿宋_GB2312" w:eastAsia="仿宋_GB2312"/>
          <w:color w:val="000000"/>
          <w:sz w:val="32"/>
          <w:szCs w:val="32"/>
          <w:lang w:val="en-US" w:eastAsia="zh-CN"/>
        </w:rPr>
        <w:t>60余</w:t>
      </w:r>
      <w:r>
        <w:rPr>
          <w:rFonts w:hint="eastAsia" w:ascii="仿宋_GB2312" w:eastAsia="仿宋_GB2312"/>
          <w:color w:val="000000"/>
          <w:sz w:val="32"/>
          <w:szCs w:val="32"/>
        </w:rPr>
        <w:t>条</w:t>
      </w:r>
      <w:r>
        <w:rPr>
          <w:rFonts w:hint="eastAsia" w:ascii="仿宋_GB2312" w:eastAsia="仿宋_GB2312"/>
          <w:color w:val="000000"/>
          <w:sz w:val="32"/>
          <w:szCs w:val="32"/>
          <w:lang w:eastAsia="zh-CN"/>
        </w:rPr>
        <w:t>。</w:t>
      </w:r>
      <w:r>
        <w:rPr>
          <w:rFonts w:hint="eastAsia" w:ascii="仿宋_GB2312" w:eastAsia="仿宋_GB2312"/>
          <w:color w:val="000000"/>
          <w:sz w:val="32"/>
          <w:szCs w:val="32"/>
        </w:rPr>
        <w:t>根据</w:t>
      </w:r>
      <w:r>
        <w:rPr>
          <w:rFonts w:hint="eastAsia" w:ascii="仿宋_GB2312" w:eastAsia="仿宋_GB2312"/>
          <w:color w:val="000000"/>
          <w:sz w:val="32"/>
          <w:szCs w:val="32"/>
          <w:lang w:eastAsia="zh-CN"/>
        </w:rPr>
        <w:t>相关工作</w:t>
      </w:r>
      <w:r>
        <w:rPr>
          <w:rFonts w:hint="eastAsia" w:ascii="仿宋_GB2312" w:eastAsia="仿宋_GB2312"/>
          <w:color w:val="000000"/>
          <w:sz w:val="32"/>
          <w:szCs w:val="32"/>
        </w:rPr>
        <w:t>要求，及时更新县科技局</w:t>
      </w:r>
      <w:r>
        <w:rPr>
          <w:rFonts w:hint="eastAsia" w:ascii="仿宋_GB2312" w:eastAsia="仿宋_GB2312"/>
          <w:color w:val="000000"/>
          <w:sz w:val="32"/>
          <w:szCs w:val="32"/>
          <w:lang w:eastAsia="zh-CN"/>
        </w:rPr>
        <w:t>机构职能、组织管理、规划计划</w:t>
      </w:r>
      <w:r>
        <w:rPr>
          <w:rFonts w:hint="eastAsia" w:ascii="仿宋_GB2312" w:eastAsia="仿宋_GB2312"/>
          <w:color w:val="000000"/>
          <w:sz w:val="32"/>
          <w:szCs w:val="32"/>
        </w:rPr>
        <w:t>、</w:t>
      </w:r>
      <w:r>
        <w:rPr>
          <w:rFonts w:hint="eastAsia" w:ascii="仿宋_GB2312" w:eastAsia="仿宋_GB2312"/>
          <w:color w:val="000000"/>
          <w:sz w:val="32"/>
          <w:szCs w:val="32"/>
          <w:lang w:eastAsia="zh-CN"/>
        </w:rPr>
        <w:t>工作信息、建议提案、行政权力运行信息</w:t>
      </w:r>
      <w:r>
        <w:rPr>
          <w:rFonts w:hint="eastAsia" w:ascii="仿宋_GB2312" w:eastAsia="仿宋_GB2312"/>
          <w:color w:val="000000"/>
          <w:sz w:val="32"/>
          <w:szCs w:val="32"/>
        </w:rPr>
        <w:t>等情况</w:t>
      </w:r>
      <w:r>
        <w:rPr>
          <w:rFonts w:hint="eastAsia" w:ascii="仿宋_GB2312" w:eastAsia="仿宋_GB2312"/>
          <w:color w:val="000000"/>
          <w:sz w:val="32"/>
          <w:szCs w:val="32"/>
          <w:lang w:eastAsia="zh-CN"/>
        </w:rPr>
        <w:t>，</w:t>
      </w:r>
      <w:r>
        <w:rPr>
          <w:rFonts w:hint="eastAsia" w:ascii="仿宋_GB2312" w:eastAsia="仿宋_GB2312"/>
          <w:color w:val="000000"/>
          <w:sz w:val="32"/>
          <w:szCs w:val="32"/>
        </w:rPr>
        <w:t>及时公开科技工作</w:t>
      </w:r>
      <w:r>
        <w:rPr>
          <w:rFonts w:hint="eastAsia" w:ascii="仿宋_GB2312" w:eastAsia="仿宋_GB2312"/>
          <w:color w:val="000000"/>
          <w:sz w:val="32"/>
          <w:szCs w:val="32"/>
          <w:lang w:eastAsia="zh-CN"/>
        </w:rPr>
        <w:t>动态，</w:t>
      </w:r>
      <w:r>
        <w:rPr>
          <w:rFonts w:hint="eastAsia" w:ascii="仿宋_GB2312" w:eastAsia="仿宋_GB2312"/>
          <w:color w:val="000000"/>
          <w:sz w:val="32"/>
          <w:szCs w:val="32"/>
        </w:rPr>
        <w:t>便于公众了解</w:t>
      </w:r>
      <w:r>
        <w:rPr>
          <w:rFonts w:hint="eastAsia" w:ascii="仿宋_GB2312" w:eastAsia="仿宋_GB2312"/>
          <w:color w:val="000000"/>
          <w:sz w:val="32"/>
          <w:szCs w:val="32"/>
          <w:lang w:eastAsia="zh-CN"/>
        </w:rPr>
        <w:t>昌乐县</w:t>
      </w:r>
      <w:r>
        <w:rPr>
          <w:rFonts w:hint="eastAsia" w:ascii="仿宋_GB2312" w:eastAsia="仿宋_GB2312"/>
          <w:color w:val="000000"/>
          <w:sz w:val="32"/>
          <w:szCs w:val="32"/>
        </w:rPr>
        <w:t>科技</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情况。</w:t>
      </w:r>
    </w:p>
    <w:p>
      <w:pPr>
        <w:keepNext w:val="0"/>
        <w:keepLines w:val="0"/>
        <w:pageBreakBefore w:val="0"/>
        <w:numPr>
          <w:ilvl w:val="0"/>
          <w:numId w:val="0"/>
        </w:numPr>
        <w:kinsoku/>
        <w:wordWrap/>
        <w:overflowPunct/>
        <w:topLinePunct w:val="0"/>
        <w:autoSpaceDE/>
        <w:autoSpaceDN/>
        <w:bidi w:val="0"/>
        <w:snapToGrid/>
        <w:spacing w:line="578" w:lineRule="exact"/>
        <w:ind w:firstLine="640" w:firstLineChars="200"/>
        <w:rPr>
          <w:rFonts w:hint="eastAsia" w:ascii="楷体_GB2312" w:hAnsi="楷体_GB2312" w:eastAsia="楷体_GB2312"/>
          <w:color w:val="000000"/>
          <w:sz w:val="32"/>
          <w:szCs w:val="32"/>
          <w:lang w:val="en-US" w:eastAsia="zh-CN"/>
        </w:rPr>
      </w:pPr>
      <w:r>
        <w:rPr>
          <w:rFonts w:hint="eastAsia" w:ascii="楷体_GB2312" w:hAnsi="楷体_GB2312" w:eastAsia="楷体_GB2312"/>
          <w:color w:val="000000"/>
          <w:sz w:val="32"/>
          <w:szCs w:val="32"/>
          <w:lang w:val="en-US" w:eastAsia="zh-CN"/>
        </w:rPr>
        <w:t>（二）</w:t>
      </w:r>
      <w:r>
        <w:rPr>
          <w:rFonts w:hint="eastAsia" w:ascii="楷体_GB2312" w:hAnsi="楷体_GB2312" w:eastAsia="楷体_GB2312"/>
          <w:color w:val="000000"/>
          <w:sz w:val="32"/>
          <w:szCs w:val="32"/>
        </w:rPr>
        <w:t>依申请公开情况</w:t>
      </w:r>
    </w:p>
    <w:p>
      <w:pPr>
        <w:keepNext w:val="0"/>
        <w:keepLines w:val="0"/>
        <w:pageBreakBefore w:val="0"/>
        <w:numPr>
          <w:ilvl w:val="0"/>
          <w:numId w:val="0"/>
        </w:numPr>
        <w:kinsoku/>
        <w:wordWrap/>
        <w:overflowPunct/>
        <w:topLinePunct w:val="0"/>
        <w:autoSpaceDE/>
        <w:autoSpaceDN/>
        <w:bidi w:val="0"/>
        <w:snapToGrid/>
        <w:spacing w:line="578"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本年度县科技局未收到</w:t>
      </w:r>
      <w:r>
        <w:rPr>
          <w:rFonts w:hint="eastAsia" w:ascii="仿宋_GB2312" w:hAnsi="仿宋_GB2312" w:eastAsia="仿宋_GB2312"/>
          <w:sz w:val="32"/>
          <w:szCs w:val="32"/>
        </w:rPr>
        <w:t>政府信息公开申请</w:t>
      </w:r>
      <w:r>
        <w:rPr>
          <w:rFonts w:hint="eastAsia" w:ascii="仿宋_GB2312" w:hAnsi="仿宋_GB2312" w:eastAsia="仿宋_GB2312"/>
          <w:sz w:val="32"/>
          <w:szCs w:val="32"/>
          <w:lang w:eastAsia="zh-CN"/>
        </w:rPr>
        <w:t>，无</w:t>
      </w:r>
      <w:r>
        <w:rPr>
          <w:rFonts w:ascii="仿宋_GB2312" w:hAnsi="宋体" w:eastAsia="仿宋_GB2312"/>
          <w:i w:val="0"/>
          <w:iCs w:val="0"/>
          <w:color w:val="000000"/>
          <w:spacing w:val="0"/>
          <w:sz w:val="32"/>
          <w:szCs w:val="32"/>
          <w:shd w:val="clear" w:color="auto" w:fill="FFFFFF"/>
        </w:rPr>
        <w:t>申请行政复议、提起行政诉讼情况</w:t>
      </w:r>
      <w:r>
        <w:rPr>
          <w:rFonts w:hint="eastAsia" w:ascii="仿宋_GB2312" w:hAns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78" w:lineRule="exact"/>
        <w:ind w:firstLine="640" w:firstLineChars="200"/>
        <w:rPr>
          <w:rFonts w:hint="eastAsia" w:ascii="楷体_GB2312" w:hAnsi="楷体_GB2312" w:eastAsia="楷体_GB2312"/>
          <w:color w:val="000000"/>
          <w:sz w:val="32"/>
          <w:szCs w:val="32"/>
          <w:lang w:eastAsia="zh-CN"/>
        </w:rPr>
      </w:pPr>
      <w:r>
        <w:rPr>
          <w:rFonts w:hint="eastAsia" w:ascii="楷体_GB2312" w:hAnsi="楷体_GB2312" w:eastAsia="楷体_GB2312"/>
          <w:color w:val="000000"/>
          <w:sz w:val="32"/>
          <w:szCs w:val="32"/>
          <w:lang w:eastAsia="zh-CN"/>
        </w:rPr>
        <w:t>（三）</w:t>
      </w:r>
      <w:r>
        <w:rPr>
          <w:rFonts w:hint="eastAsia" w:ascii="楷体_GB2312" w:hAnsi="楷体_GB2312" w:eastAsia="楷体_GB2312"/>
          <w:color w:val="000000"/>
          <w:sz w:val="32"/>
          <w:szCs w:val="32"/>
        </w:rPr>
        <w:t>政府信息管理情况</w:t>
      </w:r>
    </w:p>
    <w:p>
      <w:pPr>
        <w:keepNext w:val="0"/>
        <w:keepLines w:val="0"/>
        <w:pageBreakBefore w:val="0"/>
        <w:numPr>
          <w:ilvl w:val="0"/>
          <w:numId w:val="0"/>
        </w:numPr>
        <w:kinsoku/>
        <w:wordWrap/>
        <w:overflowPunct/>
        <w:topLinePunct w:val="0"/>
        <w:autoSpaceDE/>
        <w:autoSpaceDN/>
        <w:bidi w:val="0"/>
        <w:snapToGrid/>
        <w:spacing w:line="578"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建立健全信息公开管理体制，紧紧围绕县科技局中心工作任务，深入贯彻落实上级关于</w:t>
      </w:r>
      <w:r>
        <w:rPr>
          <w:rFonts w:hint="eastAsia" w:ascii="仿宋_GB2312" w:eastAsia="仿宋_GB2312"/>
          <w:sz w:val="32"/>
          <w:szCs w:val="32"/>
        </w:rPr>
        <w:t>政府信息公开工作</w:t>
      </w:r>
      <w:r>
        <w:rPr>
          <w:rFonts w:hint="eastAsia" w:ascii="仿宋_GB2312" w:hAnsi="仿宋_GB2312" w:eastAsia="仿宋_GB2312"/>
          <w:sz w:val="32"/>
          <w:szCs w:val="32"/>
          <w:lang w:eastAsia="zh-CN"/>
        </w:rPr>
        <w:t>的规定和要求，及时、准确、全面公开群众普遍关心、涉及群众切身利益的信息，使政务公开工作更加规范、有序开展。严格贯彻落实《中华人民共和国政府信息公开条例》，加强对相关工作人员的培训，有效提高了</w:t>
      </w:r>
      <w:r>
        <w:rPr>
          <w:rFonts w:hint="eastAsia" w:ascii="仿宋_GB2312" w:eastAsia="仿宋_GB2312"/>
          <w:sz w:val="32"/>
          <w:szCs w:val="32"/>
        </w:rPr>
        <w:t>政府信息公开工作</w:t>
      </w:r>
      <w:r>
        <w:rPr>
          <w:rFonts w:hint="eastAsia" w:ascii="仿宋_GB2312" w:hAnsi="仿宋_GB2312" w:eastAsia="仿宋_GB2312"/>
          <w:sz w:val="32"/>
          <w:szCs w:val="32"/>
          <w:lang w:eastAsia="zh-CN"/>
        </w:rPr>
        <w:t>的针对性和实效性。强化</w:t>
      </w:r>
      <w:r>
        <w:rPr>
          <w:rFonts w:hint="eastAsia" w:ascii="仿宋_GB2312" w:eastAsia="仿宋_GB2312"/>
          <w:sz w:val="32"/>
          <w:szCs w:val="32"/>
        </w:rPr>
        <w:t>政府</w:t>
      </w:r>
      <w:r>
        <w:rPr>
          <w:rFonts w:hint="eastAsia" w:ascii="仿宋_GB2312" w:hAnsi="仿宋_GB2312" w:eastAsia="仿宋_GB2312"/>
          <w:sz w:val="32"/>
          <w:szCs w:val="32"/>
          <w:lang w:eastAsia="zh-CN"/>
        </w:rPr>
        <w:t>信息公开工作流程管理，严格做好公开信息保密审查，确保公开信息不涉密、涉密信息不公开。</w:t>
      </w:r>
    </w:p>
    <w:p>
      <w:pPr>
        <w:keepNext w:val="0"/>
        <w:keepLines w:val="0"/>
        <w:pageBreakBefore w:val="0"/>
        <w:numPr>
          <w:ilvl w:val="0"/>
          <w:numId w:val="0"/>
        </w:numPr>
        <w:kinsoku/>
        <w:wordWrap/>
        <w:overflowPunct/>
        <w:topLinePunct w:val="0"/>
        <w:autoSpaceDE/>
        <w:autoSpaceDN/>
        <w:bidi w:val="0"/>
        <w:snapToGrid/>
        <w:spacing w:line="578" w:lineRule="exact"/>
        <w:ind w:firstLine="640" w:firstLineChars="200"/>
        <w:rPr>
          <w:rFonts w:hint="eastAsia" w:ascii="楷体_GB2312" w:hAnsi="楷体_GB2312" w:eastAsia="楷体_GB2312"/>
          <w:color w:val="000000"/>
          <w:kern w:val="2"/>
          <w:sz w:val="32"/>
          <w:szCs w:val="32"/>
          <w:lang w:eastAsia="zh-CN"/>
        </w:rPr>
      </w:pPr>
      <w:r>
        <w:rPr>
          <w:rFonts w:hint="eastAsia" w:ascii="楷体_GB2312" w:hAnsi="楷体_GB2312" w:eastAsia="楷体_GB2312"/>
          <w:color w:val="000000"/>
          <w:kern w:val="2"/>
          <w:sz w:val="32"/>
          <w:szCs w:val="32"/>
          <w:lang w:eastAsia="zh-CN"/>
        </w:rPr>
        <w:t>（四）</w:t>
      </w:r>
      <w:r>
        <w:rPr>
          <w:rFonts w:hint="eastAsia" w:ascii="楷体_GB2312" w:hAnsi="楷体_GB2312" w:eastAsia="楷体_GB2312"/>
          <w:color w:val="000000"/>
          <w:kern w:val="2"/>
          <w:sz w:val="32"/>
          <w:szCs w:val="32"/>
        </w:rPr>
        <w:t>政府信息公开平台建设情况</w:t>
      </w:r>
    </w:p>
    <w:p>
      <w:pPr>
        <w:keepNext w:val="0"/>
        <w:keepLines w:val="0"/>
        <w:pageBreakBefore w:val="0"/>
        <w:numPr>
          <w:ilvl w:val="0"/>
          <w:numId w:val="0"/>
        </w:numPr>
        <w:kinsoku/>
        <w:wordWrap/>
        <w:overflowPunct/>
        <w:topLinePunct w:val="0"/>
        <w:autoSpaceDE/>
        <w:autoSpaceDN/>
        <w:bidi w:val="0"/>
        <w:snapToGrid/>
        <w:spacing w:line="578" w:lineRule="exact"/>
        <w:ind w:firstLine="640" w:firstLineChars="200"/>
        <w:rPr>
          <w:rFonts w:hint="eastAsia" w:ascii="仿宋_GB2312" w:hAnsi="宋体" w:eastAsia="仿宋_GB2312"/>
          <w:i w:val="0"/>
          <w:iCs w:val="0"/>
          <w:color w:val="000000"/>
          <w:spacing w:val="0"/>
          <w:sz w:val="32"/>
          <w:szCs w:val="32"/>
          <w:shd w:val="clear" w:color="auto" w:fill="FFFFFF"/>
        </w:rPr>
      </w:pPr>
      <w:r>
        <w:rPr>
          <w:rFonts w:hint="eastAsia" w:ascii="仿宋_GB2312" w:hAnsi="宋体" w:eastAsia="仿宋_GB2312"/>
          <w:i w:val="0"/>
          <w:iCs w:val="0"/>
          <w:color w:val="000000"/>
          <w:spacing w:val="0"/>
          <w:sz w:val="32"/>
          <w:szCs w:val="32"/>
          <w:shd w:val="clear" w:color="auto" w:fill="FFFFFF"/>
        </w:rPr>
        <w:t>加强对政府信息公开工作的管理，</w:t>
      </w:r>
      <w:r>
        <w:rPr>
          <w:rFonts w:hint="eastAsia" w:ascii="仿宋_GB2312" w:eastAsia="仿宋_GB2312"/>
          <w:color w:val="000000"/>
          <w:kern w:val="2"/>
          <w:sz w:val="32"/>
          <w:szCs w:val="32"/>
        </w:rPr>
        <w:t>县科技局主要依托</w:t>
      </w:r>
      <w:r>
        <w:rPr>
          <w:rFonts w:hint="eastAsia" w:ascii="仿宋_GB2312" w:hAnsi="宋体" w:eastAsia="仿宋_GB2312"/>
          <w:i w:val="0"/>
          <w:iCs w:val="0"/>
          <w:color w:val="000000"/>
          <w:spacing w:val="0"/>
          <w:sz w:val="32"/>
          <w:szCs w:val="32"/>
          <w:shd w:val="clear" w:color="auto" w:fill="FFFFFF"/>
          <w:lang w:eastAsia="zh-CN"/>
        </w:rPr>
        <w:t>通过</w:t>
      </w:r>
      <w:r>
        <w:rPr>
          <w:rFonts w:hint="eastAsia" w:ascii="仿宋_GB2312" w:eastAsia="仿宋_GB2312"/>
          <w:color w:val="000000"/>
          <w:kern w:val="2"/>
          <w:sz w:val="32"/>
          <w:szCs w:val="32"/>
        </w:rPr>
        <w:t>“</w:t>
      </w:r>
      <w:r>
        <w:rPr>
          <w:rFonts w:hint="eastAsia" w:ascii="仿宋_GB2312" w:eastAsia="仿宋_GB2312"/>
          <w:color w:val="000000"/>
          <w:kern w:val="2"/>
          <w:sz w:val="32"/>
          <w:szCs w:val="32"/>
          <w:lang w:eastAsia="zh-CN"/>
        </w:rPr>
        <w:t>昌乐县人民政府</w:t>
      </w:r>
      <w:r>
        <w:rPr>
          <w:rFonts w:hint="eastAsia" w:ascii="仿宋_GB2312" w:eastAsia="仿宋_GB2312"/>
          <w:color w:val="000000"/>
          <w:kern w:val="2"/>
          <w:sz w:val="32"/>
          <w:szCs w:val="32"/>
        </w:rPr>
        <w:t>”</w:t>
      </w:r>
      <w:r>
        <w:rPr>
          <w:rFonts w:hint="eastAsia" w:ascii="仿宋_GB2312" w:eastAsia="仿宋_GB2312"/>
          <w:color w:val="000000"/>
          <w:sz w:val="32"/>
          <w:szCs w:val="32"/>
        </w:rPr>
        <w:t>门户网站</w:t>
      </w:r>
      <w:r>
        <w:rPr>
          <w:rFonts w:hint="eastAsia" w:ascii="仿宋_GB2312" w:hAnsi="宋体" w:eastAsia="仿宋_GB2312"/>
          <w:i w:val="0"/>
          <w:iCs w:val="0"/>
          <w:color w:val="000000"/>
          <w:spacing w:val="0"/>
          <w:sz w:val="32"/>
          <w:szCs w:val="32"/>
          <w:shd w:val="clear" w:color="auto" w:fill="FFFFFF"/>
        </w:rPr>
        <w:t>及时发布</w:t>
      </w:r>
      <w:r>
        <w:rPr>
          <w:rFonts w:hint="eastAsia" w:ascii="仿宋_GB2312" w:hAnsi="宋体" w:eastAsia="仿宋_GB2312"/>
          <w:i w:val="0"/>
          <w:iCs w:val="0"/>
          <w:color w:val="000000"/>
          <w:spacing w:val="0"/>
          <w:sz w:val="32"/>
          <w:szCs w:val="32"/>
          <w:shd w:val="clear" w:color="auto" w:fill="FFFFFF"/>
          <w:lang w:eastAsia="zh-CN"/>
        </w:rPr>
        <w:t>科技</w:t>
      </w:r>
      <w:r>
        <w:rPr>
          <w:rFonts w:hint="eastAsia" w:ascii="仿宋_GB2312" w:hAnsi="宋体" w:eastAsia="仿宋_GB2312"/>
          <w:i w:val="0"/>
          <w:iCs w:val="0"/>
          <w:color w:val="000000"/>
          <w:spacing w:val="0"/>
          <w:sz w:val="32"/>
          <w:szCs w:val="32"/>
          <w:shd w:val="clear" w:color="auto" w:fill="FFFFFF"/>
        </w:rPr>
        <w:t>公开信息</w:t>
      </w:r>
      <w:r>
        <w:rPr>
          <w:rFonts w:hint="eastAsia" w:ascii="仿宋_GB2312" w:hAnsi="宋体" w:eastAsia="仿宋_GB2312"/>
          <w:i w:val="0"/>
          <w:iCs w:val="0"/>
          <w:color w:val="000000"/>
          <w:spacing w:val="0"/>
          <w:sz w:val="32"/>
          <w:szCs w:val="32"/>
          <w:shd w:val="clear" w:color="auto" w:fill="FFFFFF"/>
          <w:lang w:val="en-US" w:eastAsia="zh-CN"/>
        </w:rPr>
        <w:t>,并</w:t>
      </w:r>
      <w:r>
        <w:rPr>
          <w:rFonts w:hint="eastAsia" w:ascii="仿宋_GB2312" w:hAnsi="宋体" w:eastAsia="仿宋_GB2312"/>
          <w:i w:val="0"/>
          <w:iCs w:val="0"/>
          <w:color w:val="000000"/>
          <w:spacing w:val="0"/>
          <w:sz w:val="32"/>
          <w:szCs w:val="32"/>
          <w:shd w:val="clear" w:color="auto" w:fill="FFFFFF"/>
        </w:rPr>
        <w:t>通过</w:t>
      </w:r>
      <w:r>
        <w:rPr>
          <w:rFonts w:hint="eastAsia" w:ascii="仿宋_GB2312" w:hAnsi="宋体" w:eastAsia="仿宋_GB2312"/>
          <w:i w:val="0"/>
          <w:iCs w:val="0"/>
          <w:color w:val="000000"/>
          <w:spacing w:val="0"/>
          <w:sz w:val="32"/>
          <w:szCs w:val="32"/>
          <w:shd w:val="clear" w:color="auto" w:fill="FFFFFF"/>
          <w:lang w:eastAsia="zh-CN"/>
        </w:rPr>
        <w:t>各种新闻媒体、线下公开栏等多种方式</w:t>
      </w:r>
      <w:r>
        <w:rPr>
          <w:rFonts w:hint="eastAsia" w:ascii="仿宋_GB2312" w:hAnsi="宋体" w:eastAsia="仿宋_GB2312"/>
          <w:i w:val="0"/>
          <w:iCs w:val="0"/>
          <w:color w:val="000000"/>
          <w:spacing w:val="0"/>
          <w:sz w:val="32"/>
          <w:szCs w:val="32"/>
          <w:shd w:val="clear" w:color="auto" w:fill="FFFFFF"/>
        </w:rPr>
        <w:t>发布</w:t>
      </w:r>
      <w:r>
        <w:rPr>
          <w:rFonts w:hint="eastAsia" w:ascii="仿宋_GB2312" w:hAnsi="宋体" w:eastAsia="仿宋_GB2312"/>
          <w:i w:val="0"/>
          <w:iCs w:val="0"/>
          <w:color w:val="000000"/>
          <w:spacing w:val="0"/>
          <w:sz w:val="32"/>
          <w:szCs w:val="32"/>
          <w:shd w:val="clear" w:color="auto" w:fill="FFFFFF"/>
          <w:lang w:eastAsia="zh-CN"/>
        </w:rPr>
        <w:t>科技</w:t>
      </w:r>
      <w:r>
        <w:rPr>
          <w:rFonts w:hint="eastAsia" w:ascii="仿宋_GB2312" w:hAnsi="宋体" w:eastAsia="仿宋_GB2312"/>
          <w:i w:val="0"/>
          <w:iCs w:val="0"/>
          <w:color w:val="000000"/>
          <w:spacing w:val="0"/>
          <w:sz w:val="32"/>
          <w:szCs w:val="32"/>
          <w:shd w:val="clear" w:color="auto" w:fill="FFFFFF"/>
        </w:rPr>
        <w:t>动态</w:t>
      </w:r>
      <w:r>
        <w:rPr>
          <w:rFonts w:hint="eastAsia" w:ascii="仿宋_GB2312" w:hAnsi="宋体" w:eastAsia="仿宋_GB2312"/>
          <w:i w:val="0"/>
          <w:iCs w:val="0"/>
          <w:color w:val="000000"/>
          <w:spacing w:val="0"/>
          <w:sz w:val="32"/>
          <w:szCs w:val="32"/>
          <w:shd w:val="clear" w:color="auto" w:fill="FFFFFF"/>
          <w:lang w:eastAsia="zh-CN"/>
        </w:rPr>
        <w:t>信息</w:t>
      </w:r>
      <w:r>
        <w:rPr>
          <w:rFonts w:hint="eastAsia" w:ascii="仿宋_GB2312" w:hAnsi="宋体" w:eastAsia="仿宋_GB2312"/>
          <w:i w:val="0"/>
          <w:iCs w:val="0"/>
          <w:color w:val="000000"/>
          <w:spacing w:val="0"/>
          <w:sz w:val="32"/>
          <w:szCs w:val="32"/>
          <w:shd w:val="clear" w:color="auto" w:fill="FFFFFF"/>
          <w:lang w:val="en-US" w:eastAsia="zh-CN"/>
        </w:rPr>
        <w:t>30多</w:t>
      </w:r>
      <w:r>
        <w:rPr>
          <w:rFonts w:ascii="仿宋_GB2312" w:hAnsi="宋体" w:eastAsia="仿宋_GB2312"/>
          <w:i w:val="0"/>
          <w:iCs w:val="0"/>
          <w:color w:val="000000"/>
          <w:spacing w:val="0"/>
          <w:sz w:val="32"/>
          <w:szCs w:val="32"/>
          <w:shd w:val="clear" w:color="auto" w:fill="FFFFFF"/>
        </w:rPr>
        <w:t>条，</w:t>
      </w:r>
      <w:r>
        <w:rPr>
          <w:rFonts w:hint="eastAsia" w:ascii="仿宋_GB2312" w:hAnsi="宋体" w:eastAsia="仿宋_GB2312"/>
          <w:i w:val="0"/>
          <w:iCs w:val="0"/>
          <w:color w:val="000000"/>
          <w:spacing w:val="0"/>
          <w:sz w:val="32"/>
          <w:szCs w:val="32"/>
          <w:shd w:val="clear" w:color="auto" w:fill="FFFFFF"/>
          <w:lang w:eastAsia="zh-CN"/>
        </w:rPr>
        <w:t>便于群众</w:t>
      </w:r>
      <w:r>
        <w:rPr>
          <w:rFonts w:ascii="仿宋_GB2312" w:hAnsi="宋体" w:eastAsia="仿宋_GB2312"/>
          <w:i w:val="0"/>
          <w:iCs w:val="0"/>
          <w:color w:val="000000"/>
          <w:spacing w:val="0"/>
          <w:sz w:val="32"/>
          <w:szCs w:val="32"/>
          <w:shd w:val="clear" w:color="auto" w:fill="FFFFFF"/>
        </w:rPr>
        <w:t>关注、阅读、浏览。</w:t>
      </w:r>
    </w:p>
    <w:p>
      <w:pPr>
        <w:keepNext w:val="0"/>
        <w:keepLines w:val="0"/>
        <w:pageBreakBefore w:val="0"/>
        <w:numPr>
          <w:ilvl w:val="0"/>
          <w:numId w:val="0"/>
        </w:numPr>
        <w:kinsoku/>
        <w:wordWrap/>
        <w:overflowPunct/>
        <w:topLinePunct w:val="0"/>
        <w:autoSpaceDE/>
        <w:autoSpaceDN/>
        <w:bidi w:val="0"/>
        <w:snapToGrid/>
        <w:spacing w:line="578" w:lineRule="exact"/>
        <w:ind w:firstLine="640" w:firstLineChars="200"/>
        <w:rPr>
          <w:rFonts w:hint="eastAsia" w:ascii="楷体_GB2312" w:hAnsi="楷体_GB2312" w:eastAsia="楷体_GB2312"/>
          <w:color w:val="000000"/>
          <w:kern w:val="2"/>
          <w:sz w:val="32"/>
          <w:szCs w:val="32"/>
          <w:lang w:eastAsia="zh-CN"/>
        </w:rPr>
      </w:pPr>
      <w:r>
        <w:rPr>
          <w:rFonts w:hint="eastAsia" w:ascii="楷体_GB2312" w:hAnsi="楷体_GB2312" w:eastAsia="楷体_GB2312"/>
          <w:color w:val="000000"/>
          <w:kern w:val="2"/>
          <w:sz w:val="32"/>
          <w:szCs w:val="32"/>
          <w:lang w:eastAsia="zh-CN"/>
        </w:rPr>
        <w:t>（五）监督保障情况</w:t>
      </w:r>
    </w:p>
    <w:p>
      <w:pPr>
        <w:keepNext w:val="0"/>
        <w:keepLines w:val="0"/>
        <w:pageBreakBefore w:val="0"/>
        <w:numPr>
          <w:ilvl w:val="0"/>
          <w:numId w:val="0"/>
        </w:numPr>
        <w:kinsoku/>
        <w:wordWrap/>
        <w:overflowPunct/>
        <w:topLinePunct w:val="0"/>
        <w:autoSpaceDE/>
        <w:autoSpaceDN/>
        <w:bidi w:val="0"/>
        <w:snapToGrid/>
        <w:spacing w:line="578" w:lineRule="exact"/>
        <w:ind w:firstLine="640" w:firstLineChars="200"/>
        <w:rPr>
          <w:rFonts w:hint="eastAsia" w:ascii="仿宋_GB2312" w:eastAsia="仿宋_GB2312"/>
          <w:color w:val="000000"/>
          <w:kern w:val="2"/>
          <w:sz w:val="32"/>
          <w:szCs w:val="32"/>
          <w:lang w:eastAsia="zh-CN"/>
        </w:rPr>
      </w:pPr>
      <w:r>
        <w:rPr>
          <w:rFonts w:hint="eastAsia" w:ascii="仿宋_GB2312" w:eastAsia="仿宋_GB2312"/>
          <w:color w:val="000000"/>
          <w:kern w:val="2"/>
          <w:sz w:val="32"/>
          <w:szCs w:val="32"/>
          <w:lang w:eastAsia="zh-CN"/>
        </w:rPr>
        <w:t>县科技局成立了由主要领导担任组长的</w:t>
      </w:r>
      <w:r>
        <w:rPr>
          <w:rFonts w:hint="eastAsia" w:ascii="仿宋_GB2312" w:hAnsi="宋体" w:eastAsia="仿宋_GB2312"/>
          <w:i w:val="0"/>
          <w:iCs w:val="0"/>
          <w:color w:val="000000"/>
          <w:spacing w:val="0"/>
          <w:sz w:val="32"/>
          <w:szCs w:val="32"/>
          <w:shd w:val="clear" w:color="auto" w:fill="FFFFFF"/>
        </w:rPr>
        <w:t>政府信息公开工作</w:t>
      </w:r>
      <w:r>
        <w:rPr>
          <w:rFonts w:hint="eastAsia" w:ascii="仿宋_GB2312" w:eastAsia="仿宋_GB2312"/>
          <w:color w:val="000000"/>
          <w:kern w:val="2"/>
          <w:sz w:val="32"/>
          <w:szCs w:val="32"/>
          <w:lang w:eastAsia="zh-CN"/>
        </w:rPr>
        <w:t>领导小组，并安排专人负责</w:t>
      </w:r>
      <w:r>
        <w:rPr>
          <w:rFonts w:hint="eastAsia" w:ascii="仿宋_GB2312" w:hAnsi="宋体" w:eastAsia="仿宋_GB2312"/>
          <w:i w:val="0"/>
          <w:iCs w:val="0"/>
          <w:color w:val="000000"/>
          <w:spacing w:val="0"/>
          <w:sz w:val="32"/>
          <w:szCs w:val="32"/>
          <w:shd w:val="clear" w:color="auto" w:fill="FFFFFF"/>
        </w:rPr>
        <w:t>政府信息公开</w:t>
      </w:r>
      <w:r>
        <w:rPr>
          <w:rFonts w:hint="eastAsia" w:ascii="仿宋_GB2312" w:eastAsia="仿宋_GB2312"/>
          <w:color w:val="000000"/>
          <w:kern w:val="2"/>
          <w:sz w:val="32"/>
          <w:szCs w:val="32"/>
          <w:lang w:eastAsia="zh-CN"/>
        </w:rPr>
        <w:t>工作。加强相关工作人员培训，</w:t>
      </w:r>
      <w:r>
        <w:rPr>
          <w:rFonts w:hint="eastAsia" w:ascii="仿宋_GB2312" w:hAnsi="仿宋_GB2312" w:eastAsia="仿宋_GB2312"/>
          <w:sz w:val="32"/>
          <w:szCs w:val="32"/>
          <w:lang w:eastAsia="zh-CN"/>
        </w:rPr>
        <w:t>使其准确理解掌握相关规定，</w:t>
      </w:r>
      <w:r>
        <w:rPr>
          <w:rFonts w:hint="eastAsia" w:ascii="仿宋_GB2312" w:eastAsia="仿宋_GB2312"/>
          <w:color w:val="000000"/>
          <w:kern w:val="2"/>
          <w:sz w:val="32"/>
          <w:szCs w:val="32"/>
          <w:lang w:eastAsia="zh-CN"/>
        </w:rPr>
        <w:t>提高工作人员</w:t>
      </w:r>
      <w:r>
        <w:rPr>
          <w:rFonts w:hint="eastAsia" w:ascii="仿宋_GB2312" w:hAnsi="宋体" w:eastAsia="仿宋_GB2312"/>
          <w:i w:val="0"/>
          <w:iCs w:val="0"/>
          <w:color w:val="000000"/>
          <w:spacing w:val="0"/>
          <w:sz w:val="32"/>
          <w:szCs w:val="32"/>
          <w:shd w:val="clear" w:color="auto" w:fill="FFFFFF"/>
        </w:rPr>
        <w:t>政府信息公开</w:t>
      </w:r>
      <w:r>
        <w:rPr>
          <w:rFonts w:hint="eastAsia" w:ascii="仿宋_GB2312" w:eastAsia="仿宋_GB2312"/>
          <w:color w:val="000000"/>
          <w:kern w:val="2"/>
          <w:sz w:val="32"/>
          <w:szCs w:val="32"/>
          <w:lang w:eastAsia="zh-CN"/>
        </w:rPr>
        <w:t>工作的工作水平。严格按照规定要求做好</w:t>
      </w:r>
      <w:r>
        <w:rPr>
          <w:rFonts w:hint="eastAsia" w:ascii="仿宋_GB2312" w:hAnsi="宋体" w:eastAsia="仿宋_GB2312"/>
          <w:i w:val="0"/>
          <w:iCs w:val="0"/>
          <w:color w:val="000000"/>
          <w:spacing w:val="0"/>
          <w:sz w:val="32"/>
          <w:szCs w:val="32"/>
          <w:shd w:val="clear" w:color="auto" w:fill="FFFFFF"/>
        </w:rPr>
        <w:t>政府信息公开</w:t>
      </w:r>
      <w:r>
        <w:rPr>
          <w:rFonts w:hint="eastAsia" w:ascii="仿宋_GB2312" w:eastAsia="仿宋_GB2312"/>
          <w:color w:val="000000"/>
          <w:kern w:val="2"/>
          <w:sz w:val="32"/>
          <w:szCs w:val="32"/>
          <w:lang w:eastAsia="zh-CN"/>
        </w:rPr>
        <w:t>工作，强化监督考核，提高</w:t>
      </w:r>
      <w:r>
        <w:rPr>
          <w:rFonts w:hint="eastAsia" w:ascii="仿宋_GB2312" w:eastAsia="仿宋_GB2312"/>
          <w:color w:val="000000"/>
          <w:kern w:val="2"/>
          <w:sz w:val="32"/>
          <w:szCs w:val="32"/>
        </w:rPr>
        <w:t>工作人员的积极性</w:t>
      </w:r>
      <w:r>
        <w:rPr>
          <w:rFonts w:hint="eastAsia" w:ascii="仿宋_GB2312" w:eastAsia="仿宋_GB2312"/>
          <w:color w:val="000000"/>
          <w:kern w:val="2"/>
          <w:sz w:val="32"/>
          <w:szCs w:val="32"/>
          <w:lang w:eastAsia="zh-CN"/>
        </w:rPr>
        <w:t>。</w:t>
      </w:r>
    </w:p>
    <w:p>
      <w:pPr>
        <w:pStyle w:val="7"/>
        <w:keepNext w:val="0"/>
        <w:keepLines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rightChars="0" w:firstLine="640" w:firstLineChars="20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主动公开政府信息情况。</w:t>
      </w:r>
    </w:p>
    <w:p>
      <w:pPr>
        <w:pStyle w:val="7"/>
        <w:keepNext w:val="0"/>
        <w:keepLines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Chars="100" w:right="0" w:rightChars="0"/>
        <w:jc w:val="center"/>
        <w:rPr>
          <w:rFonts w:hint="eastAsia" w:ascii="仿宋_GB2312" w:eastAsia="仿宋_GB2312"/>
          <w:b/>
          <w:bCs/>
          <w:sz w:val="28"/>
          <w:szCs w:val="28"/>
        </w:rPr>
      </w:pPr>
      <w:r>
        <w:rPr>
          <w:rFonts w:hint="eastAsia" w:ascii="仿宋_GB2312" w:eastAsia="仿宋_GB2312"/>
          <w:b/>
          <w:bCs/>
          <w:sz w:val="28"/>
          <w:szCs w:val="28"/>
        </w:rPr>
        <w:t>表1</w:t>
      </w:r>
      <w:r>
        <w:rPr>
          <w:rFonts w:hint="eastAsia" w:ascii="仿宋_GB2312" w:eastAsia="仿宋_GB2312"/>
          <w:sz w:val="28"/>
          <w:szCs w:val="28"/>
        </w:rPr>
        <w:t xml:space="preserve"> 主动公开政府信息情况</w:t>
      </w:r>
    </w:p>
    <w:p>
      <w:pPr>
        <w:pStyle w:val="7"/>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420"/>
        <w:jc w:val="both"/>
        <w:rPr>
          <w:rFonts w:hint="eastAsia" w:ascii="宋体" w:hAnsi="宋体" w:eastAsia="宋体"/>
        </w:rPr>
      </w:pPr>
    </w:p>
    <w:tbl>
      <w:tblPr>
        <w:tblStyle w:val="2"/>
        <w:tblW w:w="5000" w:type="pct"/>
        <w:tblInd w:w="-108" w:type="dxa"/>
        <w:tblLayout w:type="autofit"/>
        <w:tblCellMar>
          <w:top w:w="0" w:type="dxa"/>
          <w:left w:w="108" w:type="dxa"/>
          <w:bottom w:w="0" w:type="dxa"/>
          <w:right w:w="108" w:type="dxa"/>
        </w:tblCellMar>
      </w:tblPr>
      <w:tblGrid>
        <w:gridCol w:w="1250"/>
        <w:gridCol w:w="1250"/>
        <w:gridCol w:w="1250"/>
        <w:gridCol w:w="5538"/>
      </w:tblGrid>
      <w:tr>
        <w:tblPrEx>
          <w:tblCellMar>
            <w:top w:w="0" w:type="dxa"/>
            <w:left w:w="108" w:type="dxa"/>
            <w:bottom w:w="0" w:type="dxa"/>
            <w:right w:w="108" w:type="dxa"/>
          </w:tblCellMar>
        </w:tblPrEx>
        <w:trPr>
          <w:trHeight w:val="567" w:hRule="atLeast"/>
        </w:trPr>
        <w:tc>
          <w:tcPr>
            <w:tcW w:w="9288" w:type="dxa"/>
            <w:gridSpan w:val="4"/>
            <w:tcBorders>
              <w:top w:val="single" w:color="000000" w:sz="8" w:space="0"/>
              <w:left w:val="single" w:color="000000" w:sz="8" w:space="0"/>
              <w:bottom w:val="single" w:color="000000" w:sz="8" w:space="0"/>
              <w:right w:val="single" w:color="000000" w:sz="8" w:space="0"/>
            </w:tcBorders>
            <w:shd w:val="clear" w:color="000000" w:fill="C6D9F1"/>
            <w:vAlign w:val="center"/>
          </w:tcPr>
          <w:p>
            <w:pPr>
              <w:widowControl/>
              <w:jc w:val="center"/>
              <w:rPr>
                <w:rFonts w:hint="eastAsia" w:ascii="黑体" w:hAnsi="黑体" w:eastAsia="黑体"/>
                <w:color w:val="000000"/>
                <w:kern w:val="0"/>
                <w:szCs w:val="21"/>
              </w:rPr>
            </w:pPr>
            <w:r>
              <w:rPr>
                <w:rFonts w:hint="eastAsia" w:ascii="黑体" w:hAnsi="黑体" w:eastAsia="黑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信息内容</w:t>
            </w:r>
          </w:p>
        </w:tc>
        <w:tc>
          <w:tcPr>
            <w:tcW w:w="1250"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本年制发件数</w:t>
            </w:r>
          </w:p>
        </w:tc>
        <w:tc>
          <w:tcPr>
            <w:tcW w:w="1250"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本年废止件数</w:t>
            </w:r>
          </w:p>
        </w:tc>
        <w:tc>
          <w:tcPr>
            <w:tcW w:w="1250"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olor w:val="000000"/>
                <w:kern w:val="0"/>
                <w:szCs w:val="21"/>
              </w:rPr>
            </w:pPr>
            <w:r>
              <w:rPr>
                <w:rFonts w:hint="eastAsia" w:ascii="仿宋_GB2312" w:hAnsi="宋体" w:eastAsia="仿宋_GB2312"/>
                <w:color w:val="000000"/>
                <w:kern w:val="0"/>
                <w:szCs w:val="21"/>
              </w:rPr>
              <w:t>规章</w:t>
            </w:r>
          </w:p>
        </w:tc>
        <w:tc>
          <w:tcPr>
            <w:tcW w:w="1250" w:type="dxa"/>
            <w:tcBorders>
              <w:top w:val="nil"/>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c>
          <w:tcPr>
            <w:tcW w:w="1250" w:type="dxa"/>
            <w:tcBorders>
              <w:top w:val="nil"/>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c>
          <w:tcPr>
            <w:tcW w:w="1250" w:type="dxa"/>
            <w:tcBorders>
              <w:top w:val="nil"/>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olor w:val="000000"/>
                <w:kern w:val="0"/>
                <w:szCs w:val="21"/>
              </w:rPr>
            </w:pPr>
            <w:r>
              <w:rPr>
                <w:rFonts w:hint="eastAsia" w:ascii="仿宋_GB2312" w:hAnsi="宋体" w:eastAsia="仿宋_GB2312"/>
                <w:color w:val="000000"/>
                <w:kern w:val="0"/>
                <w:szCs w:val="21"/>
              </w:rPr>
              <w:t>行政规范性文件</w:t>
            </w:r>
          </w:p>
        </w:tc>
        <w:tc>
          <w:tcPr>
            <w:tcW w:w="1250" w:type="dxa"/>
            <w:tcBorders>
              <w:top w:val="nil"/>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c>
          <w:tcPr>
            <w:tcW w:w="1250" w:type="dxa"/>
            <w:tcBorders>
              <w:top w:val="nil"/>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c>
          <w:tcPr>
            <w:tcW w:w="1250" w:type="dxa"/>
            <w:tcBorders>
              <w:top w:val="nil"/>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288" w:type="dxa"/>
            <w:gridSpan w:val="4"/>
            <w:tcBorders>
              <w:top w:val="single" w:color="000000" w:sz="8" w:space="0"/>
              <w:left w:val="single" w:color="000000" w:sz="8" w:space="0"/>
              <w:bottom w:val="single" w:color="000000" w:sz="8" w:space="0"/>
              <w:right w:val="single" w:color="000000" w:sz="8" w:space="0"/>
            </w:tcBorders>
            <w:shd w:val="clear" w:color="000000" w:fill="C6D9F1"/>
            <w:vAlign w:val="center"/>
          </w:tcPr>
          <w:p>
            <w:pPr>
              <w:widowControl/>
              <w:jc w:val="center"/>
              <w:rPr>
                <w:rFonts w:hint="eastAsia" w:ascii="黑体" w:hAnsi="黑体" w:eastAsia="黑体"/>
                <w:color w:val="000000"/>
                <w:kern w:val="0"/>
                <w:szCs w:val="21"/>
              </w:rPr>
            </w:pPr>
            <w:r>
              <w:rPr>
                <w:rFonts w:hint="eastAsia" w:ascii="黑体" w:hAnsi="黑体" w:eastAsia="黑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信息内容</w:t>
            </w:r>
          </w:p>
        </w:tc>
        <w:tc>
          <w:tcPr>
            <w:tcW w:w="6966" w:type="dxa"/>
            <w:gridSpan w:val="3"/>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olor w:val="000000"/>
                <w:kern w:val="0"/>
                <w:szCs w:val="21"/>
              </w:rPr>
            </w:pPr>
            <w:r>
              <w:rPr>
                <w:rFonts w:hint="eastAsia" w:ascii="仿宋_GB2312" w:hAnsi="宋体" w:eastAsia="仿宋_GB2312"/>
                <w:color w:val="000000"/>
                <w:kern w:val="0"/>
                <w:szCs w:val="21"/>
              </w:rPr>
              <w:t>行政许可</w:t>
            </w:r>
          </w:p>
        </w:tc>
        <w:tc>
          <w:tcPr>
            <w:tcW w:w="6966" w:type="dxa"/>
            <w:gridSpan w:val="3"/>
            <w:tcBorders>
              <w:top w:val="single" w:color="000000" w:sz="8" w:space="0"/>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288" w:type="dxa"/>
            <w:gridSpan w:val="4"/>
            <w:tcBorders>
              <w:top w:val="single" w:color="000000" w:sz="8" w:space="0"/>
              <w:left w:val="single" w:color="000000" w:sz="8" w:space="0"/>
              <w:bottom w:val="single" w:color="000000" w:sz="8" w:space="0"/>
              <w:right w:val="single" w:color="000000" w:sz="8" w:space="0"/>
            </w:tcBorders>
            <w:shd w:val="clear" w:color="000000" w:fill="C6D9F1"/>
            <w:vAlign w:val="center"/>
          </w:tcPr>
          <w:p>
            <w:pPr>
              <w:widowControl/>
              <w:jc w:val="center"/>
              <w:rPr>
                <w:rFonts w:hint="eastAsia" w:ascii="黑体" w:hAnsi="黑体" w:eastAsia="黑体"/>
                <w:color w:val="000000"/>
                <w:kern w:val="0"/>
                <w:szCs w:val="21"/>
              </w:rPr>
            </w:pPr>
            <w:r>
              <w:rPr>
                <w:rFonts w:hint="eastAsia" w:ascii="黑体" w:hAnsi="黑体" w:eastAsia="黑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信息内容</w:t>
            </w:r>
          </w:p>
        </w:tc>
        <w:tc>
          <w:tcPr>
            <w:tcW w:w="6966" w:type="dxa"/>
            <w:gridSpan w:val="3"/>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olor w:val="000000"/>
                <w:kern w:val="0"/>
                <w:szCs w:val="21"/>
              </w:rPr>
            </w:pPr>
            <w:r>
              <w:rPr>
                <w:rFonts w:hint="eastAsia" w:ascii="仿宋_GB2312" w:hAnsi="宋体" w:eastAsia="仿宋_GB2312"/>
                <w:color w:val="000000"/>
                <w:kern w:val="0"/>
                <w:szCs w:val="21"/>
              </w:rPr>
              <w:t>行政处罚</w:t>
            </w:r>
          </w:p>
        </w:tc>
        <w:tc>
          <w:tcPr>
            <w:tcW w:w="6966" w:type="dxa"/>
            <w:gridSpan w:val="3"/>
            <w:tcBorders>
              <w:top w:val="single" w:color="000000" w:sz="8" w:space="0"/>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olor w:val="000000"/>
                <w:kern w:val="0"/>
                <w:szCs w:val="21"/>
              </w:rPr>
            </w:pPr>
            <w:r>
              <w:rPr>
                <w:rFonts w:hint="eastAsia" w:ascii="仿宋_GB2312" w:hAnsi="宋体" w:eastAsia="仿宋_GB2312"/>
                <w:color w:val="000000"/>
                <w:kern w:val="0"/>
                <w:szCs w:val="21"/>
              </w:rPr>
              <w:t>行政强制</w:t>
            </w:r>
          </w:p>
        </w:tc>
        <w:tc>
          <w:tcPr>
            <w:tcW w:w="6966" w:type="dxa"/>
            <w:gridSpan w:val="3"/>
            <w:tcBorders>
              <w:top w:val="single" w:color="000000" w:sz="8" w:space="0"/>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288" w:type="dxa"/>
            <w:gridSpan w:val="4"/>
            <w:tcBorders>
              <w:top w:val="single" w:color="000000" w:sz="8" w:space="0"/>
              <w:left w:val="single" w:color="000000" w:sz="8" w:space="0"/>
              <w:bottom w:val="single" w:color="000000" w:sz="8" w:space="0"/>
              <w:right w:val="single" w:color="000000" w:sz="8" w:space="0"/>
            </w:tcBorders>
            <w:shd w:val="clear" w:color="000000" w:fill="C6D9F1"/>
            <w:vAlign w:val="center"/>
          </w:tcPr>
          <w:p>
            <w:pPr>
              <w:widowControl/>
              <w:jc w:val="center"/>
              <w:rPr>
                <w:rFonts w:hint="eastAsia" w:ascii="黑体" w:hAnsi="黑体" w:eastAsia="黑体"/>
                <w:color w:val="000000"/>
                <w:kern w:val="0"/>
                <w:szCs w:val="21"/>
              </w:rPr>
            </w:pPr>
            <w:r>
              <w:rPr>
                <w:rFonts w:hint="eastAsia" w:ascii="黑体" w:hAnsi="黑体" w:eastAsia="黑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信息内容</w:t>
            </w:r>
          </w:p>
        </w:tc>
        <w:tc>
          <w:tcPr>
            <w:tcW w:w="6966" w:type="dxa"/>
            <w:gridSpan w:val="3"/>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dxa"/>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olor w:val="000000"/>
                <w:kern w:val="0"/>
                <w:szCs w:val="21"/>
              </w:rPr>
            </w:pPr>
            <w:r>
              <w:rPr>
                <w:rFonts w:hint="eastAsia" w:ascii="仿宋_GB2312" w:hAnsi="宋体" w:eastAsia="仿宋_GB2312"/>
                <w:color w:val="000000"/>
                <w:kern w:val="0"/>
                <w:szCs w:val="21"/>
              </w:rPr>
              <w:t>行政事业性收费</w:t>
            </w:r>
          </w:p>
        </w:tc>
        <w:tc>
          <w:tcPr>
            <w:tcW w:w="6966" w:type="dxa"/>
            <w:gridSpan w:val="3"/>
            <w:tcBorders>
              <w:top w:val="single" w:color="000000" w:sz="8" w:space="0"/>
              <w:left w:val="nil"/>
              <w:bottom w:val="single" w:color="000000" w:sz="8" w:space="0"/>
              <w:right w:val="single" w:color="000000" w:sz="8" w:space="0"/>
            </w:tcBorders>
            <w:vAlign w:val="center"/>
          </w:tcPr>
          <w:p>
            <w:pPr>
              <w:widowControl/>
              <w:jc w:val="center"/>
              <w:rPr>
                <w:rFonts w:ascii="Calibri" w:hAnsi="Calibri" w:eastAsia="仿宋_GB2312"/>
                <w:color w:val="000000"/>
                <w:kern w:val="0"/>
                <w:szCs w:val="21"/>
                <w:lang w:val="en-US" w:eastAsia="zh-CN"/>
              </w:rPr>
            </w:pPr>
            <w:r>
              <w:rPr>
                <w:rFonts w:ascii="Calibri" w:hAnsi="Calibri" w:eastAsia="仿宋_GB2312"/>
                <w:color w:val="000000"/>
                <w:kern w:val="0"/>
                <w:szCs w:val="21"/>
                <w:lang w:val="en-US" w:eastAsia="zh-CN"/>
              </w:rPr>
              <w:t>0</w:t>
            </w:r>
          </w:p>
        </w:tc>
      </w:tr>
    </w:tbl>
    <w:p>
      <w:pPr>
        <w:keepNext w:val="0"/>
        <w:keepLines w:val="0"/>
        <w:widowControl/>
        <w:suppressLineNumbers w:val="0"/>
        <w:jc w:val="left"/>
      </w:pPr>
    </w:p>
    <w:p>
      <w:pPr>
        <w:pStyle w:val="7"/>
        <w:keepNext w:val="0"/>
        <w:keepLines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rightChars="0" w:firstLine="640" w:firstLineChars="20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三、</w:t>
      </w:r>
      <w:r>
        <w:rPr>
          <w:rFonts w:hint="eastAsia" w:ascii="黑体" w:hAnsi="黑体" w:eastAsia="黑体"/>
          <w:b w:val="0"/>
          <w:bCs w:val="0"/>
          <w:sz w:val="32"/>
          <w:szCs w:val="32"/>
        </w:rPr>
        <w:t>收到和处理政府信息公开申请情况</w:t>
      </w:r>
    </w:p>
    <w:p>
      <w:pPr>
        <w:jc w:val="center"/>
        <w:rPr>
          <w:rFonts w:hint="eastAsia" w:ascii="仿宋_GB2312" w:eastAsia="仿宋_GB2312"/>
          <w:b/>
          <w:bCs/>
          <w:sz w:val="28"/>
          <w:szCs w:val="28"/>
        </w:rPr>
      </w:pPr>
      <w:r>
        <w:rPr>
          <w:rFonts w:hint="eastAsia" w:ascii="仿宋_GB2312" w:eastAsia="仿宋_GB2312"/>
          <w:b/>
          <w:bCs/>
          <w:sz w:val="28"/>
          <w:szCs w:val="28"/>
        </w:rPr>
        <w:t>表2</w:t>
      </w:r>
      <w:r>
        <w:rPr>
          <w:rFonts w:ascii="仿宋_GB2312" w:eastAsia="仿宋_GB2312"/>
          <w:sz w:val="28"/>
          <w:szCs w:val="28"/>
        </w:rPr>
        <w:t xml:space="preserve"> </w:t>
      </w:r>
      <w:r>
        <w:rPr>
          <w:rFonts w:hint="eastAsia" w:ascii="仿宋_GB2312" w:eastAsia="仿宋_GB2312"/>
          <w:sz w:val="28"/>
          <w:szCs w:val="28"/>
        </w:rPr>
        <w:t>收到和处理政府信息公开申请情况</w:t>
      </w:r>
    </w:p>
    <w:tbl>
      <w:tblPr>
        <w:tblStyle w:val="2"/>
        <w:tblW w:w="991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416"/>
        <w:gridCol w:w="1701"/>
        <w:gridCol w:w="2976"/>
        <w:gridCol w:w="829"/>
        <w:gridCol w:w="567"/>
        <w:gridCol w:w="567"/>
        <w:gridCol w:w="731"/>
        <w:gridCol w:w="708"/>
        <w:gridCol w:w="567"/>
        <w:gridCol w:w="85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5093" w:type="dxa"/>
            <w:gridSpan w:val="3"/>
            <w:vMerge w:val="restart"/>
            <w:tcMar>
              <w:left w:w="108" w:type="dxa"/>
              <w:right w:w="108" w:type="dxa"/>
            </w:tcMar>
            <w:vAlign w:val="center"/>
          </w:tcPr>
          <w:p>
            <w:pPr>
              <w:widowControl/>
              <w:jc w:val="center"/>
              <w:rPr>
                <w:rFonts w:hint="eastAsia"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hint="eastAsia" w:ascii="楷体_GB2312" w:hAnsi="黑体" w:eastAsia="楷体_GB2312"/>
                <w:kern w:val="0"/>
                <w:szCs w:val="21"/>
              </w:rPr>
            </w:pPr>
            <w:r>
              <w:rPr>
                <w:rFonts w:hint="eastAsia" w:ascii="楷体_GB2312" w:hAnsi="黑体" w:eastAsia="楷体_GB2312"/>
                <w:kern w:val="0"/>
                <w:szCs w:val="21"/>
              </w:rPr>
              <w:t>等于第三项加第四项之和）</w:t>
            </w:r>
          </w:p>
        </w:tc>
        <w:tc>
          <w:tcPr>
            <w:tcW w:w="4820" w:type="dxa"/>
            <w:gridSpan w:val="7"/>
            <w:tcMar>
              <w:left w:w="108" w:type="dxa"/>
              <w:right w:w="108" w:type="dxa"/>
            </w:tcMar>
            <w:vAlign w:val="center"/>
          </w:tcPr>
          <w:p>
            <w:pPr>
              <w:widowControl/>
              <w:spacing w:line="320" w:lineRule="exact"/>
              <w:jc w:val="center"/>
              <w:rPr>
                <w:rFonts w:hint="eastAsia" w:ascii="黑体" w:hAnsi="黑体" w:eastAsia="黑体"/>
                <w:kern w:val="0"/>
                <w:szCs w:val="21"/>
              </w:rPr>
            </w:pPr>
            <w:r>
              <w:rPr>
                <w:rFonts w:hint="eastAsia" w:ascii="黑体" w:hAnsi="黑体" w:eastAsia="黑体"/>
                <w:kern w:val="0"/>
                <w:szCs w:val="21"/>
              </w:rPr>
              <w:t>申请人情况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5093" w:type="dxa"/>
            <w:gridSpan w:val="3"/>
            <w:vMerge w:val="continue"/>
            <w:tcMar>
              <w:left w:w="108" w:type="dxa"/>
              <w:right w:w="108" w:type="dxa"/>
            </w:tcMar>
            <w:vAlign w:val="center"/>
          </w:tcPr>
          <w:p>
            <w:pPr>
              <w:jc w:val="center"/>
              <w:rPr>
                <w:rFonts w:ascii="仿宋_GB2312" w:hAnsi="Times New Roman" w:eastAsia="仿宋_GB2312"/>
                <w:szCs w:val="21"/>
              </w:rPr>
            </w:pPr>
          </w:p>
        </w:tc>
        <w:tc>
          <w:tcPr>
            <w:tcW w:w="829" w:type="dxa"/>
            <w:vMerge w:val="restart"/>
            <w:tcMar>
              <w:left w:w="108" w:type="dxa"/>
              <w:right w:w="108" w:type="dxa"/>
            </w:tcMar>
            <w:vAlign w:val="center"/>
          </w:tcPr>
          <w:p>
            <w:pPr>
              <w:widowControl/>
              <w:jc w:val="center"/>
              <w:rPr>
                <w:rFonts w:hint="eastAsia" w:ascii="黑体" w:hAnsi="黑体" w:eastAsia="黑体"/>
                <w:kern w:val="0"/>
                <w:szCs w:val="21"/>
              </w:rPr>
            </w:pPr>
            <w:r>
              <w:rPr>
                <w:rFonts w:hint="eastAsia" w:ascii="黑体" w:hAnsi="黑体" w:eastAsia="黑体"/>
                <w:kern w:val="0"/>
                <w:szCs w:val="21"/>
              </w:rPr>
              <w:t>自然人</w:t>
            </w:r>
          </w:p>
        </w:tc>
        <w:tc>
          <w:tcPr>
            <w:tcW w:w="3140" w:type="dxa"/>
            <w:gridSpan w:val="5"/>
            <w:tcMar>
              <w:left w:w="108" w:type="dxa"/>
              <w:right w:w="108" w:type="dxa"/>
            </w:tcMar>
            <w:vAlign w:val="center"/>
          </w:tcPr>
          <w:p>
            <w:pPr>
              <w:widowControl/>
              <w:spacing w:line="320" w:lineRule="exact"/>
              <w:jc w:val="center"/>
              <w:rPr>
                <w:rFonts w:hint="eastAsia" w:ascii="黑体" w:hAnsi="黑体" w:eastAsia="黑体"/>
                <w:kern w:val="0"/>
                <w:szCs w:val="21"/>
              </w:rPr>
            </w:pPr>
            <w:r>
              <w:rPr>
                <w:rFonts w:hint="eastAsia" w:ascii="黑体" w:hAnsi="黑体" w:eastAsia="黑体"/>
                <w:kern w:val="0"/>
                <w:szCs w:val="21"/>
              </w:rPr>
              <w:t>法人或其他组织</w:t>
            </w:r>
          </w:p>
        </w:tc>
        <w:tc>
          <w:tcPr>
            <w:tcW w:w="851" w:type="dxa"/>
            <w:vMerge w:val="restart"/>
            <w:tcMar>
              <w:left w:w="108" w:type="dxa"/>
              <w:right w:w="108" w:type="dxa"/>
            </w:tcMar>
            <w:vAlign w:val="center"/>
          </w:tcPr>
          <w:p>
            <w:pPr>
              <w:widowControl/>
              <w:jc w:val="center"/>
              <w:rPr>
                <w:rFonts w:hint="eastAsia" w:ascii="黑体" w:hAnsi="黑体" w:eastAsia="黑体"/>
                <w:kern w:val="0"/>
                <w:szCs w:val="21"/>
              </w:rPr>
            </w:pPr>
            <w:r>
              <w:rPr>
                <w:rFonts w:hint="eastAsia" w:ascii="黑体" w:hAnsi="黑体" w:eastAsia="黑体"/>
                <w:kern w:val="0"/>
                <w:szCs w:val="21"/>
              </w:rPr>
              <w:t>总计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5093" w:type="dxa"/>
            <w:gridSpan w:val="3"/>
            <w:vMerge w:val="continue"/>
            <w:tcMar>
              <w:left w:w="108" w:type="dxa"/>
              <w:right w:w="108" w:type="dxa"/>
            </w:tcMar>
            <w:vAlign w:val="center"/>
          </w:tcPr>
          <w:p>
            <w:pPr>
              <w:jc w:val="center"/>
              <w:rPr>
                <w:rFonts w:ascii="仿宋_GB2312" w:hAnsi="Times New Roman" w:eastAsia="仿宋_GB2312"/>
                <w:szCs w:val="21"/>
              </w:rPr>
            </w:pPr>
          </w:p>
        </w:tc>
        <w:tc>
          <w:tcPr>
            <w:tcW w:w="829" w:type="dxa"/>
            <w:vMerge w:val="continue"/>
            <w:tcMar>
              <w:left w:w="108" w:type="dxa"/>
              <w:right w:w="108" w:type="dxa"/>
            </w:tcMar>
            <w:vAlign w:val="center"/>
          </w:tcPr>
          <w:p>
            <w:pPr>
              <w:jc w:val="center"/>
              <w:rPr>
                <w:rFonts w:ascii="黑体" w:hAnsi="黑体" w:eastAsia="黑体"/>
                <w:szCs w:val="21"/>
              </w:rPr>
            </w:pPr>
          </w:p>
        </w:tc>
        <w:tc>
          <w:tcPr>
            <w:tcW w:w="567" w:type="dxa"/>
            <w:tcMar>
              <w:left w:w="108" w:type="dxa"/>
              <w:right w:w="108" w:type="dxa"/>
            </w:tcMar>
            <w:vAlign w:val="center"/>
          </w:tcPr>
          <w:p>
            <w:pPr>
              <w:widowControl/>
              <w:spacing w:line="320" w:lineRule="exact"/>
              <w:ind w:left="-106" w:leftChars="-51" w:right="-107" w:rightChars="-51" w:hanging="1"/>
              <w:jc w:val="center"/>
              <w:rPr>
                <w:rFonts w:hint="eastAsia" w:ascii="黑体" w:hAnsi="黑体" w:eastAsia="黑体"/>
                <w:kern w:val="0"/>
                <w:szCs w:val="21"/>
              </w:rPr>
            </w:pPr>
            <w:r>
              <w:rPr>
                <w:rFonts w:hint="eastAsia" w:ascii="黑体" w:hAnsi="黑体" w:eastAsia="黑体"/>
                <w:kern w:val="0"/>
                <w:szCs w:val="21"/>
              </w:rPr>
              <w:t>商业企业</w:t>
            </w:r>
          </w:p>
        </w:tc>
        <w:tc>
          <w:tcPr>
            <w:tcW w:w="567" w:type="dxa"/>
            <w:tcMar>
              <w:left w:w="108" w:type="dxa"/>
              <w:right w:w="108" w:type="dxa"/>
            </w:tcMar>
            <w:vAlign w:val="center"/>
          </w:tcPr>
          <w:p>
            <w:pPr>
              <w:widowControl/>
              <w:spacing w:line="320" w:lineRule="exact"/>
              <w:ind w:left="-107" w:leftChars="-51" w:right="-107" w:rightChars="-51"/>
              <w:jc w:val="center"/>
              <w:rPr>
                <w:rFonts w:hint="eastAsia" w:ascii="黑体" w:hAnsi="黑体" w:eastAsia="黑体"/>
                <w:kern w:val="0"/>
                <w:szCs w:val="21"/>
              </w:rPr>
            </w:pPr>
            <w:r>
              <w:rPr>
                <w:rFonts w:hint="eastAsia" w:ascii="黑体" w:hAnsi="黑体" w:eastAsia="黑体"/>
                <w:kern w:val="0"/>
                <w:szCs w:val="21"/>
              </w:rPr>
              <w:t>科研机构</w:t>
            </w:r>
          </w:p>
        </w:tc>
        <w:tc>
          <w:tcPr>
            <w:tcW w:w="731" w:type="dxa"/>
            <w:tcMar>
              <w:left w:w="108" w:type="dxa"/>
              <w:right w:w="108" w:type="dxa"/>
            </w:tcMar>
            <w:vAlign w:val="center"/>
          </w:tcPr>
          <w:p>
            <w:pPr>
              <w:widowControl/>
              <w:spacing w:line="320" w:lineRule="exact"/>
              <w:ind w:left="-107" w:leftChars="-51" w:right="-107" w:rightChars="-51"/>
              <w:jc w:val="center"/>
              <w:rPr>
                <w:rFonts w:hint="eastAsia" w:ascii="黑体" w:hAnsi="黑体" w:eastAsia="黑体"/>
                <w:kern w:val="0"/>
                <w:szCs w:val="21"/>
              </w:rPr>
            </w:pPr>
            <w:r>
              <w:rPr>
                <w:rFonts w:hint="eastAsia" w:ascii="黑体" w:hAnsi="黑体" w:eastAsia="黑体"/>
                <w:kern w:val="0"/>
                <w:szCs w:val="21"/>
              </w:rPr>
              <w:t>社会公益组织</w:t>
            </w:r>
          </w:p>
        </w:tc>
        <w:tc>
          <w:tcPr>
            <w:tcW w:w="708" w:type="dxa"/>
            <w:tcMar>
              <w:left w:w="108" w:type="dxa"/>
              <w:right w:w="108" w:type="dxa"/>
            </w:tcMar>
            <w:vAlign w:val="center"/>
          </w:tcPr>
          <w:p>
            <w:pPr>
              <w:widowControl/>
              <w:spacing w:line="320" w:lineRule="exact"/>
              <w:ind w:left="-106" w:leftChars="-51" w:right="-107" w:rightChars="-51" w:hanging="1"/>
              <w:jc w:val="center"/>
              <w:rPr>
                <w:rFonts w:hint="eastAsia" w:ascii="黑体" w:hAnsi="黑体" w:eastAsia="黑体"/>
                <w:kern w:val="0"/>
                <w:szCs w:val="21"/>
              </w:rPr>
            </w:pPr>
            <w:r>
              <w:rPr>
                <w:rFonts w:hint="eastAsia" w:ascii="黑体" w:hAnsi="黑体" w:eastAsia="黑体"/>
                <w:kern w:val="0"/>
                <w:szCs w:val="21"/>
              </w:rPr>
              <w:t>法律服务机构</w:t>
            </w:r>
          </w:p>
        </w:tc>
        <w:tc>
          <w:tcPr>
            <w:tcW w:w="567" w:type="dxa"/>
            <w:tcMar>
              <w:left w:w="108" w:type="dxa"/>
              <w:right w:w="108" w:type="dxa"/>
            </w:tcMar>
            <w:vAlign w:val="center"/>
          </w:tcPr>
          <w:p>
            <w:pPr>
              <w:widowControl/>
              <w:spacing w:line="360" w:lineRule="exact"/>
              <w:ind w:left="-63" w:leftChars="-30" w:right="-134" w:rightChars="-64"/>
              <w:jc w:val="center"/>
              <w:rPr>
                <w:rFonts w:hint="eastAsia" w:ascii="黑体" w:hAnsi="黑体" w:eastAsia="黑体"/>
                <w:kern w:val="0"/>
                <w:szCs w:val="21"/>
              </w:rPr>
            </w:pPr>
            <w:r>
              <w:rPr>
                <w:rFonts w:hint="eastAsia" w:ascii="黑体" w:hAnsi="黑体" w:eastAsia="黑体"/>
                <w:kern w:val="0"/>
                <w:szCs w:val="21"/>
              </w:rPr>
              <w:t>其他</w:t>
            </w:r>
          </w:p>
        </w:tc>
        <w:tc>
          <w:tcPr>
            <w:tcW w:w="851" w:type="dxa"/>
            <w:vMerge w:val="continue"/>
            <w:tcMar>
              <w:left w:w="108" w:type="dxa"/>
              <w:right w:w="108" w:type="dxa"/>
            </w:tcMar>
            <w:vAlign w:val="center"/>
          </w:tcPr>
          <w:p>
            <w:pPr>
              <w:jc w:val="center"/>
              <w:rPr>
                <w:rFonts w:ascii="仿宋_GB2312" w:hAnsi="Times New Roman" w:eastAsia="仿宋_GB2312"/>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93" w:type="dxa"/>
            <w:gridSpan w:val="3"/>
            <w:tcMar>
              <w:left w:w="108" w:type="dxa"/>
              <w:right w:w="108" w:type="dxa"/>
            </w:tcMar>
            <w:vAlign w:val="center"/>
          </w:tcPr>
          <w:p>
            <w:pPr>
              <w:widowControl/>
              <w:rPr>
                <w:rFonts w:hint="eastAsia" w:ascii="黑体" w:hAnsi="黑体" w:eastAsia="黑体"/>
                <w:kern w:val="0"/>
                <w:szCs w:val="21"/>
              </w:rPr>
            </w:pPr>
            <w:bookmarkStart w:id="0" w:name="_Hlk66973412"/>
            <w:bookmarkEnd w:id="0"/>
            <w:r>
              <w:rPr>
                <w:rFonts w:hint="eastAsia" w:ascii="黑体" w:hAnsi="黑体" w:eastAsia="黑体"/>
                <w:kern w:val="0"/>
                <w:szCs w:val="21"/>
              </w:rPr>
              <w:t>一、本年新收政府信息公开申请数量</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93" w:type="dxa"/>
            <w:gridSpan w:val="3"/>
            <w:tcMar>
              <w:left w:w="108" w:type="dxa"/>
              <w:right w:w="108" w:type="dxa"/>
            </w:tcMar>
            <w:vAlign w:val="center"/>
          </w:tcPr>
          <w:p>
            <w:pPr>
              <w:widowControl/>
              <w:rPr>
                <w:rFonts w:hint="eastAsia" w:ascii="黑体" w:hAnsi="黑体" w:eastAsia="黑体"/>
                <w:kern w:val="0"/>
                <w:szCs w:val="21"/>
              </w:rPr>
            </w:pPr>
            <w:r>
              <w:rPr>
                <w:rFonts w:hint="eastAsia" w:ascii="黑体" w:hAnsi="黑体" w:eastAsia="黑体"/>
                <w:kern w:val="0"/>
                <w:szCs w:val="21"/>
              </w:rPr>
              <w:t>二、上年结转政府信息公开申请数量</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16" w:type="dxa"/>
            <w:vMerge w:val="restart"/>
            <w:tcMar>
              <w:left w:w="108" w:type="dxa"/>
              <w:right w:w="108" w:type="dxa"/>
            </w:tcMar>
            <w:vAlign w:val="center"/>
          </w:tcPr>
          <w:p>
            <w:pPr>
              <w:widowControl/>
              <w:spacing w:after="180"/>
              <w:rPr>
                <w:rFonts w:hint="eastAsia" w:ascii="黑体" w:hAnsi="黑体" w:eastAsia="黑体"/>
                <w:kern w:val="0"/>
                <w:szCs w:val="21"/>
              </w:rPr>
            </w:pPr>
            <w:r>
              <w:rPr>
                <w:rFonts w:hint="eastAsia" w:ascii="黑体" w:hAnsi="黑体" w:eastAsia="黑体"/>
                <w:kern w:val="0"/>
                <w:szCs w:val="21"/>
              </w:rPr>
              <w:t>三、本年度办理结果</w:t>
            </w:r>
          </w:p>
        </w:tc>
        <w:tc>
          <w:tcPr>
            <w:tcW w:w="4677" w:type="dxa"/>
            <w:gridSpan w:val="2"/>
            <w:tcMar>
              <w:left w:w="108" w:type="dxa"/>
              <w:right w:w="108" w:type="dxa"/>
            </w:tcMar>
            <w:vAlign w:val="center"/>
          </w:tcPr>
          <w:p>
            <w:pPr>
              <w:widowControl/>
              <w:rPr>
                <w:rFonts w:hint="eastAsia" w:ascii="黑体" w:hAnsi="黑体" w:eastAsia="黑体"/>
                <w:kern w:val="0"/>
                <w:szCs w:val="21"/>
              </w:rPr>
            </w:pPr>
            <w:r>
              <w:rPr>
                <w:rFonts w:hint="eastAsia" w:ascii="黑体" w:hAnsi="黑体" w:eastAsia="黑体"/>
                <w:kern w:val="0"/>
                <w:szCs w:val="21"/>
              </w:rPr>
              <w:t>（一）予以公开</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4677" w:type="dxa"/>
            <w:gridSpan w:val="2"/>
            <w:tcMar>
              <w:left w:w="108" w:type="dxa"/>
              <w:right w:w="108" w:type="dxa"/>
            </w:tcMar>
            <w:vAlign w:val="center"/>
          </w:tcPr>
          <w:p>
            <w:pPr>
              <w:widowControl/>
              <w:rPr>
                <w:rFonts w:hint="eastAsia" w:ascii="黑体" w:hAnsi="黑体" w:eastAsia="黑体"/>
                <w:kern w:val="0"/>
                <w:szCs w:val="21"/>
              </w:rPr>
            </w:pPr>
            <w:bookmarkStart w:id="1" w:name="_Hlk66973981"/>
            <w:bookmarkEnd w:id="1"/>
            <w:r>
              <w:rPr>
                <w:rFonts w:hint="eastAsia" w:ascii="黑体" w:hAnsi="黑体" w:eastAsia="黑体"/>
                <w:kern w:val="0"/>
                <w:szCs w:val="21"/>
              </w:rPr>
              <w:t>（二）部分公开（区分处理的，只计这一情形，不计其他情形）</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hint="eastAsia" w:ascii="黑体" w:hAnsi="黑体" w:eastAsia="黑体"/>
                <w:kern w:val="0"/>
                <w:szCs w:val="21"/>
              </w:rPr>
            </w:pPr>
            <w:r>
              <w:rPr>
                <w:rFonts w:hint="eastAsia" w:ascii="黑体" w:hAnsi="黑体" w:eastAsia="黑体"/>
                <w:kern w:val="0"/>
                <w:szCs w:val="21"/>
              </w:rPr>
              <w:t>（三）不予公开</w:t>
            </w: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r>
              <w:rPr>
                <w:rFonts w:hint="eastAsia" w:ascii="仿宋_GB2312" w:hAnsi="黑体" w:eastAsia="仿宋_GB2312"/>
                <w:kern w:val="0"/>
                <w:szCs w:val="21"/>
              </w:rPr>
              <w:t>1.属于国家秘密</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bookmarkStart w:id="2" w:name="_Hlk66974104"/>
            <w:bookmarkEnd w:id="2"/>
            <w:r>
              <w:rPr>
                <w:rFonts w:hint="eastAsia" w:ascii="仿宋_GB2312" w:hAnsi="黑体" w:eastAsia="仿宋_GB2312"/>
                <w:kern w:val="0"/>
                <w:szCs w:val="21"/>
              </w:rPr>
              <w:t>2.其他法律行政法规禁止公开</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r>
              <w:rPr>
                <w:rFonts w:hint="eastAsia" w:ascii="仿宋_GB2312" w:hAnsi="黑体" w:eastAsia="仿宋_GB2312"/>
                <w:kern w:val="0"/>
                <w:szCs w:val="21"/>
              </w:rPr>
              <w:t>3.危及“三安全一稳定”</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bookmarkStart w:id="3" w:name="_Hlk66974290"/>
            <w:bookmarkEnd w:id="3"/>
            <w:r>
              <w:rPr>
                <w:rFonts w:hint="eastAsia" w:ascii="仿宋_GB2312" w:hAnsi="黑体" w:eastAsia="仿宋_GB2312"/>
                <w:kern w:val="0"/>
                <w:szCs w:val="21"/>
              </w:rPr>
              <w:t>4.保护第三方合法权益</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bookmarkStart w:id="4" w:name="_Hlk66974555"/>
            <w:bookmarkEnd w:id="4"/>
            <w:r>
              <w:rPr>
                <w:rFonts w:hint="eastAsia" w:ascii="仿宋_GB2312" w:hAnsi="黑体" w:eastAsia="仿宋_GB2312"/>
                <w:kern w:val="0"/>
                <w:szCs w:val="21"/>
              </w:rPr>
              <w:t>6.属于四类过程性信息</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r>
              <w:rPr>
                <w:rFonts w:hint="eastAsia" w:ascii="仿宋_GB2312" w:hAnsi="黑体" w:eastAsia="仿宋_GB2312"/>
                <w:kern w:val="0"/>
                <w:szCs w:val="21"/>
              </w:rPr>
              <w:t>7.属于行政执法案卷</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bookmarkStart w:id="5" w:name="_Hlk66975211"/>
            <w:bookmarkEnd w:id="5"/>
            <w:r>
              <w:rPr>
                <w:rFonts w:hint="eastAsia" w:ascii="仿宋_GB2312" w:hAnsi="黑体" w:eastAsia="仿宋_GB2312"/>
                <w:kern w:val="0"/>
                <w:szCs w:val="21"/>
              </w:rPr>
              <w:t>8.属于行政查询事项</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hint="eastAsia" w:ascii="黑体" w:hAnsi="黑体" w:eastAsia="黑体"/>
                <w:kern w:val="0"/>
                <w:szCs w:val="21"/>
              </w:rPr>
            </w:pPr>
            <w:r>
              <w:rPr>
                <w:rFonts w:hint="eastAsia" w:ascii="黑体" w:hAnsi="黑体" w:eastAsia="黑体"/>
                <w:kern w:val="0"/>
                <w:szCs w:val="21"/>
              </w:rPr>
              <w:t>（四）无法提供</w:t>
            </w: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bookmarkStart w:id="6" w:name="_Hlk66975392"/>
            <w:bookmarkEnd w:id="6"/>
            <w:r>
              <w:rPr>
                <w:rFonts w:hint="eastAsia" w:ascii="仿宋_GB2312" w:hAnsi="黑体" w:eastAsia="仿宋_GB2312"/>
                <w:kern w:val="0"/>
                <w:szCs w:val="21"/>
              </w:rPr>
              <w:t>2.没有现成信息需要另行制作</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bookmarkStart w:id="7" w:name="_Hlk66975466"/>
            <w:bookmarkEnd w:id="7"/>
            <w:r>
              <w:rPr>
                <w:rFonts w:hint="eastAsia" w:ascii="仿宋_GB2312" w:hAnsi="黑体" w:eastAsia="仿宋_GB2312"/>
                <w:kern w:val="0"/>
                <w:szCs w:val="21"/>
              </w:rPr>
              <w:t>3.补正后申请内容仍不明确</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hint="eastAsia" w:ascii="黑体" w:hAnsi="黑体" w:eastAsia="黑体"/>
                <w:kern w:val="0"/>
                <w:szCs w:val="21"/>
              </w:rPr>
            </w:pPr>
            <w:r>
              <w:rPr>
                <w:rFonts w:hint="eastAsia" w:ascii="黑体" w:hAnsi="黑体" w:eastAsia="黑体"/>
                <w:kern w:val="0"/>
                <w:szCs w:val="21"/>
              </w:rPr>
              <w:t>（五）不予处理</w:t>
            </w: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bookmarkStart w:id="8" w:name="_Hlk66975537"/>
            <w:bookmarkEnd w:id="8"/>
            <w:r>
              <w:rPr>
                <w:rFonts w:hint="eastAsia" w:ascii="仿宋_GB2312" w:hAnsi="黑体" w:eastAsia="仿宋_GB2312"/>
                <w:kern w:val="0"/>
                <w:szCs w:val="21"/>
              </w:rPr>
              <w:t>1.信访举报投诉类申请</w:t>
            </w:r>
          </w:p>
        </w:tc>
        <w:tc>
          <w:tcPr>
            <w:tcW w:w="829"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bottom"/>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r>
              <w:rPr>
                <w:rFonts w:hint="eastAsia" w:ascii="仿宋_GB2312" w:hAnsi="黑体" w:eastAsia="仿宋_GB2312"/>
                <w:kern w:val="0"/>
                <w:szCs w:val="21"/>
              </w:rPr>
              <w:t>2.重复申请</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r>
              <w:rPr>
                <w:rFonts w:hint="eastAsia" w:ascii="仿宋_GB2312" w:hAnsi="黑体" w:eastAsia="仿宋_GB2312"/>
                <w:kern w:val="0"/>
                <w:szCs w:val="21"/>
              </w:rPr>
              <w:t>3.要求提供公开出版物</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hint="eastAsia" w:ascii="仿宋_GB2312" w:hAnsi="黑体" w:eastAsia="仿宋_GB2312"/>
                <w:kern w:val="0"/>
                <w:szCs w:val="21"/>
              </w:rPr>
            </w:pPr>
            <w:r>
              <w:rPr>
                <w:rFonts w:hint="eastAsia" w:ascii="仿宋_GB2312" w:hAnsi="黑体" w:eastAsia="仿宋_GB2312"/>
                <w:kern w:val="0"/>
                <w:szCs w:val="21"/>
              </w:rPr>
              <w:t>4.无正当理由大量反复申请</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300" w:lineRule="exact"/>
              <w:rPr>
                <w:rFonts w:hint="eastAsia"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hint="eastAsia" w:ascii="仿宋_GB2312" w:hAnsi="黑体" w:eastAsia="仿宋_GB2312"/>
                <w:kern w:val="0"/>
                <w:szCs w:val="21"/>
              </w:rPr>
            </w:pPr>
            <w:r>
              <w:rPr>
                <w:rFonts w:hint="eastAsia" w:ascii="仿宋_GB2312" w:hAnsi="黑体" w:eastAsia="仿宋_GB2312"/>
                <w:kern w:val="0"/>
                <w:szCs w:val="21"/>
              </w:rPr>
              <w:t>出具已获取信息</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300" w:lineRule="exact"/>
              <w:rPr>
                <w:rFonts w:hint="eastAsia" w:ascii="黑体" w:hAnsi="黑体" w:eastAsia="黑体"/>
                <w:kern w:val="0"/>
                <w:szCs w:val="21"/>
              </w:rPr>
            </w:pPr>
            <w:r>
              <w:rPr>
                <w:rFonts w:hint="eastAsia" w:ascii="黑体" w:hAnsi="黑体" w:eastAsia="黑体"/>
                <w:kern w:val="0"/>
                <w:szCs w:val="21"/>
              </w:rPr>
              <w:t>（六）其他处理</w:t>
            </w:r>
          </w:p>
        </w:tc>
        <w:tc>
          <w:tcPr>
            <w:tcW w:w="2976" w:type="dxa"/>
            <w:vAlign w:val="center"/>
          </w:tcPr>
          <w:p>
            <w:pPr>
              <w:widowControl/>
              <w:spacing w:line="300" w:lineRule="exact"/>
              <w:rPr>
                <w:rFonts w:hint="eastAsia"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6" w:type="dxa"/>
            <w:vAlign w:val="center"/>
          </w:tcPr>
          <w:p>
            <w:pPr>
              <w:widowControl/>
              <w:spacing w:line="300" w:lineRule="exact"/>
              <w:rPr>
                <w:rFonts w:hint="eastAsia" w:ascii="仿宋_GB2312" w:hAnsi="楷体" w:eastAsia="仿宋_GB2312"/>
              </w:rPr>
            </w:pPr>
            <w:r>
              <w:rPr>
                <w:rFonts w:hint="eastAsia" w:ascii="仿宋_GB2312" w:hAnsi="楷体" w:eastAsia="仿宋_GB2312"/>
              </w:rPr>
              <w:t>2.申请人逾期未按收费通知要求缴纳费用、行政机关不再处理其政府信息公开申请</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6" w:type="dxa"/>
            <w:vAlign w:val="center"/>
          </w:tcPr>
          <w:p>
            <w:pPr>
              <w:widowControl/>
              <w:spacing w:line="300" w:lineRule="exact"/>
              <w:rPr>
                <w:rFonts w:hint="eastAsia" w:ascii="仿宋_GB2312" w:hAnsi="楷体" w:eastAsia="仿宋_GB2312"/>
              </w:rPr>
            </w:pPr>
            <w:r>
              <w:rPr>
                <w:rFonts w:hint="eastAsia" w:ascii="仿宋_GB2312" w:hAnsi="楷体" w:eastAsia="仿宋_GB2312"/>
              </w:rPr>
              <w:t>3.其他</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4677" w:type="dxa"/>
            <w:gridSpan w:val="2"/>
            <w:tcMar>
              <w:left w:w="108" w:type="dxa"/>
              <w:right w:w="108" w:type="dxa"/>
            </w:tcMar>
            <w:vAlign w:val="center"/>
          </w:tcPr>
          <w:p>
            <w:pPr>
              <w:widowControl/>
              <w:spacing w:line="300" w:lineRule="exact"/>
              <w:rPr>
                <w:rFonts w:hint="eastAsia" w:ascii="黑体" w:hAnsi="黑体" w:eastAsia="黑体"/>
                <w:kern w:val="0"/>
                <w:szCs w:val="21"/>
              </w:rPr>
            </w:pPr>
            <w:r>
              <w:rPr>
                <w:rFonts w:hint="eastAsia" w:ascii="黑体" w:hAnsi="黑体" w:eastAsia="黑体"/>
                <w:kern w:val="0"/>
                <w:szCs w:val="21"/>
              </w:rPr>
              <w:t>（七）总计</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5093" w:type="dxa"/>
            <w:gridSpan w:val="3"/>
            <w:tcMar>
              <w:left w:w="108" w:type="dxa"/>
              <w:right w:w="108" w:type="dxa"/>
            </w:tcMar>
            <w:vAlign w:val="center"/>
          </w:tcPr>
          <w:p>
            <w:pPr>
              <w:widowControl/>
              <w:spacing w:line="300" w:lineRule="exact"/>
              <w:rPr>
                <w:rFonts w:hint="eastAsia" w:ascii="黑体" w:hAnsi="黑体" w:eastAsia="黑体"/>
                <w:kern w:val="0"/>
                <w:szCs w:val="21"/>
              </w:rPr>
            </w:pPr>
            <w:r>
              <w:rPr>
                <w:rFonts w:hint="eastAsia" w:ascii="黑体" w:hAnsi="黑体" w:eastAsia="黑体"/>
                <w:kern w:val="0"/>
                <w:szCs w:val="21"/>
              </w:rPr>
              <w:t>四、结转下年度继续办理</w:t>
            </w:r>
          </w:p>
        </w:tc>
        <w:tc>
          <w:tcPr>
            <w:tcW w:w="829"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3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708"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567"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c>
          <w:tcPr>
            <w:tcW w:w="851" w:type="dxa"/>
            <w:tcMar>
              <w:left w:w="108" w:type="dxa"/>
              <w:right w:w="108" w:type="dxa"/>
            </w:tcMar>
            <w:vAlign w:val="center"/>
          </w:tcPr>
          <w:p>
            <w:pPr>
              <w:widowControl/>
              <w:spacing w:after="180"/>
              <w:jc w:val="center"/>
              <w:rPr>
                <w:rFonts w:ascii="Calibri" w:hAnsi="Calibri" w:eastAsia="仿宋_GB2312"/>
                <w:szCs w:val="21"/>
                <w:lang w:val="en-US" w:eastAsia="zh-CN"/>
              </w:rPr>
            </w:pPr>
            <w:r>
              <w:rPr>
                <w:rFonts w:ascii="Calibri" w:hAnsi="Calibri" w:eastAsia="仿宋_GB2312"/>
                <w:szCs w:val="21"/>
                <w:lang w:val="en-US" w:eastAsia="zh-CN"/>
              </w:rPr>
              <w:t>0</w:t>
            </w:r>
          </w:p>
        </w:tc>
      </w:tr>
    </w:tbl>
    <w:p>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pPr>
    </w:p>
    <w:p>
      <w:pPr>
        <w:pStyle w:val="7"/>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420"/>
        <w:jc w:val="both"/>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四、</w:t>
      </w:r>
      <w:r>
        <w:rPr>
          <w:rFonts w:hint="eastAsia" w:ascii="黑体" w:hAnsi="黑体" w:eastAsia="黑体"/>
          <w:b w:val="0"/>
          <w:bCs w:val="0"/>
          <w:sz w:val="32"/>
          <w:szCs w:val="32"/>
        </w:rPr>
        <w:t>政府信息公开行政复议、行政诉讼情况</w:t>
      </w:r>
    </w:p>
    <w:p>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center"/>
      </w:pPr>
    </w:p>
    <w:p>
      <w:pPr>
        <w:jc w:val="center"/>
        <w:rPr>
          <w:rFonts w:hint="eastAsia" w:ascii="仿宋_GB2312" w:eastAsia="仿宋_GB2312"/>
          <w:b/>
          <w:bCs/>
          <w:sz w:val="28"/>
          <w:szCs w:val="28"/>
        </w:rPr>
      </w:pPr>
      <w:r>
        <w:rPr>
          <w:rFonts w:hint="eastAsia" w:ascii="仿宋_GB2312" w:eastAsia="仿宋_GB2312"/>
          <w:b/>
          <w:bCs/>
          <w:sz w:val="28"/>
          <w:szCs w:val="28"/>
        </w:rPr>
        <w:t>表3</w:t>
      </w:r>
      <w:r>
        <w:rPr>
          <w:rFonts w:ascii="仿宋_GB2312" w:eastAsia="仿宋_GB2312"/>
          <w:b/>
          <w:bCs/>
          <w:sz w:val="28"/>
          <w:szCs w:val="28"/>
        </w:rPr>
        <w:t xml:space="preserve"> </w:t>
      </w:r>
      <w:r>
        <w:rPr>
          <w:rFonts w:hint="eastAsia" w:ascii="仿宋_GB2312" w:eastAsia="仿宋_GB2312"/>
          <w:sz w:val="28"/>
          <w:szCs w:val="28"/>
        </w:rPr>
        <w:t>因政府信息公开工作被申请行政复议、提起行政诉讼情况</w:t>
      </w:r>
    </w:p>
    <w:tbl>
      <w:tblPr>
        <w:tblStyle w:val="2"/>
        <w:tblW w:w="9071" w:type="dxa"/>
        <w:jc w:val="center"/>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108" w:type="dxa"/>
            <w:bottom w:w="0" w:type="dxa"/>
            <w:right w:w="108" w:type="dxa"/>
          </w:tblCellMar>
        </w:tblPrEx>
        <w:trPr>
          <w:trHeight w:val="497" w:hRule="atLeast"/>
          <w:jc w:val="center"/>
        </w:trPr>
        <w:tc>
          <w:tcPr>
            <w:tcW w:w="3074" w:type="dxa"/>
            <w:gridSpan w:val="5"/>
            <w:tcMar>
              <w:left w:w="108" w:type="dxa"/>
              <w:right w:w="108" w:type="dxa"/>
            </w:tcMar>
            <w:vAlign w:val="center"/>
          </w:tcPr>
          <w:p>
            <w:pPr>
              <w:widowControl/>
              <w:jc w:val="center"/>
              <w:rPr>
                <w:rFonts w:ascii="黑体" w:hAnsi="黑体" w:eastAsia="黑体"/>
                <w:kern w:val="0"/>
                <w:sz w:val="20"/>
                <w:szCs w:val="20"/>
              </w:rPr>
            </w:pPr>
            <w:r>
              <w:rPr>
                <w:rFonts w:ascii="黑体" w:hAnsi="黑体" w:eastAsia="黑体"/>
                <w:kern w:val="0"/>
                <w:sz w:val="20"/>
                <w:szCs w:val="20"/>
              </w:rPr>
              <w:t>行政复议</w:t>
            </w:r>
          </w:p>
        </w:tc>
        <w:tc>
          <w:tcPr>
            <w:tcW w:w="5997" w:type="dxa"/>
            <w:gridSpan w:val="10"/>
            <w:tcMar>
              <w:left w:w="108" w:type="dxa"/>
              <w:right w:w="108" w:type="dxa"/>
            </w:tcMar>
            <w:vAlign w:val="center"/>
          </w:tcPr>
          <w:p>
            <w:pPr>
              <w:widowControl/>
              <w:jc w:val="center"/>
              <w:rPr>
                <w:rFonts w:ascii="黑体" w:hAnsi="黑体" w:eastAsia="黑体"/>
                <w:kern w:val="0"/>
                <w:sz w:val="20"/>
                <w:szCs w:val="20"/>
              </w:rPr>
            </w:pPr>
            <w:r>
              <w:rPr>
                <w:rFonts w:ascii="黑体" w:hAnsi="黑体" w:eastAsia="黑体"/>
                <w:kern w:val="0"/>
                <w:sz w:val="20"/>
                <w:szCs w:val="20"/>
              </w:rPr>
              <w:t>行政诉讼</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108" w:type="dxa"/>
            <w:bottom w:w="0" w:type="dxa"/>
            <w:right w:w="108" w:type="dxa"/>
          </w:tblCellMar>
        </w:tblPrEx>
        <w:trPr>
          <w:trHeight w:val="547" w:hRule="atLeast"/>
          <w:jc w:val="center"/>
        </w:trPr>
        <w:tc>
          <w:tcPr>
            <w:tcW w:w="604" w:type="dxa"/>
            <w:vMerge w:val="restart"/>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维持</w:t>
            </w:r>
          </w:p>
        </w:tc>
        <w:tc>
          <w:tcPr>
            <w:tcW w:w="604" w:type="dxa"/>
            <w:vMerge w:val="restart"/>
            <w:tcMar>
              <w:left w:w="108" w:type="dxa"/>
              <w:right w:w="108" w:type="dxa"/>
            </w:tcMar>
            <w:vAlign w:val="center"/>
          </w:tcPr>
          <w:p>
            <w:pPr>
              <w:widowControl/>
              <w:ind w:left="-43" w:leftChars="-21" w:right="-132" w:rightChars="-63" w:hanging="1"/>
              <w:jc w:val="center"/>
              <w:rPr>
                <w:rFonts w:ascii="黑体" w:hAnsi="黑体" w:eastAsia="黑体"/>
                <w:kern w:val="0"/>
                <w:sz w:val="20"/>
                <w:szCs w:val="20"/>
              </w:rPr>
            </w:pPr>
            <w:r>
              <w:rPr>
                <w:rFonts w:ascii="黑体" w:hAnsi="黑体" w:eastAsia="黑体"/>
                <w:kern w:val="0"/>
                <w:sz w:val="20"/>
                <w:szCs w:val="20"/>
              </w:rPr>
              <w:t>结果纠正</w:t>
            </w:r>
          </w:p>
        </w:tc>
        <w:tc>
          <w:tcPr>
            <w:tcW w:w="604" w:type="dxa"/>
            <w:vMerge w:val="restart"/>
            <w:tcMar>
              <w:left w:w="108" w:type="dxa"/>
              <w:right w:w="108" w:type="dxa"/>
            </w:tcMar>
            <w:vAlign w:val="center"/>
          </w:tcPr>
          <w:p>
            <w:pPr>
              <w:widowControl/>
              <w:ind w:left="-82" w:leftChars="-39" w:right="-97" w:rightChars="-46"/>
              <w:jc w:val="center"/>
              <w:rPr>
                <w:rFonts w:ascii="黑体" w:hAnsi="黑体" w:eastAsia="黑体"/>
                <w:kern w:val="0"/>
                <w:sz w:val="20"/>
                <w:szCs w:val="20"/>
              </w:rPr>
            </w:pPr>
            <w:r>
              <w:rPr>
                <w:rFonts w:ascii="黑体" w:hAnsi="黑体" w:eastAsia="黑体"/>
                <w:kern w:val="0"/>
                <w:sz w:val="20"/>
                <w:szCs w:val="20"/>
              </w:rPr>
              <w:t>其他结果</w:t>
            </w:r>
          </w:p>
        </w:tc>
        <w:tc>
          <w:tcPr>
            <w:tcW w:w="604" w:type="dxa"/>
            <w:vMerge w:val="restart"/>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审结</w:t>
            </w:r>
          </w:p>
        </w:tc>
        <w:tc>
          <w:tcPr>
            <w:tcW w:w="658" w:type="dxa"/>
            <w:vMerge w:val="restart"/>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kern w:val="0"/>
                <w:sz w:val="20"/>
                <w:szCs w:val="20"/>
              </w:rPr>
            </w:pPr>
            <w:r>
              <w:rPr>
                <w:rFonts w:ascii="黑体" w:hAnsi="黑体" w:eastAsia="黑体"/>
                <w:kern w:val="0"/>
                <w:sz w:val="20"/>
                <w:szCs w:val="20"/>
              </w:rPr>
              <w:t>计</w:t>
            </w:r>
          </w:p>
        </w:tc>
        <w:tc>
          <w:tcPr>
            <w:tcW w:w="2970" w:type="dxa"/>
            <w:gridSpan w:val="5"/>
            <w:tcMar>
              <w:left w:w="108" w:type="dxa"/>
              <w:right w:w="108" w:type="dxa"/>
            </w:tcMar>
            <w:vAlign w:val="center"/>
          </w:tcPr>
          <w:p>
            <w:pPr>
              <w:widowControl/>
              <w:jc w:val="center"/>
              <w:rPr>
                <w:rFonts w:ascii="黑体" w:hAnsi="黑体" w:eastAsia="黑体"/>
                <w:kern w:val="0"/>
                <w:sz w:val="20"/>
                <w:szCs w:val="20"/>
              </w:rPr>
            </w:pPr>
            <w:r>
              <w:rPr>
                <w:rFonts w:ascii="黑体" w:hAnsi="黑体" w:eastAsia="黑体"/>
                <w:kern w:val="0"/>
                <w:sz w:val="20"/>
                <w:szCs w:val="20"/>
              </w:rPr>
              <w:t>未经复议直接起诉</w:t>
            </w:r>
          </w:p>
        </w:tc>
        <w:tc>
          <w:tcPr>
            <w:tcW w:w="3027" w:type="dxa"/>
            <w:gridSpan w:val="5"/>
            <w:tcMar>
              <w:left w:w="108" w:type="dxa"/>
              <w:right w:w="108" w:type="dxa"/>
            </w:tcMar>
            <w:vAlign w:val="center"/>
          </w:tcPr>
          <w:p>
            <w:pPr>
              <w:widowControl/>
              <w:jc w:val="center"/>
              <w:rPr>
                <w:rFonts w:ascii="黑体" w:hAnsi="黑体" w:eastAsia="黑体"/>
                <w:kern w:val="0"/>
                <w:sz w:val="20"/>
                <w:szCs w:val="20"/>
              </w:rPr>
            </w:pPr>
            <w:bookmarkStart w:id="9" w:name="_Hlk67039688"/>
            <w:bookmarkEnd w:id="9"/>
            <w:r>
              <w:rPr>
                <w:rFonts w:ascii="黑体" w:hAnsi="黑体" w:eastAsia="黑体"/>
                <w:kern w:val="0"/>
                <w:sz w:val="20"/>
                <w:szCs w:val="20"/>
              </w:rPr>
              <w:t>复议后起诉</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108" w:type="dxa"/>
            <w:bottom w:w="0" w:type="dxa"/>
            <w:right w:w="108" w:type="dxa"/>
          </w:tblCellMar>
        </w:tblPrEx>
        <w:trPr>
          <w:trHeight w:val="906" w:hRule="atLeast"/>
          <w:jc w:val="center"/>
        </w:trPr>
        <w:tc>
          <w:tcPr>
            <w:tcW w:w="604" w:type="dxa"/>
            <w:vMerge w:val="continue"/>
            <w:tcMar>
              <w:left w:w="108" w:type="dxa"/>
              <w:right w:w="108" w:type="dxa"/>
            </w:tcMar>
            <w:vAlign w:val="center"/>
          </w:tcPr>
          <w:p>
            <w:pPr>
              <w:rPr>
                <w:rFonts w:ascii="黑体" w:hAnsi="黑体" w:eastAsia="黑体"/>
                <w:sz w:val="24"/>
              </w:rPr>
            </w:pPr>
          </w:p>
        </w:tc>
        <w:tc>
          <w:tcPr>
            <w:tcW w:w="604" w:type="dxa"/>
            <w:vMerge w:val="continue"/>
            <w:tcMar>
              <w:left w:w="108" w:type="dxa"/>
              <w:right w:w="108" w:type="dxa"/>
            </w:tcMar>
            <w:vAlign w:val="center"/>
          </w:tcPr>
          <w:p>
            <w:pPr>
              <w:rPr>
                <w:rFonts w:ascii="黑体" w:hAnsi="黑体" w:eastAsia="黑体"/>
                <w:sz w:val="24"/>
              </w:rPr>
            </w:pPr>
          </w:p>
        </w:tc>
        <w:tc>
          <w:tcPr>
            <w:tcW w:w="604" w:type="dxa"/>
            <w:vMerge w:val="continue"/>
            <w:tcMar>
              <w:left w:w="108" w:type="dxa"/>
              <w:right w:w="108" w:type="dxa"/>
            </w:tcMar>
            <w:vAlign w:val="center"/>
          </w:tcPr>
          <w:p>
            <w:pPr>
              <w:rPr>
                <w:rFonts w:ascii="黑体" w:hAnsi="黑体" w:eastAsia="黑体"/>
                <w:sz w:val="24"/>
              </w:rPr>
            </w:pPr>
          </w:p>
        </w:tc>
        <w:tc>
          <w:tcPr>
            <w:tcW w:w="604" w:type="dxa"/>
            <w:vMerge w:val="continue"/>
            <w:tcMar>
              <w:left w:w="108" w:type="dxa"/>
              <w:right w:w="108" w:type="dxa"/>
            </w:tcMar>
            <w:vAlign w:val="center"/>
          </w:tcPr>
          <w:p>
            <w:pPr>
              <w:rPr>
                <w:rFonts w:ascii="黑体" w:hAnsi="黑体" w:eastAsia="黑体"/>
                <w:sz w:val="24"/>
              </w:rPr>
            </w:pPr>
          </w:p>
        </w:tc>
        <w:tc>
          <w:tcPr>
            <w:tcW w:w="658" w:type="dxa"/>
            <w:vMerge w:val="continue"/>
            <w:tcMar>
              <w:left w:w="108" w:type="dxa"/>
              <w:right w:w="108" w:type="dxa"/>
            </w:tcMar>
            <w:vAlign w:val="center"/>
          </w:tcPr>
          <w:p>
            <w:pPr>
              <w:rPr>
                <w:rFonts w:ascii="黑体" w:hAnsi="黑体" w:eastAsia="黑体"/>
                <w:sz w:val="24"/>
              </w:rPr>
            </w:pPr>
          </w:p>
        </w:tc>
        <w:tc>
          <w:tcPr>
            <w:tcW w:w="550" w:type="dxa"/>
            <w:tcMar>
              <w:left w:w="108" w:type="dxa"/>
              <w:right w:w="108" w:type="dxa"/>
            </w:tcMar>
            <w:vAlign w:val="center"/>
          </w:tcPr>
          <w:p>
            <w:pPr>
              <w:widowControl/>
              <w:ind w:left="-105" w:leftChars="-50" w:right="-126" w:rightChars="-60"/>
              <w:jc w:val="center"/>
              <w:rPr>
                <w:rFonts w:ascii="黑体" w:hAnsi="黑体" w:eastAsia="黑体"/>
                <w:kern w:val="0"/>
                <w:sz w:val="20"/>
                <w:szCs w:val="20"/>
              </w:rPr>
            </w:pPr>
            <w:r>
              <w:rPr>
                <w:rFonts w:ascii="黑体" w:hAnsi="黑体" w:eastAsia="黑体"/>
                <w:kern w:val="0"/>
                <w:sz w:val="20"/>
                <w:szCs w:val="20"/>
              </w:rPr>
              <w:t>结果维持</w:t>
            </w:r>
          </w:p>
        </w:tc>
        <w:tc>
          <w:tcPr>
            <w:tcW w:w="605" w:type="dxa"/>
            <w:tcMar>
              <w:left w:w="108" w:type="dxa"/>
              <w:right w:w="108" w:type="dxa"/>
            </w:tcMar>
            <w:vAlign w:val="center"/>
          </w:tcPr>
          <w:p>
            <w:pPr>
              <w:widowControl/>
              <w:ind w:left="-86" w:leftChars="-41" w:right="-88" w:rightChars="-42"/>
              <w:jc w:val="center"/>
              <w:rPr>
                <w:rFonts w:ascii="黑体" w:hAnsi="黑体" w:eastAsia="黑体"/>
                <w:kern w:val="0"/>
                <w:sz w:val="20"/>
                <w:szCs w:val="20"/>
              </w:rPr>
            </w:pPr>
            <w:r>
              <w:rPr>
                <w:rFonts w:ascii="黑体" w:hAnsi="黑体" w:eastAsia="黑体"/>
                <w:kern w:val="0"/>
                <w:sz w:val="20"/>
                <w:szCs w:val="20"/>
              </w:rPr>
              <w:t>结果纠正</w:t>
            </w:r>
          </w:p>
        </w:tc>
        <w:tc>
          <w:tcPr>
            <w:tcW w:w="605" w:type="dxa"/>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结果</w:t>
            </w:r>
          </w:p>
        </w:tc>
        <w:tc>
          <w:tcPr>
            <w:tcW w:w="605" w:type="dxa"/>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审结</w:t>
            </w:r>
          </w:p>
        </w:tc>
        <w:tc>
          <w:tcPr>
            <w:tcW w:w="605" w:type="dxa"/>
            <w:tcMar>
              <w:left w:w="108" w:type="dxa"/>
              <w:right w:w="108" w:type="dxa"/>
            </w:tcMar>
            <w:vAlign w:val="center"/>
          </w:tcPr>
          <w:p>
            <w:pPr>
              <w:widowControl/>
              <w:jc w:val="center"/>
              <w:rPr>
                <w:rFonts w:ascii="黑体" w:hAnsi="黑体" w:eastAsia="黑体"/>
                <w:kern w:val="0"/>
                <w:sz w:val="20"/>
                <w:szCs w:val="20"/>
              </w:rPr>
            </w:pPr>
            <w:r>
              <w:rPr>
                <w:rFonts w:ascii="黑体" w:hAnsi="黑体" w:eastAsia="黑体"/>
                <w:kern w:val="0"/>
                <w:sz w:val="20"/>
                <w:szCs w:val="20"/>
              </w:rPr>
              <w:t>总计</w:t>
            </w:r>
          </w:p>
        </w:tc>
        <w:tc>
          <w:tcPr>
            <w:tcW w:w="605" w:type="dxa"/>
            <w:tcMar>
              <w:left w:w="108" w:type="dxa"/>
              <w:right w:w="108" w:type="dxa"/>
            </w:tcMar>
            <w:vAlign w:val="center"/>
          </w:tcPr>
          <w:p>
            <w:pPr>
              <w:widowControl/>
              <w:ind w:left="-99" w:leftChars="-47" w:right="-78" w:rightChars="-37"/>
              <w:jc w:val="center"/>
              <w:rPr>
                <w:rFonts w:ascii="黑体" w:hAnsi="黑体" w:eastAsia="黑体"/>
                <w:kern w:val="0"/>
                <w:sz w:val="20"/>
                <w:szCs w:val="20"/>
              </w:rPr>
            </w:pPr>
            <w:r>
              <w:rPr>
                <w:rFonts w:ascii="黑体" w:hAnsi="黑体" w:eastAsia="黑体"/>
                <w:kern w:val="0"/>
                <w:sz w:val="20"/>
                <w:szCs w:val="20"/>
              </w:rPr>
              <w:t>结果维持</w:t>
            </w:r>
          </w:p>
        </w:tc>
        <w:tc>
          <w:tcPr>
            <w:tcW w:w="605" w:type="dxa"/>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纠正</w:t>
            </w:r>
          </w:p>
        </w:tc>
        <w:tc>
          <w:tcPr>
            <w:tcW w:w="605" w:type="dxa"/>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结果</w:t>
            </w:r>
          </w:p>
        </w:tc>
        <w:tc>
          <w:tcPr>
            <w:tcW w:w="606" w:type="dxa"/>
            <w:tcMar>
              <w:left w:w="108" w:type="dxa"/>
              <w:right w:w="108" w:type="dxa"/>
            </w:tcMar>
            <w:vAlign w:val="center"/>
          </w:tcPr>
          <w:p>
            <w:pPr>
              <w:widowControl/>
              <w:ind w:left="-67" w:leftChars="-33" w:right="-105" w:rightChars="-50" w:hanging="2" w:hangingChars="1"/>
              <w:jc w:val="center"/>
              <w:rPr>
                <w:rFonts w:ascii="黑体" w:hAnsi="黑体" w:eastAsia="黑体"/>
                <w:kern w:val="0"/>
                <w:sz w:val="20"/>
                <w:szCs w:val="20"/>
              </w:rPr>
            </w:pPr>
            <w:r>
              <w:rPr>
                <w:rFonts w:ascii="黑体" w:hAnsi="黑体" w:eastAsia="黑体"/>
                <w:kern w:val="0"/>
                <w:sz w:val="20"/>
                <w:szCs w:val="20"/>
              </w:rPr>
              <w:t>尚未审结</w:t>
            </w:r>
          </w:p>
        </w:tc>
        <w:tc>
          <w:tcPr>
            <w:tcW w:w="606" w:type="dxa"/>
            <w:tcMar>
              <w:left w:w="108" w:type="dxa"/>
              <w:right w:w="108" w:type="dxa"/>
            </w:tcMar>
            <w:vAlign w:val="center"/>
          </w:tcPr>
          <w:p>
            <w:pPr>
              <w:widowControl/>
              <w:jc w:val="center"/>
              <w:rPr>
                <w:rFonts w:ascii="黑体" w:hAnsi="黑体" w:eastAsia="黑体"/>
                <w:kern w:val="0"/>
                <w:sz w:val="20"/>
                <w:szCs w:val="20"/>
              </w:rPr>
            </w:pPr>
            <w:r>
              <w:rPr>
                <w:rFonts w:ascii="黑体" w:hAnsi="黑体" w:eastAsia="黑体"/>
                <w:kern w:val="0"/>
                <w:sz w:val="20"/>
                <w:szCs w:val="20"/>
              </w:rPr>
              <w:t>总计</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108" w:type="dxa"/>
            <w:bottom w:w="0" w:type="dxa"/>
            <w:right w:w="108" w:type="dxa"/>
          </w:tblCellMar>
        </w:tblPrEx>
        <w:trPr>
          <w:jc w:val="center"/>
        </w:trPr>
        <w:tc>
          <w:tcPr>
            <w:tcW w:w="604"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4"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4"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4"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58"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550"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5"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5"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5"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5"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5"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5"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5"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6"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c>
          <w:tcPr>
            <w:tcW w:w="606" w:type="dxa"/>
            <w:tcMar>
              <w:left w:w="108" w:type="dxa"/>
              <w:right w:w="108" w:type="dxa"/>
            </w:tcMar>
            <w:vAlign w:val="center"/>
          </w:tcPr>
          <w:p>
            <w:pPr>
              <w:widowControl/>
              <w:spacing w:after="180"/>
              <w:jc w:val="center"/>
              <w:rPr>
                <w:rFonts w:hint="eastAsia" w:ascii="Calibri" w:hAnsi="Calibri" w:eastAsia="仿宋_GB2312"/>
                <w:szCs w:val="21"/>
                <w:lang w:val="en-US" w:eastAsia="zh-CN"/>
              </w:rPr>
            </w:pPr>
            <w:r>
              <w:rPr>
                <w:rFonts w:hint="eastAsia" w:ascii="Calibri" w:hAnsi="Calibri" w:eastAsia="仿宋_GB2312"/>
                <w:szCs w:val="21"/>
                <w:lang w:val="en-US" w:eastAsia="zh-CN"/>
              </w:rPr>
              <w:t>0</w:t>
            </w:r>
          </w:p>
        </w:tc>
      </w:tr>
    </w:tbl>
    <w:p>
      <w:pPr>
        <w:keepNext w:val="0"/>
        <w:keepLines w:val="0"/>
        <w:pageBreakBefore w:val="0"/>
        <w:widowControl w:val="0"/>
        <w:suppressLineNumbers w:val="0"/>
        <w:kinsoku/>
        <w:wordWrap/>
        <w:overflowPunct/>
        <w:topLinePunct w:val="0"/>
        <w:autoSpaceDE/>
        <w:autoSpaceDN/>
        <w:bidi w:val="0"/>
        <w:snapToGrid/>
        <w:jc w:val="left"/>
      </w:pPr>
    </w:p>
    <w:p>
      <w:pPr>
        <w:pStyle w:val="7"/>
        <w:keepNext w:val="0"/>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right="0" w:rightChars="0" w:firstLine="640" w:firstLineChars="200"/>
        <w:jc w:val="both"/>
        <w:rPr>
          <w:rFonts w:hint="eastAsia" w:ascii="黑体" w:hAnsi="黑体" w:eastAsia="黑体"/>
          <w:sz w:val="32"/>
          <w:szCs w:val="32"/>
          <w:lang w:val="en-US" w:eastAsia="zh-CN"/>
        </w:rPr>
      </w:pPr>
      <w:r>
        <w:rPr>
          <w:rFonts w:hint="eastAsia" w:ascii="黑体" w:hAnsi="黑体" w:eastAsia="黑体"/>
          <w:sz w:val="32"/>
          <w:szCs w:val="32"/>
          <w:lang w:val="en-US" w:eastAsia="zh-CN"/>
        </w:rPr>
        <w:t>五、</w:t>
      </w:r>
      <w:r>
        <w:rPr>
          <w:rFonts w:hint="eastAsia" w:ascii="黑体" w:hAnsi="黑体" w:eastAsia="黑体"/>
          <w:b/>
          <w:bCs/>
          <w:sz w:val="32"/>
          <w:szCs w:val="32"/>
        </w:rPr>
        <w:t>政府信息公开工作存在的主要问题及改进情况</w:t>
      </w:r>
    </w:p>
    <w:p>
      <w:pPr>
        <w:pStyle w:val="7"/>
        <w:keepNext w:val="0"/>
        <w:keepLines w:val="0"/>
        <w:pageBreakBefore w:val="0"/>
        <w:widowControl w:val="0"/>
        <w:shd w:val="clear" w:color="auto" w:fill="auto"/>
        <w:kinsoku/>
        <w:wordWrap/>
        <w:overflowPunct/>
        <w:topLinePunct w:val="0"/>
        <w:autoSpaceDE/>
        <w:autoSpaceDN/>
        <w:bidi w:val="0"/>
        <w:snapToGrid/>
        <w:spacing w:before="0" w:beforeAutospacing="0" w:after="0" w:afterAutospacing="0" w:line="578" w:lineRule="exact"/>
        <w:ind w:left="0" w:firstLine="640" w:firstLineChars="200"/>
        <w:jc w:val="both"/>
        <w:rPr>
          <w:rFonts w:hint="eastAsia" w:ascii="楷体_GB2312" w:hAnsi="楷体" w:eastAsia="楷体_GB2312"/>
          <w:color w:val="000000"/>
          <w:sz w:val="32"/>
          <w:szCs w:val="32"/>
        </w:rPr>
      </w:pPr>
      <w:r>
        <w:rPr>
          <w:rFonts w:hint="eastAsia" w:ascii="楷体_GB2312" w:hAnsi="楷体" w:eastAsia="楷体_GB2312"/>
          <w:color w:val="000000"/>
          <w:sz w:val="32"/>
          <w:szCs w:val="32"/>
        </w:rPr>
        <w:t>（一）</w:t>
      </w:r>
      <w:r>
        <w:rPr>
          <w:rFonts w:hint="eastAsia" w:ascii="楷体_GB2312" w:hAnsi="楷体" w:eastAsia="楷体_GB2312"/>
          <w:color w:val="000000"/>
          <w:sz w:val="32"/>
          <w:szCs w:val="32"/>
          <w:lang w:val="en-US" w:eastAsia="zh-CN"/>
        </w:rPr>
        <w:t>2022</w:t>
      </w:r>
      <w:r>
        <w:rPr>
          <w:rFonts w:hint="eastAsia" w:ascii="楷体_GB2312" w:hAnsi="楷体" w:eastAsia="楷体_GB2312"/>
          <w:color w:val="000000"/>
          <w:sz w:val="32"/>
          <w:szCs w:val="32"/>
        </w:rPr>
        <w:t>年问题整改情况</w:t>
      </w:r>
    </w:p>
    <w:p>
      <w:pPr>
        <w:pStyle w:val="7"/>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rightChars="0"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县科技局</w:t>
      </w:r>
      <w:r>
        <w:rPr>
          <w:rFonts w:hint="eastAsia" w:ascii="仿宋_GB2312" w:eastAsia="仿宋_GB2312"/>
          <w:color w:val="000000"/>
          <w:sz w:val="32"/>
          <w:szCs w:val="32"/>
          <w:lang w:eastAsia="zh-CN"/>
        </w:rPr>
        <w:t>完善</w:t>
      </w:r>
      <w:r>
        <w:rPr>
          <w:rFonts w:hint="eastAsia" w:ascii="仿宋_GB2312" w:eastAsia="仿宋_GB2312"/>
          <w:color w:val="000000"/>
          <w:sz w:val="32"/>
          <w:szCs w:val="32"/>
        </w:rPr>
        <w:t>信息公开</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的制度，明确信息公开的内容、程序和时限等要求，对政府信息</w:t>
      </w:r>
      <w:r>
        <w:rPr>
          <w:rFonts w:hint="eastAsia" w:ascii="仿宋_GB2312" w:eastAsia="仿宋_GB2312"/>
          <w:color w:val="000000"/>
          <w:sz w:val="32"/>
          <w:szCs w:val="32"/>
          <w:lang w:eastAsia="zh-CN"/>
        </w:rPr>
        <w:t>发布加强</w:t>
      </w:r>
      <w:r>
        <w:rPr>
          <w:rFonts w:hint="eastAsia" w:ascii="仿宋_GB2312" w:eastAsia="仿宋_GB2312"/>
          <w:color w:val="000000"/>
          <w:sz w:val="32"/>
          <w:szCs w:val="32"/>
        </w:rPr>
        <w:t>管理和审核，确保信息的准确性和及时性。</w:t>
      </w:r>
      <w:r>
        <w:rPr>
          <w:rFonts w:hint="eastAsia" w:ascii="仿宋_GB2312" w:eastAsia="仿宋_GB2312"/>
          <w:color w:val="000000"/>
          <w:sz w:val="32"/>
          <w:szCs w:val="32"/>
          <w:lang w:eastAsia="zh-CN"/>
        </w:rPr>
        <w:t>加强对</w:t>
      </w:r>
      <w:r>
        <w:rPr>
          <w:rFonts w:hint="eastAsia" w:ascii="仿宋_GB2312" w:eastAsia="仿宋_GB2312"/>
          <w:color w:val="000000"/>
          <w:sz w:val="32"/>
          <w:szCs w:val="32"/>
        </w:rPr>
        <w:t>政府信息发布的监督，对信息发布情况进行定期检查和评估</w:t>
      </w:r>
      <w:r>
        <w:rPr>
          <w:rFonts w:hint="eastAsia" w:ascii="仿宋_GB2312" w:eastAsia="仿宋_GB2312"/>
          <w:color w:val="000000"/>
          <w:sz w:val="32"/>
          <w:szCs w:val="32"/>
          <w:lang w:eastAsia="zh-CN"/>
        </w:rPr>
        <w:t>；</w:t>
      </w:r>
      <w:r>
        <w:rPr>
          <w:rFonts w:hint="eastAsia" w:ascii="仿宋_GB2312" w:eastAsia="仿宋_GB2312"/>
          <w:color w:val="000000"/>
          <w:sz w:val="32"/>
          <w:szCs w:val="32"/>
        </w:rPr>
        <w:t>加强对</w:t>
      </w:r>
      <w:r>
        <w:rPr>
          <w:rFonts w:hint="eastAsia" w:ascii="仿宋_GB2312" w:eastAsia="仿宋_GB2312"/>
          <w:color w:val="000000"/>
          <w:sz w:val="32"/>
          <w:szCs w:val="32"/>
          <w:lang w:eastAsia="zh-CN"/>
        </w:rPr>
        <w:t>政府</w:t>
      </w:r>
      <w:r>
        <w:rPr>
          <w:rFonts w:hint="eastAsia" w:ascii="仿宋_GB2312" w:eastAsia="仿宋_GB2312"/>
          <w:color w:val="000000"/>
          <w:sz w:val="32"/>
          <w:szCs w:val="32"/>
        </w:rPr>
        <w:t>信息公开工作人员的培训，提高信息</w:t>
      </w:r>
      <w:r>
        <w:rPr>
          <w:rFonts w:hint="eastAsia" w:ascii="仿宋_GB2312" w:eastAsia="仿宋_GB2312"/>
          <w:color w:val="000000"/>
          <w:sz w:val="32"/>
          <w:szCs w:val="32"/>
          <w:lang w:eastAsia="zh-CN"/>
        </w:rPr>
        <w:t>收集、</w:t>
      </w:r>
      <w:r>
        <w:rPr>
          <w:rFonts w:hint="eastAsia" w:ascii="仿宋_GB2312" w:eastAsia="仿宋_GB2312"/>
          <w:color w:val="000000"/>
          <w:sz w:val="32"/>
          <w:szCs w:val="32"/>
        </w:rPr>
        <w:t>处理和公开的能力。</w:t>
      </w:r>
    </w:p>
    <w:p>
      <w:pPr>
        <w:pStyle w:val="7"/>
        <w:keepNext w:val="0"/>
        <w:keepLines w:val="0"/>
        <w:pageBreakBefore w:val="0"/>
        <w:widowControl w:val="0"/>
        <w:shd w:val="clear" w:color="auto" w:fill="auto"/>
        <w:kinsoku/>
        <w:wordWrap/>
        <w:overflowPunct/>
        <w:topLinePunct w:val="0"/>
        <w:autoSpaceDE/>
        <w:autoSpaceDN/>
        <w:bidi w:val="0"/>
        <w:snapToGrid/>
        <w:spacing w:before="0" w:beforeAutospacing="0" w:after="0" w:afterAutospacing="0" w:line="578" w:lineRule="exact"/>
        <w:ind w:left="0" w:firstLine="640" w:firstLineChars="200"/>
        <w:jc w:val="both"/>
        <w:rPr>
          <w:rFonts w:hint="eastAsia" w:ascii="楷体_GB2312" w:hAnsi="楷体" w:eastAsia="楷体_GB2312"/>
          <w:color w:val="000000"/>
          <w:sz w:val="32"/>
          <w:szCs w:val="32"/>
        </w:rPr>
      </w:pPr>
      <w:r>
        <w:rPr>
          <w:rFonts w:hint="eastAsia" w:ascii="楷体_GB2312" w:hAnsi="楷体" w:eastAsia="楷体_GB2312"/>
          <w:color w:val="000000"/>
          <w:sz w:val="32"/>
          <w:szCs w:val="32"/>
        </w:rPr>
        <w:t>（二）</w:t>
      </w:r>
      <w:r>
        <w:rPr>
          <w:rFonts w:hint="eastAsia" w:ascii="楷体_GB2312" w:hAnsi="楷体" w:eastAsia="楷体_GB2312"/>
          <w:color w:val="000000"/>
          <w:sz w:val="32"/>
          <w:szCs w:val="32"/>
          <w:lang w:eastAsia="zh-CN"/>
        </w:rPr>
        <w:t>202</w:t>
      </w:r>
      <w:r>
        <w:rPr>
          <w:rFonts w:hint="eastAsia" w:ascii="楷体_GB2312" w:hAnsi="楷体" w:eastAsia="楷体_GB2312"/>
          <w:color w:val="000000"/>
          <w:sz w:val="32"/>
          <w:szCs w:val="32"/>
          <w:lang w:val="en-US" w:eastAsia="zh-CN"/>
        </w:rPr>
        <w:t>3</w:t>
      </w:r>
      <w:r>
        <w:rPr>
          <w:rFonts w:hint="eastAsia" w:ascii="楷体_GB2312" w:hAnsi="楷体" w:eastAsia="楷体_GB2312"/>
          <w:color w:val="000000"/>
          <w:sz w:val="32"/>
          <w:szCs w:val="32"/>
        </w:rPr>
        <w:t>年存在的主要问题</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政府</w:t>
      </w:r>
      <w:r>
        <w:rPr>
          <w:rFonts w:hint="eastAsia" w:ascii="仿宋_GB2312" w:eastAsia="仿宋_GB2312"/>
          <w:color w:val="000000"/>
          <w:sz w:val="32"/>
          <w:szCs w:val="32"/>
          <w:lang w:val="en-US" w:eastAsia="zh-CN"/>
        </w:rPr>
        <w:t>信息公开</w:t>
      </w:r>
      <w:r>
        <w:rPr>
          <w:rFonts w:ascii="仿宋_GB2312" w:hAnsi="宋体" w:eastAsia="仿宋_GB2312"/>
          <w:i w:val="0"/>
          <w:iCs w:val="0"/>
          <w:color w:val="000000"/>
          <w:spacing w:val="0"/>
          <w:sz w:val="32"/>
          <w:szCs w:val="32"/>
          <w:shd w:val="clear" w:color="auto" w:fill="FFFFFF"/>
        </w:rPr>
        <w:t>的内容还不够全面</w:t>
      </w:r>
      <w:r>
        <w:rPr>
          <w:rFonts w:hint="eastAsia" w:ascii="仿宋_GB2312" w:eastAsia="仿宋_GB2312"/>
          <w:color w:val="000000"/>
          <w:sz w:val="32"/>
          <w:szCs w:val="32"/>
          <w:lang w:val="en-US" w:eastAsia="zh-CN"/>
        </w:rPr>
        <w:t>，</w:t>
      </w:r>
      <w:r>
        <w:rPr>
          <w:rFonts w:hint="eastAsia" w:ascii="仿宋_GB2312" w:hAnsi="仿宋_GB2312" w:eastAsia="仿宋_GB2312"/>
          <w:sz w:val="32"/>
          <w:szCs w:val="32"/>
          <w:lang w:eastAsia="zh-CN"/>
        </w:rPr>
        <w:t>政府</w:t>
      </w:r>
      <w:r>
        <w:rPr>
          <w:rFonts w:hint="eastAsia" w:ascii="仿宋_GB2312" w:eastAsia="仿宋_GB2312"/>
          <w:color w:val="000000"/>
          <w:sz w:val="32"/>
          <w:szCs w:val="32"/>
          <w:lang w:val="en-US" w:eastAsia="zh-CN"/>
        </w:rPr>
        <w:t>信息公开的</w:t>
      </w:r>
      <w:r>
        <w:rPr>
          <w:rFonts w:hint="eastAsia" w:ascii="仿宋_GB2312" w:hAnsi="仿宋_GB2312" w:eastAsia="仿宋_GB2312"/>
          <w:sz w:val="32"/>
          <w:szCs w:val="32"/>
          <w:lang w:eastAsia="zh-CN"/>
        </w:rPr>
        <w:t>内容形式还比较单一。</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hint="eastAsia" w:ascii="楷体_GB2312" w:hAnsi="楷体_GB2312" w:eastAsia="楷体_GB2312"/>
          <w:sz w:val="32"/>
          <w:szCs w:val="32"/>
          <w:lang w:eastAsia="zh-CN"/>
        </w:rPr>
      </w:pPr>
      <w:r>
        <w:rPr>
          <w:rFonts w:hint="eastAsia" w:ascii="楷体_GB2312" w:hAnsi="楷体_GB2312" w:eastAsia="楷体_GB2312"/>
          <w:sz w:val="32"/>
          <w:szCs w:val="32"/>
          <w:lang w:eastAsia="zh-CN"/>
        </w:rPr>
        <w:t>（三）改进措施</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针对存在的问题，县科技局下步将根据实际情况，逐步扩大信息公开的范围，增加公开的信息内容，使公众能够更全面地了解政我县科技工作。进一步丰富信息公开形式，除了传统的文字形式外，尝试采用图表、图片、视频等多种形式公开信息，使信息更加生动直观，便于公众理解。</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hint="eastAsia" w:ascii="黑体" w:hAnsi="黑体" w:eastAsia="黑体"/>
          <w:sz w:val="32"/>
          <w:szCs w:val="32"/>
          <w:lang w:eastAsia="zh-CN"/>
        </w:rPr>
      </w:pPr>
      <w:r>
        <w:rPr>
          <w:rFonts w:hint="eastAsia" w:ascii="黑体" w:hAnsi="黑体" w:eastAsia="黑体"/>
          <w:sz w:val="32"/>
          <w:szCs w:val="32"/>
          <w:lang w:eastAsia="zh-CN"/>
        </w:rPr>
        <w:t>六、其他需要报告的事项</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ascii="仿宋_GB2312" w:hAnsi="仿宋_GB2312" w:eastAsia="仿宋_GB2312"/>
          <w:sz w:val="32"/>
          <w:szCs w:val="32"/>
          <w:lang w:val="en-US" w:eastAsia="zh-CN"/>
        </w:rPr>
      </w:pPr>
      <w:r>
        <w:rPr>
          <w:rFonts w:ascii="仿宋_GB2312" w:hAnsi="仿宋_GB2312" w:eastAsia="仿宋_GB2312"/>
          <w:sz w:val="32"/>
          <w:szCs w:val="32"/>
          <w:lang w:val="en-US" w:eastAsia="zh-CN"/>
        </w:rPr>
        <w:t>（一）收取信息处理费情况。</w:t>
      </w:r>
      <w:r>
        <w:rPr>
          <w:rFonts w:hint="eastAsia" w:ascii="仿宋_GB2312" w:hAnsi="仿宋_GB2312" w:eastAsia="仿宋_GB2312"/>
          <w:sz w:val="32"/>
          <w:szCs w:val="32"/>
          <w:lang w:val="en-US" w:eastAsia="zh-CN"/>
        </w:rPr>
        <w:t>2023年，县科技局未收取任何政府信息公开信息处理费。</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ascii="仿宋_GB2312" w:hAnsi="仿宋_GB2312" w:eastAsia="仿宋_GB2312"/>
          <w:sz w:val="32"/>
          <w:szCs w:val="32"/>
          <w:lang w:val="en-US" w:eastAsia="zh-CN"/>
        </w:rPr>
      </w:pPr>
      <w:r>
        <w:rPr>
          <w:rFonts w:ascii="仿宋_GB2312" w:hAnsi="仿宋_GB2312" w:eastAsia="仿宋_GB2312"/>
          <w:sz w:val="32"/>
          <w:szCs w:val="32"/>
          <w:lang w:val="en-US" w:eastAsia="zh-CN"/>
        </w:rPr>
        <w:t>（二）上级年度政务公开工作要点落实情况。</w:t>
      </w:r>
      <w:r>
        <w:rPr>
          <w:rFonts w:hint="eastAsia" w:ascii="仿宋_GB2312" w:hAnsi="仿宋_GB2312" w:eastAsia="仿宋_GB2312"/>
          <w:sz w:val="32"/>
          <w:szCs w:val="32"/>
          <w:lang w:val="en-US" w:eastAsia="zh-CN"/>
        </w:rPr>
        <w:t>县科技局根据县政府办公室工作任务安排，扎实推动责任事项落实到位，深入推进</w:t>
      </w:r>
      <w:r>
        <w:rPr>
          <w:rFonts w:hint="eastAsia" w:ascii="仿宋_GB2312" w:hAnsi="仿宋_GB2312" w:eastAsia="仿宋_GB2312"/>
          <w:sz w:val="32"/>
          <w:szCs w:val="32"/>
          <w:lang w:eastAsia="zh-CN"/>
        </w:rPr>
        <w:t>政府</w:t>
      </w:r>
      <w:r>
        <w:rPr>
          <w:rFonts w:hint="eastAsia" w:ascii="仿宋_GB2312" w:eastAsia="仿宋_GB2312"/>
          <w:color w:val="000000"/>
          <w:sz w:val="32"/>
          <w:szCs w:val="32"/>
          <w:lang w:val="en-US" w:eastAsia="zh-CN"/>
        </w:rPr>
        <w:t>信息公开</w:t>
      </w:r>
      <w:r>
        <w:rPr>
          <w:rFonts w:hint="eastAsia" w:ascii="仿宋_GB2312" w:hAnsi="仿宋_GB2312" w:eastAsia="仿宋_GB2312"/>
          <w:sz w:val="32"/>
          <w:szCs w:val="32"/>
          <w:lang w:val="en-US" w:eastAsia="zh-CN"/>
        </w:rPr>
        <w:t>。目前，县科技局涉及责任事项已全部落实到位。</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ascii="仿宋_GB2312" w:hAnsi="仿宋_GB2312" w:eastAsia="仿宋_GB2312"/>
          <w:sz w:val="32"/>
          <w:szCs w:val="32"/>
          <w:lang w:val="en-US" w:eastAsia="zh-CN"/>
        </w:rPr>
      </w:pPr>
      <w:r>
        <w:rPr>
          <w:rFonts w:ascii="仿宋_GB2312" w:hAnsi="仿宋_GB2312" w:eastAsia="仿宋_GB2312"/>
          <w:sz w:val="32"/>
          <w:szCs w:val="32"/>
          <w:lang w:val="en-US" w:eastAsia="zh-CN"/>
        </w:rPr>
        <w:t>（三）人大代表建议和政协提案办理情况。2023年由县科学技术局</w:t>
      </w:r>
      <w:r>
        <w:rPr>
          <w:rFonts w:hint="eastAsia" w:ascii="仿宋_GB2312" w:hAnsi="仿宋_GB2312" w:eastAsia="仿宋_GB2312"/>
          <w:sz w:val="32"/>
          <w:szCs w:val="32"/>
          <w:lang w:val="en-US" w:eastAsia="zh-CN"/>
        </w:rPr>
        <w:t>牵头承办的人大代表建议、政协委员提案共2件，其中人大代表建议0件、政协提案共2件。建议提案均由我局分管负责人带队与建议提案人进行了面对面详细答复，建议提案人对答复均表示满意，并通过“昌乐县人民政府”门户网站进行了公开。</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ascii="仿宋_GB2312" w:hAnsi="仿宋_GB2312" w:eastAsia="仿宋_GB2312"/>
          <w:sz w:val="32"/>
          <w:szCs w:val="32"/>
          <w:lang w:val="en-US" w:eastAsia="zh-CN"/>
        </w:rPr>
      </w:pPr>
      <w:r>
        <w:rPr>
          <w:rFonts w:ascii="仿宋_GB2312" w:hAnsi="仿宋_GB2312" w:eastAsia="仿宋_GB2312"/>
          <w:sz w:val="32"/>
          <w:szCs w:val="32"/>
          <w:lang w:val="en-US" w:eastAsia="zh-CN"/>
        </w:rPr>
        <w:t>（四）年度政务公开工作创新情况。县</w:t>
      </w:r>
      <w:r>
        <w:rPr>
          <w:rFonts w:hint="eastAsia" w:ascii="仿宋_GB2312" w:hAnsi="仿宋_GB2312" w:eastAsia="仿宋_GB2312"/>
          <w:sz w:val="32"/>
          <w:szCs w:val="32"/>
          <w:lang w:val="en-US" w:eastAsia="zh-CN"/>
        </w:rPr>
        <w:t>科技局依托</w:t>
      </w:r>
      <w:r>
        <w:rPr>
          <w:rFonts w:hint="eastAsia" w:ascii="仿宋_GB2312" w:eastAsia="仿宋_GB2312"/>
          <w:color w:val="000000"/>
          <w:kern w:val="2"/>
          <w:sz w:val="32"/>
          <w:szCs w:val="32"/>
        </w:rPr>
        <w:t>“</w:t>
      </w:r>
      <w:r>
        <w:rPr>
          <w:rFonts w:hint="eastAsia" w:ascii="仿宋_GB2312" w:eastAsia="仿宋_GB2312"/>
          <w:color w:val="000000"/>
          <w:kern w:val="2"/>
          <w:sz w:val="32"/>
          <w:szCs w:val="32"/>
          <w:lang w:eastAsia="zh-CN"/>
        </w:rPr>
        <w:t>昌乐县人民政府</w:t>
      </w:r>
      <w:r>
        <w:rPr>
          <w:rFonts w:hint="eastAsia" w:ascii="仿宋_GB2312" w:eastAsia="仿宋_GB2312"/>
          <w:color w:val="000000"/>
          <w:kern w:val="2"/>
          <w:sz w:val="32"/>
          <w:szCs w:val="32"/>
        </w:rPr>
        <w:t>”</w:t>
      </w:r>
      <w:r>
        <w:rPr>
          <w:rFonts w:hint="eastAsia" w:ascii="仿宋_GB2312" w:hAnsi="仿宋_GB2312" w:eastAsia="仿宋_GB2312"/>
          <w:sz w:val="32"/>
          <w:szCs w:val="32"/>
          <w:lang w:val="en-US" w:eastAsia="zh-CN"/>
        </w:rPr>
        <w:t>门户网站和各类平台，根据公众的需求和关注，确定信息公开重点，优先公开与公众利益密切相关的信息。对于一些重要的政策文件和法规，加强政策解读和宣传，帮助公众更好地理解政策内容。</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ascii="仿宋_GB2312" w:hAnsi="仿宋_GB2312" w:eastAsia="仿宋_GB2312"/>
          <w:sz w:val="32"/>
          <w:szCs w:val="32"/>
          <w:lang w:val="en-US" w:eastAsia="zh-CN"/>
        </w:rPr>
      </w:pPr>
      <w:r>
        <w:rPr>
          <w:rFonts w:ascii="仿宋_GB2312" w:hAnsi="仿宋_GB2312" w:eastAsia="仿宋_GB2312"/>
          <w:sz w:val="32"/>
          <w:szCs w:val="32"/>
          <w:lang w:val="en-US" w:eastAsia="zh-CN"/>
        </w:rPr>
        <w:t>（五）报告数据统计说明。</w:t>
      </w:r>
      <w:r>
        <w:rPr>
          <w:rFonts w:hint="eastAsia" w:ascii="仿宋_GB2312" w:hAnsi="仿宋_GB2312" w:eastAsia="仿宋_GB2312"/>
          <w:sz w:val="32"/>
          <w:szCs w:val="32"/>
          <w:lang w:val="en-US" w:eastAsia="zh-CN"/>
        </w:rPr>
        <w:t>本报告所列数据统计期限为2023年1月1日至2023年12月31日。</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ascii="仿宋_GB2312" w:hAnsi="仿宋_GB2312" w:eastAsia="仿宋_GB2312"/>
          <w:sz w:val="32"/>
          <w:szCs w:val="32"/>
          <w:lang w:val="en-US" w:eastAsia="zh-CN"/>
        </w:rPr>
      </w:pPr>
      <w:r>
        <w:rPr>
          <w:rFonts w:ascii="仿宋_GB2312" w:hAnsi="仿宋_GB2312" w:eastAsia="仿宋_GB2312"/>
          <w:sz w:val="32"/>
          <w:szCs w:val="32"/>
          <w:lang w:val="en-US" w:eastAsia="zh-CN"/>
        </w:rPr>
        <w:t>（六）本行政机关认为需要报告的其他事项</w:t>
      </w:r>
      <w:r>
        <w:rPr>
          <w:rFonts w:hint="eastAsia" w:ascii="仿宋_GB2312" w:hAnsi="仿宋_GB2312" w:eastAsia="仿宋_GB2312"/>
          <w:sz w:val="32"/>
          <w:szCs w:val="32"/>
          <w:lang w:val="en-US" w:eastAsia="zh-CN"/>
        </w:rPr>
        <w:t>：无。</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640" w:firstLineChars="200"/>
        <w:jc w:val="both"/>
        <w:rPr>
          <w:rFonts w:ascii="仿宋_GB2312" w:hAnsi="仿宋_GB2312" w:eastAsia="仿宋_GB2312"/>
          <w:sz w:val="32"/>
          <w:szCs w:val="32"/>
          <w:lang w:val="en-US" w:eastAsia="zh-CN"/>
        </w:rPr>
      </w:pPr>
      <w:r>
        <w:rPr>
          <w:rFonts w:ascii="仿宋_GB2312" w:hAnsi="仿宋_GB2312" w:eastAsia="仿宋_GB2312"/>
          <w:sz w:val="32"/>
          <w:szCs w:val="32"/>
          <w:lang w:val="en-US" w:eastAsia="zh-CN"/>
        </w:rPr>
        <w:t>（七）其他有关文件专门要求报告的事项</w:t>
      </w:r>
      <w:r>
        <w:rPr>
          <w:rFonts w:hint="eastAsia" w:ascii="仿宋_GB2312" w:hAnsi="仿宋_GB2312" w:eastAsia="仿宋_GB2312"/>
          <w:sz w:val="32"/>
          <w:szCs w:val="32"/>
          <w:lang w:val="en-US" w:eastAsia="zh-CN"/>
        </w:rPr>
        <w:t>：无。</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420"/>
        <w:jc w:val="both"/>
        <w:rPr>
          <w:rFonts w:hint="eastAsia" w:ascii="仿宋_GB2312" w:hAnsi="仿宋_GB2312" w:eastAsia="仿宋_GB2312"/>
          <w:sz w:val="32"/>
          <w:szCs w:val="32"/>
          <w:lang w:val="en-US" w:eastAsia="zh-CN"/>
        </w:rPr>
      </w:pP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420"/>
        <w:jc w:val="both"/>
        <w:rPr>
          <w:rFonts w:hint="eastAsia" w:ascii="仿宋_GB2312" w:hAnsi="仿宋_GB2312" w:eastAsia="仿宋_GB2312"/>
          <w:sz w:val="32"/>
          <w:szCs w:val="32"/>
          <w:lang w:val="en-US" w:eastAsia="zh-CN"/>
        </w:rPr>
      </w:pP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420"/>
        <w:jc w:val="both"/>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昌乐县科学技术局</w:t>
      </w:r>
    </w:p>
    <w:p>
      <w:pPr>
        <w:pStyle w:val="7"/>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578" w:lineRule="exact"/>
        <w:ind w:left="0" w:right="0" w:firstLine="420"/>
        <w:jc w:val="both"/>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2024年1月1</w:t>
      </w:r>
      <w:bookmarkStart w:id="10" w:name="_GoBack"/>
      <w:bookmarkEnd w:id="10"/>
      <w:r>
        <w:rPr>
          <w:rFonts w:hint="eastAsia" w:ascii="仿宋_GB2312" w:hAnsi="仿宋_GB2312" w:eastAsia="仿宋_GB2312"/>
          <w:sz w:val="32"/>
          <w:szCs w:val="32"/>
          <w:lang w:val="en-US" w:eastAsia="zh-CN"/>
        </w:rPr>
        <w:t>5日</w:t>
      </w:r>
    </w:p>
    <w:sectPr>
      <w:pgSz w:w="11906" w:h="16838"/>
      <w:pgMar w:top="2098" w:right="1417" w:bottom="1984" w:left="1417" w:header="851" w:footer="1304"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5005F"/>
    <w:multiLevelType w:val="singleLevel"/>
    <w:tmpl w:val="F6A500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MWJiNDJhYTY3OThkMzhjNGFkMDEzOTIxN2VmMjkwOGEifQ=="/>
    <w:docVar w:name="KSO_WPS_MARK_KEY" w:val="230f2f64-b77c-4489-99dc-b649d0448093"/>
  </w:docVars>
  <w:rsids>
    <w:rsidRoot w:val="00000000"/>
    <w:rsid w:val="337A4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uiPriority w:val="0"/>
  </w:style>
  <w:style w:type="paragraph" w:customStyle="1" w:styleId="6">
    <w:name w:val="正文文本缩进1"/>
    <w:basedOn w:val="1"/>
    <w:uiPriority w:val="0"/>
    <w:pPr>
      <w:spacing w:after="120"/>
      <w:ind w:left="420" w:leftChars="200"/>
    </w:pPr>
  </w:style>
  <w:style w:type="paragraph" w:customStyle="1" w:styleId="7">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标题1"/>
    <w:basedOn w:val="1"/>
    <w:uiPriority w:val="0"/>
    <w:pPr>
      <w:jc w:val="center"/>
      <w:outlineLvl w:val="0"/>
    </w:pPr>
    <w:rPr>
      <w:rFonts w:ascii="Arial" w:hAnsi="Arial"/>
      <w:b/>
      <w:sz w:val="32"/>
    </w:rPr>
  </w:style>
  <w:style w:type="paragraph" w:customStyle="1" w:styleId="9">
    <w:name w:val="正文首行缩进 21"/>
    <w:basedOn w:val="6"/>
    <w:uiPriority w:val="0"/>
    <w:pPr>
      <w:widowControl/>
      <w:spacing w:after="0"/>
      <w:ind w:left="0" w:leftChars="0" w:firstLine="420" w:firstLineChars="200"/>
      <w:jc w:val="left"/>
    </w:pPr>
    <w:rPr>
      <w:rFonts w:ascii="Times New Roman" w:hAnsi="Times New Roman"/>
      <w:kern w:val="0"/>
      <w:sz w:val="20"/>
      <w:szCs w:val="20"/>
    </w:rPr>
  </w:style>
  <w:style w:type="character" w:customStyle="1" w:styleId="10">
    <w:name w:val="超链接1"/>
    <w:basedOn w:val="4"/>
    <w:link w:val="1"/>
    <w:uiPriority w:val="0"/>
    <w:rPr>
      <w:color w:val="0000FF"/>
      <w:u w:val="single"/>
    </w:rPr>
  </w:style>
  <w:style w:type="paragraph" w:customStyle="1" w:styleId="11">
    <w:name w:val="p0"/>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2864</Words>
  <Characters>2938</Characters>
  <Lines>0</Lines>
  <Paragraphs>0</Paragraphs>
  <TotalTime>1</TotalTime>
  <ScaleCrop>false</ScaleCrop>
  <LinksUpToDate>false</LinksUpToDate>
  <CharactersWithSpaces>2998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2024-01-25T01:42:02Z</dcterms:created>
  <dc:creator>WPS_1658918391</dc:creator>
  <cp:lastModifiedBy>WPS_1658918391</cp:lastModifiedBy>
  <dcterms:modified xsi:type="dcterms:W3CDTF">2024-01-25T01:43:05Z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1C0782718612434EA90EFA0A5C200AF3_12</vt:lpwstr>
  </property>
</Properties>
</file>