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80" w:lineRule="exact"/>
        <w:ind w:left="0" w:right="0" w:firstLine="0"/>
        <w:jc w:val="center"/>
        <w:textAlignment w:val="auto"/>
        <w:rPr>
          <w:rFonts w:hint="eastAsia" w:ascii="宋体" w:hAnsi="宋体" w:eastAsia="宋体" w:cs="宋体"/>
          <w:b/>
          <w:bCs/>
          <w:color w:val="333333"/>
          <w:kern w:val="0"/>
          <w:sz w:val="44"/>
          <w:szCs w:val="44"/>
          <w:shd w:val="clear" w:fill="FFFFFF"/>
          <w:lang w:val="en-US" w:eastAsia="zh-CN" w:bidi="ar"/>
        </w:rPr>
      </w:pPr>
      <w:r>
        <w:rPr>
          <w:rFonts w:hint="eastAsia" w:ascii="宋体" w:hAnsi="宋体" w:eastAsia="宋体" w:cs="宋体"/>
          <w:b/>
          <w:bCs/>
          <w:color w:val="333333"/>
          <w:kern w:val="0"/>
          <w:sz w:val="44"/>
          <w:szCs w:val="44"/>
          <w:shd w:val="clear" w:fill="FFFFFF"/>
          <w:lang w:val="en-US" w:eastAsia="zh-CN" w:bidi="ar"/>
        </w:rPr>
        <w:t>昌乐县农村经济工作中心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80" w:lineRule="exact"/>
        <w:ind w:left="0" w:right="0" w:firstLine="0"/>
        <w:jc w:val="center"/>
        <w:textAlignment w:val="auto"/>
        <w:rPr>
          <w:rFonts w:hint="eastAsia" w:ascii="宋体" w:hAnsi="宋体" w:eastAsia="宋体" w:cs="宋体"/>
          <w:b/>
          <w:bCs/>
          <w:color w:val="333333"/>
          <w:kern w:val="0"/>
          <w:sz w:val="44"/>
          <w:szCs w:val="44"/>
          <w:shd w:val="clear" w:fill="FFFFFF"/>
          <w:lang w:val="en-US" w:eastAsia="zh-CN" w:bidi="ar"/>
        </w:rPr>
      </w:pPr>
      <w:r>
        <w:rPr>
          <w:rFonts w:hint="eastAsia" w:ascii="宋体" w:hAnsi="宋体" w:eastAsia="宋体" w:cs="宋体"/>
          <w:b/>
          <w:bCs/>
          <w:color w:val="333333"/>
          <w:kern w:val="0"/>
          <w:sz w:val="44"/>
          <w:szCs w:val="44"/>
          <w:shd w:val="clear" w:fill="FFFFFF"/>
          <w:lang w:val="en-US" w:eastAsia="zh-CN" w:bidi="ar"/>
        </w:rPr>
        <w:t>2021年政府信息公开工作年度报告</w:t>
      </w:r>
    </w:p>
    <w:p>
      <w:pPr>
        <w:keepNext w:val="0"/>
        <w:keepLines w:val="0"/>
        <w:pageBreakBefore w:val="0"/>
        <w:widowControl/>
        <w:suppressLineNumbers w:val="0"/>
        <w:kinsoku/>
        <w:wordWrap/>
        <w:overflowPunct/>
        <w:topLinePunct w:val="0"/>
        <w:autoSpaceDE/>
        <w:autoSpaceDN/>
        <w:bidi w:val="0"/>
        <w:adjustRightInd/>
        <w:snapToGrid/>
        <w:spacing w:before="63" w:beforeLines="20" w:beforeAutospacing="0" w:after="4" w:afterAutospacing="0"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2021年，昌乐县农村经济工作中心认真贯彻落实《中华人民共和国政府信息公开条例》的规定，立足部门职能，进一步健全组织机构、加强监督检查，</w:t>
      </w:r>
      <w:r>
        <w:rPr>
          <w:rFonts w:hint="default" w:ascii="仿宋_GB2312" w:hAnsi="仿宋_GB2312" w:eastAsia="仿宋_GB2312" w:cs="仿宋_GB2312"/>
          <w:kern w:val="0"/>
          <w:sz w:val="32"/>
          <w:szCs w:val="32"/>
          <w:lang w:val="en-US" w:eastAsia="zh-CN" w:bidi="ar"/>
        </w:rPr>
        <w:t>认真开展政府信息公开工作，保障了政府信息公开工作依法、及时、准确、有序地开展。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8" w:lineRule="exact"/>
        <w:ind w:right="0" w:rightChars="0" w:firstLine="640" w:firstLineChars="200"/>
        <w:jc w:val="both"/>
        <w:textAlignment w:val="auto"/>
        <w:rPr>
          <w:rFonts w:hint="eastAsia" w:ascii="黑体" w:hAnsi="宋体" w:eastAsia="黑体" w:cs="黑体"/>
          <w:color w:val="333333"/>
          <w:kern w:val="0"/>
          <w:sz w:val="32"/>
          <w:szCs w:val="32"/>
          <w:shd w:val="clear" w:fill="FFFFFF"/>
          <w:lang w:val="en-US" w:eastAsia="zh-CN" w:bidi="ar"/>
        </w:rPr>
      </w:pPr>
      <w:r>
        <w:rPr>
          <w:rFonts w:hint="eastAsia" w:ascii="黑体" w:hAnsi="宋体" w:eastAsia="黑体" w:cs="黑体"/>
          <w:color w:val="333333"/>
          <w:kern w:val="0"/>
          <w:sz w:val="32"/>
          <w:szCs w:val="32"/>
          <w:shd w:val="clear" w:fill="FFFFFF"/>
          <w:lang w:val="en-US" w:eastAsia="zh-CN" w:bidi="ar"/>
        </w:rPr>
        <w:t>一、总体情况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8" w:lineRule="exact"/>
        <w:ind w:right="0" w:rightChars="0" w:firstLine="640" w:firstLineChars="200"/>
        <w:jc w:val="both"/>
        <w:textAlignment w:val="auto"/>
        <w:rPr>
          <w:rFonts w:hint="eastAsia" w:ascii="仿宋" w:hAnsi="仿宋" w:eastAsia="仿宋" w:cs="仿宋"/>
          <w:kern w:val="0"/>
          <w:sz w:val="36"/>
          <w:szCs w:val="36"/>
          <w:lang w:val="en-US" w:eastAsia="zh-CN" w:bidi="ar"/>
        </w:rPr>
      </w:pPr>
      <w:r>
        <w:rPr>
          <w:rFonts w:hint="eastAsia" w:ascii="楷体" w:hAnsi="楷体" w:eastAsia="楷体" w:cs="楷体"/>
          <w:color w:val="333333"/>
          <w:kern w:val="0"/>
          <w:sz w:val="32"/>
          <w:szCs w:val="32"/>
          <w:shd w:val="clear" w:fill="FFFFFF"/>
          <w:lang w:val="en-US" w:eastAsia="zh-CN" w:bidi="ar"/>
        </w:rPr>
        <w:drawing>
          <wp:anchor distT="0" distB="0" distL="114300" distR="114300" simplePos="0" relativeHeight="251659264" behindDoc="0" locked="0" layoutInCell="1" allowOverlap="1">
            <wp:simplePos x="0" y="0"/>
            <wp:positionH relativeFrom="column">
              <wp:posOffset>263525</wp:posOffset>
            </wp:positionH>
            <wp:positionV relativeFrom="paragraph">
              <wp:posOffset>2232025</wp:posOffset>
            </wp:positionV>
            <wp:extent cx="4679315" cy="3172460"/>
            <wp:effectExtent l="0" t="0" r="6985" b="8890"/>
            <wp:wrapTopAndBottom/>
            <wp:docPr id="1" name="图片 1" descr="1643331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3331474(1)"/>
                    <pic:cNvPicPr>
                      <a:picLocks noChangeAspect="1"/>
                    </pic:cNvPicPr>
                  </pic:nvPicPr>
                  <pic:blipFill>
                    <a:blip r:embed="rId4"/>
                    <a:stretch>
                      <a:fillRect/>
                    </a:stretch>
                  </pic:blipFill>
                  <pic:spPr>
                    <a:xfrm>
                      <a:off x="0" y="0"/>
                      <a:ext cx="4679315" cy="3172460"/>
                    </a:xfrm>
                    <a:prstGeom prst="rect">
                      <a:avLst/>
                    </a:prstGeom>
                  </pic:spPr>
                </pic:pic>
              </a:graphicData>
            </a:graphic>
          </wp:anchor>
        </w:drawing>
      </w:r>
      <w:r>
        <w:rPr>
          <w:rFonts w:hint="eastAsia" w:ascii="楷体" w:hAnsi="楷体" w:eastAsia="楷体" w:cs="楷体"/>
          <w:color w:val="333333"/>
          <w:kern w:val="0"/>
          <w:sz w:val="32"/>
          <w:szCs w:val="32"/>
          <w:shd w:val="clear" w:fill="FFFFFF"/>
          <w:lang w:val="en-US" w:eastAsia="zh-CN" w:bidi="ar"/>
        </w:rPr>
        <w:t>（一）主动公开情况。</w:t>
      </w:r>
      <w:r>
        <w:rPr>
          <w:rFonts w:hint="eastAsia" w:ascii="仿宋_GB2312" w:hAnsi="仿宋_GB2312" w:eastAsia="仿宋_GB2312" w:cs="仿宋_GB2312"/>
          <w:kern w:val="0"/>
          <w:sz w:val="32"/>
          <w:szCs w:val="32"/>
          <w:lang w:val="en-US" w:eastAsia="zh-CN" w:bidi="ar"/>
        </w:rPr>
        <w:t>全年主动公开政务信息38条，主要公开内容包括：</w:t>
      </w:r>
      <w:r>
        <w:rPr>
          <w:rFonts w:hint="eastAsia" w:ascii="仿宋_GB2312" w:hAnsi="仿宋_GB2312" w:eastAsia="仿宋_GB2312" w:cs="仿宋_GB2312"/>
          <w:sz w:val="32"/>
          <w:szCs w:val="32"/>
        </w:rPr>
        <w:t>设置机构职能、组织管理、政策文件、政策解读、规划计划、</w:t>
      </w:r>
      <w:r>
        <w:rPr>
          <w:rFonts w:hint="eastAsia" w:ascii="仿宋_GB2312" w:hAnsi="仿宋_GB2312" w:eastAsia="仿宋_GB2312" w:cs="仿宋_GB2312"/>
          <w:sz w:val="32"/>
          <w:szCs w:val="32"/>
          <w:lang w:eastAsia="zh-CN"/>
        </w:rPr>
        <w:t>信息公开指南、</w:t>
      </w:r>
      <w:r>
        <w:rPr>
          <w:rFonts w:hint="eastAsia" w:ascii="仿宋_GB2312" w:hAnsi="仿宋_GB2312" w:eastAsia="仿宋_GB2312" w:cs="仿宋_GB2312"/>
          <w:sz w:val="32"/>
          <w:szCs w:val="32"/>
        </w:rPr>
        <w:t>建议提案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lang w:val="en-US" w:eastAsia="zh-CN" w:bidi="ar"/>
        </w:rPr>
        <w:t>本单位业务有关的国家法律、法规及上级的政策、规定；根据上级规定，本单位出台的政策措施；依据昌乐县2021年政府工作报告涉及我单位任务分工进度；日常业务工作等。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right="0" w:firstLine="640" w:firstLineChars="200"/>
        <w:jc w:val="both"/>
        <w:textAlignment w:val="auto"/>
      </w:pPr>
      <w:r>
        <w:rPr>
          <w:rFonts w:hint="eastAsia" w:ascii="楷体" w:hAnsi="楷体" w:eastAsia="楷体" w:cs="楷体"/>
          <w:color w:val="333333"/>
          <w:kern w:val="0"/>
          <w:sz w:val="32"/>
          <w:szCs w:val="32"/>
          <w:shd w:val="clear" w:fill="FFFFFF"/>
          <w:lang w:val="en-US" w:eastAsia="zh-CN" w:bidi="ar"/>
        </w:rPr>
        <w:t>（二）依申请公开情况。</w:t>
      </w:r>
      <w:r>
        <w:rPr>
          <w:rFonts w:hint="eastAsia" w:ascii="仿宋_GB2312" w:hAnsi="仿宋_GB2312" w:eastAsia="仿宋_GB2312" w:cs="仿宋_GB2312"/>
          <w:kern w:val="0"/>
          <w:sz w:val="32"/>
          <w:szCs w:val="32"/>
          <w:lang w:val="en-US" w:eastAsia="zh-CN" w:bidi="ar"/>
        </w:rPr>
        <w:t>全年未收到依申请公开申请。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 w:hAnsi="楷体" w:eastAsia="楷体" w:cs="楷体"/>
          <w:color w:val="333333"/>
          <w:kern w:val="0"/>
          <w:sz w:val="32"/>
          <w:szCs w:val="32"/>
          <w:shd w:val="clear" w:fill="FFFFFF"/>
          <w:lang w:val="en-US" w:eastAsia="zh-CN" w:bidi="ar"/>
        </w:rPr>
        <w:t>（三）政府信息管理情况</w:t>
      </w:r>
      <w:r>
        <w:rPr>
          <w:rFonts w:hint="eastAsia" w:ascii="仿宋" w:hAnsi="仿宋" w:eastAsia="仿宋" w:cs="仿宋"/>
          <w:color w:val="333333"/>
          <w:kern w:val="0"/>
          <w:sz w:val="32"/>
          <w:szCs w:val="32"/>
          <w:shd w:val="clear" w:fill="FFFFFF"/>
          <w:lang w:val="en-US" w:eastAsia="zh-CN" w:bidi="ar"/>
        </w:rPr>
        <w:t>。</w:t>
      </w:r>
      <w:r>
        <w:rPr>
          <w:rFonts w:hint="eastAsia" w:ascii="仿宋_GB2312" w:hAnsi="仿宋_GB2312" w:eastAsia="仿宋_GB2312" w:cs="仿宋_GB2312"/>
          <w:kern w:val="0"/>
          <w:sz w:val="32"/>
          <w:szCs w:val="32"/>
          <w:lang w:val="en-US" w:eastAsia="zh-CN" w:bidi="ar"/>
        </w:rPr>
        <w:t>一是进一步完善政府信息常态化管理机制，不断建立健全政府信息制作、公开、保密审查等制度。</w:t>
      </w:r>
      <w:r>
        <w:rPr>
          <w:rFonts w:hint="eastAsia" w:ascii="仿宋_GB2312" w:hAnsi="仿宋_GB2312" w:eastAsia="仿宋_GB2312" w:cs="仿宋_GB2312"/>
          <w:sz w:val="32"/>
          <w:szCs w:val="32"/>
        </w:rPr>
        <w:t>为确保信息公开不发生泄密事件，对拟公开事项，我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先召开领导班子会议研究，通过后再进行公开。</w:t>
      </w:r>
      <w:r>
        <w:rPr>
          <w:rFonts w:hint="eastAsia" w:ascii="仿宋_GB2312" w:hAnsi="仿宋_GB2312" w:eastAsia="仿宋_GB2312" w:cs="仿宋_GB2312"/>
          <w:kern w:val="0"/>
          <w:sz w:val="32"/>
          <w:szCs w:val="32"/>
          <w:lang w:val="en-US" w:eastAsia="zh-CN" w:bidi="ar"/>
        </w:rPr>
        <w:t>二是及时开展本部门相关业务政策措施进行解读和宣传，及时动态调整。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left="0" w:right="0" w:firstLine="640" w:firstLineChars="200"/>
        <w:jc w:val="both"/>
        <w:textAlignment w:val="auto"/>
      </w:pPr>
      <w:r>
        <w:rPr>
          <w:rFonts w:hint="eastAsia" w:ascii="楷体" w:hAnsi="楷体" w:eastAsia="楷体" w:cs="楷体"/>
          <w:color w:val="333333"/>
          <w:kern w:val="0"/>
          <w:sz w:val="32"/>
          <w:szCs w:val="32"/>
          <w:shd w:val="clear" w:fill="FFFFFF"/>
          <w:lang w:val="en-US" w:eastAsia="zh-CN" w:bidi="ar"/>
        </w:rPr>
        <w:t>（四）</w:t>
      </w:r>
      <w:r>
        <w:rPr>
          <w:rFonts w:hint="eastAsia" w:ascii="楷体_GB2312" w:hAnsi="楷体_GB2312" w:eastAsia="楷体_GB2312" w:cs="楷体_GB2312"/>
          <w:b w:val="0"/>
          <w:bCs/>
          <w:kern w:val="0"/>
          <w:sz w:val="32"/>
          <w:szCs w:val="32"/>
          <w:lang w:val="en-US" w:eastAsia="zh-CN" w:bidi="ar-SA"/>
        </w:rPr>
        <w:t>政府信息公开平台建设情况</w:t>
      </w:r>
      <w:r>
        <w:rPr>
          <w:rFonts w:hint="eastAsia" w:ascii="仿宋" w:hAnsi="仿宋" w:eastAsia="仿宋" w:cs="仿宋"/>
          <w:color w:val="333333"/>
          <w:kern w:val="0"/>
          <w:sz w:val="32"/>
          <w:szCs w:val="32"/>
          <w:shd w:val="clear" w:fill="FFFFFF"/>
          <w:lang w:val="en-US" w:eastAsia="zh-CN" w:bidi="ar"/>
        </w:rPr>
        <w:t>。</w:t>
      </w:r>
      <w:r>
        <w:rPr>
          <w:rFonts w:hint="eastAsia" w:ascii="仿宋_GB2312" w:hAnsi="仿宋_GB2312" w:eastAsia="仿宋_GB2312" w:cs="仿宋_GB2312"/>
          <w:sz w:val="32"/>
          <w:szCs w:val="32"/>
          <w:lang w:val="en-US" w:eastAsia="zh-CN"/>
        </w:rPr>
        <w:t>为了方便群众及时、准确获取政府信息，按组配分类在</w:t>
      </w:r>
      <w:r>
        <w:rPr>
          <w:rFonts w:hint="eastAsia" w:ascii="仿宋_GB2312" w:hAnsi="仿宋_GB2312" w:eastAsia="仿宋_GB2312" w:cs="仿宋_GB2312"/>
          <w:sz w:val="32"/>
          <w:szCs w:val="32"/>
        </w:rPr>
        <w:t>昌乐县政府门户网站</w:t>
      </w:r>
      <w:r>
        <w:rPr>
          <w:rFonts w:hint="eastAsia" w:ascii="仿宋_GB2312" w:hAnsi="仿宋_GB2312" w:eastAsia="仿宋_GB2312" w:cs="仿宋_GB2312"/>
          <w:kern w:val="0"/>
          <w:sz w:val="32"/>
          <w:szCs w:val="32"/>
          <w:lang w:val="en-US" w:eastAsia="zh-CN" w:bidi="ar"/>
        </w:rPr>
        <w:t>政务公开专栏等平台主动公开政府信息。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left="0" w:right="0" w:firstLine="640" w:firstLineChars="200"/>
        <w:jc w:val="both"/>
        <w:textAlignment w:val="auto"/>
      </w:pPr>
      <w:r>
        <w:rPr>
          <w:rFonts w:hint="eastAsia" w:ascii="楷体" w:hAnsi="楷体" w:eastAsia="楷体" w:cs="楷体"/>
          <w:color w:val="333333"/>
          <w:kern w:val="0"/>
          <w:sz w:val="32"/>
          <w:szCs w:val="32"/>
          <w:shd w:val="clear" w:fill="FFFFFF"/>
          <w:lang w:val="en-US" w:eastAsia="zh-CN" w:bidi="ar"/>
        </w:rPr>
        <w:t>（五）</w:t>
      </w:r>
      <w:r>
        <w:rPr>
          <w:rFonts w:hint="eastAsia" w:ascii="楷体_GB2312" w:hAnsi="楷体_GB2312" w:eastAsia="楷体_GB2312" w:cs="楷体_GB2312"/>
          <w:b w:val="0"/>
          <w:bCs/>
          <w:kern w:val="0"/>
          <w:sz w:val="32"/>
          <w:szCs w:val="32"/>
          <w:lang w:val="en-US" w:eastAsia="zh-CN" w:bidi="ar-SA"/>
        </w:rPr>
        <w:t>监督保障情况</w:t>
      </w:r>
      <w:r>
        <w:rPr>
          <w:rFonts w:hint="eastAsia" w:ascii="仿宋" w:hAnsi="仿宋" w:eastAsia="仿宋" w:cs="仿宋"/>
          <w:color w:val="333333"/>
          <w:kern w:val="0"/>
          <w:sz w:val="32"/>
          <w:szCs w:val="32"/>
          <w:shd w:val="clear" w:fill="FFFFFF"/>
          <w:lang w:val="en-US" w:eastAsia="zh-CN" w:bidi="ar"/>
        </w:rPr>
        <w:t>。</w:t>
      </w:r>
      <w:r>
        <w:rPr>
          <w:rFonts w:hint="eastAsia" w:ascii="仿宋_GB2312" w:hAnsi="仿宋_GB2312" w:eastAsia="仿宋_GB2312" w:cs="仿宋_GB2312"/>
          <w:kern w:val="0"/>
          <w:sz w:val="32"/>
          <w:szCs w:val="32"/>
          <w:lang w:val="en-US" w:eastAsia="zh-CN" w:bidi="ar"/>
        </w:rPr>
        <w:t>一是组织领导到位。我单位成立政务公开领导小组，负责推进、指导、协调、监督本单位政府信息公开和政务公开工作，承办本单位政府信息主动公开工作，受理向本单位提出的政府信息公开申请，领导小组办公室设在单位办公室，配备2名信息公开工作人员。我单位坚持把推进政府信息公开工作作为机关日常工作来抓，明确机关分管领导、承办科室、具体工作人员的责任，加强各站（科、室）配合与协助，全力做好信息公开工作，各科室及时将适合公开发布的信息报送至政务信息公开管理工作专管人员并发布，确保现代化农业信息公开规范有序开展。二是坚持落实政务公开制度。坚持“公开是原则，不公开为例外”，认真落实政务信息公开年度报告，确定岗位职责，明确投诉举报方式。</w:t>
      </w:r>
    </w:p>
    <w:p>
      <w:pPr>
        <w:pStyle w:val="5"/>
        <w:keepNext w:val="0"/>
        <w:keepLines w:val="0"/>
        <w:pageBreakBefore w:val="0"/>
        <w:kinsoku/>
        <w:wordWrap/>
        <w:overflowPunct/>
        <w:topLinePunct w:val="0"/>
        <w:autoSpaceDE/>
        <w:autoSpaceDN/>
        <w:bidi w:val="0"/>
        <w:adjustRightInd/>
        <w:snapToGrid/>
        <w:spacing w:before="63" w:beforeLines="20" w:beforeAutospacing="0" w:after="4" w:afterAutospacing="0" w:line="578" w:lineRule="exact"/>
        <w:ind w:left="0" w:leftChars="0" w:firstLine="640" w:firstLineChars="200"/>
        <w:textAlignment w:val="auto"/>
        <w:rPr>
          <w:rFonts w:hint="eastAsia" w:ascii="仿宋_GB2312" w:hAnsi="ˎ̥" w:eastAsia="仿宋_GB2312" w:cs="宋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二、主动公开政府信息情况</w:t>
      </w:r>
    </w:p>
    <w:tbl>
      <w:tblPr>
        <w:tblStyle w:val="3"/>
        <w:tblW w:w="0" w:type="auto"/>
        <w:jc w:val="center"/>
        <w:tblLayout w:type="fixed"/>
        <w:tblCellMar>
          <w:top w:w="0" w:type="dxa"/>
          <w:left w:w="0" w:type="dxa"/>
          <w:bottom w:w="0" w:type="dxa"/>
          <w:right w:w="0" w:type="dxa"/>
        </w:tblCellMar>
      </w:tblPr>
      <w:tblGrid>
        <w:gridCol w:w="3073"/>
        <w:gridCol w:w="1919"/>
        <w:gridCol w:w="1830"/>
        <w:gridCol w:w="1886"/>
      </w:tblGrid>
      <w:tr>
        <w:tblPrEx>
          <w:tblCellMar>
            <w:top w:w="0" w:type="dxa"/>
            <w:left w:w="0" w:type="dxa"/>
            <w:bottom w:w="0" w:type="dxa"/>
            <w:right w:w="0" w:type="dxa"/>
          </w:tblCellMar>
        </w:tblPrEx>
        <w:trPr>
          <w:trHeight w:val="594" w:hRule="atLeast"/>
          <w:jc w:val="center"/>
        </w:trPr>
        <w:tc>
          <w:tcPr>
            <w:tcW w:w="8708" w:type="dxa"/>
            <w:gridSpan w:val="4"/>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pPr>
            <w:r>
              <w:rPr>
                <w:rFonts w:hint="eastAsia"/>
              </w:rPr>
              <w:t>第二十条第（一）项</w:t>
            </w:r>
          </w:p>
        </w:tc>
      </w:tr>
      <w:tr>
        <w:tblPrEx>
          <w:tblCellMar>
            <w:top w:w="0" w:type="dxa"/>
            <w:left w:w="0" w:type="dxa"/>
            <w:bottom w:w="0" w:type="dxa"/>
            <w:right w:w="0" w:type="dxa"/>
          </w:tblCellMar>
        </w:tblPrEx>
        <w:trPr>
          <w:trHeight w:val="866"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r>
              <w:rPr>
                <w:rFonts w:hint="eastAsia"/>
              </w:rPr>
              <w:t>信息内容</w:t>
            </w:r>
          </w:p>
        </w:tc>
        <w:tc>
          <w:tcPr>
            <w:tcW w:w="1919" w:type="dxa"/>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rPr>
                <w:rFonts w:hint="eastAsia"/>
                <w:lang w:val="en-US" w:eastAsia="zh-CN"/>
              </w:rPr>
            </w:pPr>
            <w:r>
              <w:rPr>
                <w:rFonts w:hint="eastAsia"/>
              </w:rPr>
              <w:t>本年</w:t>
            </w:r>
            <w:r>
              <w:rPr>
                <w:rFonts w:hint="eastAsia"/>
                <w:lang w:val="en-US" w:eastAsia="zh-CN"/>
              </w:rPr>
              <w:t>制发件数</w:t>
            </w:r>
          </w:p>
        </w:tc>
        <w:tc>
          <w:tcPr>
            <w:tcW w:w="1830" w:type="dxa"/>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rPr>
                <w:rFonts w:hint="default"/>
                <w:lang w:val="en-US" w:eastAsia="zh-CN"/>
              </w:rPr>
            </w:pPr>
            <w:r>
              <w:rPr>
                <w:rFonts w:hint="eastAsia"/>
              </w:rPr>
              <w:t>本年</w:t>
            </w:r>
            <w:r>
              <w:rPr>
                <w:rFonts w:hint="eastAsia"/>
                <w:lang w:val="en-US" w:eastAsia="zh-CN"/>
              </w:rPr>
              <w:t>废止件数</w:t>
            </w:r>
          </w:p>
        </w:tc>
        <w:tc>
          <w:tcPr>
            <w:tcW w:w="1886"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lang w:val="en-US" w:eastAsia="zh-CN"/>
              </w:rPr>
            </w:pPr>
            <w:r>
              <w:rPr>
                <w:rFonts w:hint="eastAsia"/>
                <w:lang w:val="en-US" w:eastAsia="zh-CN"/>
              </w:rPr>
              <w:t>现行有效件数</w:t>
            </w:r>
          </w:p>
        </w:tc>
      </w:tr>
      <w:tr>
        <w:tblPrEx>
          <w:tblCellMar>
            <w:top w:w="0" w:type="dxa"/>
            <w:left w:w="0" w:type="dxa"/>
            <w:bottom w:w="0" w:type="dxa"/>
            <w:right w:w="0" w:type="dxa"/>
          </w:tblCellMar>
        </w:tblPrEx>
        <w:trPr>
          <w:trHeight w:val="399"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r>
              <w:rPr>
                <w:rFonts w:hint="eastAsia"/>
              </w:rPr>
              <w:t>规章</w:t>
            </w:r>
          </w:p>
        </w:tc>
        <w:tc>
          <w:tcPr>
            <w:tcW w:w="191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c>
          <w:tcPr>
            <w:tcW w:w="1830"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c>
          <w:tcPr>
            <w:tcW w:w="1886"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r>
      <w:tr>
        <w:tblPrEx>
          <w:tblCellMar>
            <w:top w:w="0" w:type="dxa"/>
            <w:left w:w="0" w:type="dxa"/>
            <w:bottom w:w="0" w:type="dxa"/>
            <w:right w:w="0" w:type="dxa"/>
          </w:tblCellMar>
        </w:tblPrEx>
        <w:trPr>
          <w:trHeight w:val="404"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r>
              <w:rPr>
                <w:rFonts w:hint="eastAsia"/>
                <w:lang w:val="en-US" w:eastAsia="zh-CN"/>
              </w:rPr>
              <w:t>行政</w:t>
            </w:r>
            <w:r>
              <w:rPr>
                <w:rFonts w:hint="eastAsia"/>
              </w:rPr>
              <w:t>规范性文件</w:t>
            </w:r>
          </w:p>
        </w:tc>
        <w:tc>
          <w:tcPr>
            <w:tcW w:w="191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c>
          <w:tcPr>
            <w:tcW w:w="1830"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c>
          <w:tcPr>
            <w:tcW w:w="1886"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r>
      <w:tr>
        <w:tblPrEx>
          <w:tblCellMar>
            <w:top w:w="0" w:type="dxa"/>
            <w:left w:w="0" w:type="dxa"/>
            <w:bottom w:w="0" w:type="dxa"/>
            <w:right w:w="0" w:type="dxa"/>
          </w:tblCellMar>
        </w:tblPrEx>
        <w:trPr>
          <w:trHeight w:val="480" w:hRule="atLeast"/>
          <w:jc w:val="center"/>
        </w:trPr>
        <w:tc>
          <w:tcPr>
            <w:tcW w:w="8708" w:type="dxa"/>
            <w:gridSpan w:val="4"/>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r>
              <w:rPr>
                <w:rFonts w:hint="eastAsia"/>
              </w:rPr>
              <w:t>第二十条第（五）项</w:t>
            </w:r>
          </w:p>
        </w:tc>
      </w:tr>
      <w:tr>
        <w:tblPrEx>
          <w:tblCellMar>
            <w:top w:w="0" w:type="dxa"/>
            <w:left w:w="0" w:type="dxa"/>
            <w:bottom w:w="0" w:type="dxa"/>
            <w:right w:w="0" w:type="dxa"/>
          </w:tblCellMar>
        </w:tblPrEx>
        <w:trPr>
          <w:trHeight w:val="516"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r>
              <w:rPr>
                <w:rFonts w:hint="eastAsia"/>
              </w:rPr>
              <w:t>信息内容</w:t>
            </w:r>
          </w:p>
        </w:tc>
        <w:tc>
          <w:tcPr>
            <w:tcW w:w="5635" w:type="dxa"/>
            <w:gridSpan w:val="3"/>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rPr>
                <w:rFonts w:hint="default"/>
                <w:lang w:val="en-US" w:eastAsia="zh-CN"/>
              </w:rPr>
            </w:pPr>
            <w:r>
              <w:rPr>
                <w:rFonts w:hint="eastAsia"/>
                <w:lang w:val="en-US" w:eastAsia="zh-CN"/>
              </w:rPr>
              <w:t>本年处理决定数量</w:t>
            </w:r>
          </w:p>
        </w:tc>
      </w:tr>
      <w:tr>
        <w:tblPrEx>
          <w:tblCellMar>
            <w:top w:w="0" w:type="dxa"/>
            <w:left w:w="0" w:type="dxa"/>
            <w:bottom w:w="0" w:type="dxa"/>
            <w:right w:w="0" w:type="dxa"/>
          </w:tblCellMar>
        </w:tblPrEx>
        <w:trPr>
          <w:trHeight w:val="455"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r>
              <w:rPr>
                <w:rFonts w:hint="eastAsia"/>
              </w:rPr>
              <w:t>行政许可</w:t>
            </w:r>
          </w:p>
        </w:tc>
        <w:tc>
          <w:tcPr>
            <w:tcW w:w="5635" w:type="dxa"/>
            <w:gridSpan w:val="3"/>
            <w:tcBorders>
              <w:top w:val="nil"/>
              <w:left w:val="nil"/>
              <w:bottom w:val="single" w:color="auto" w:sz="8" w:space="0"/>
              <w:right w:val="single" w:color="auto" w:sz="8" w:space="0"/>
            </w:tcBorders>
            <w:noWrap w:val="0"/>
            <w:tcMar>
              <w:left w:w="108" w:type="dxa"/>
              <w:right w:w="108" w:type="dxa"/>
            </w:tcMar>
            <w:vAlign w:val="center"/>
          </w:tcPr>
          <w:p>
            <w:pPr>
              <w:jc w:val="center"/>
              <w:rPr>
                <w:rFonts w:hint="default"/>
                <w:lang w:val="en-US" w:eastAsia="zh-CN"/>
              </w:rPr>
            </w:pPr>
            <w:r>
              <w:rPr>
                <w:rFonts w:hint="eastAsia"/>
                <w:lang w:val="en-US" w:eastAsia="zh-CN"/>
              </w:rPr>
              <w:t>0</w:t>
            </w:r>
          </w:p>
        </w:tc>
      </w:tr>
      <w:tr>
        <w:tblPrEx>
          <w:tblCellMar>
            <w:top w:w="0" w:type="dxa"/>
            <w:left w:w="0" w:type="dxa"/>
            <w:bottom w:w="0" w:type="dxa"/>
            <w:right w:w="0" w:type="dxa"/>
          </w:tblCellMar>
        </w:tblPrEx>
        <w:trPr>
          <w:trHeight w:val="497" w:hRule="atLeast"/>
          <w:jc w:val="center"/>
        </w:trPr>
        <w:tc>
          <w:tcPr>
            <w:tcW w:w="8708" w:type="dxa"/>
            <w:gridSpan w:val="4"/>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r>
              <w:rPr>
                <w:rFonts w:hint="eastAsia"/>
              </w:rPr>
              <w:t>第二十条第（六）项</w:t>
            </w:r>
          </w:p>
        </w:tc>
      </w:tr>
      <w:tr>
        <w:tblPrEx>
          <w:tblCellMar>
            <w:top w:w="0" w:type="dxa"/>
            <w:left w:w="0" w:type="dxa"/>
            <w:bottom w:w="0" w:type="dxa"/>
            <w:right w:w="0" w:type="dxa"/>
          </w:tblCellMar>
        </w:tblPrEx>
        <w:trPr>
          <w:trHeight w:val="547"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r>
              <w:rPr>
                <w:rFonts w:hint="eastAsia"/>
              </w:rPr>
              <w:t>信息内容</w:t>
            </w:r>
          </w:p>
        </w:tc>
        <w:tc>
          <w:tcPr>
            <w:tcW w:w="5635" w:type="dxa"/>
            <w:gridSpan w:val="3"/>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pPr>
            <w:r>
              <w:rPr>
                <w:rFonts w:hint="eastAsia"/>
                <w:lang w:val="en-US" w:eastAsia="zh-CN"/>
              </w:rPr>
              <w:t>本年处理决定数量</w:t>
            </w:r>
          </w:p>
        </w:tc>
      </w:tr>
      <w:tr>
        <w:tblPrEx>
          <w:tblCellMar>
            <w:top w:w="0" w:type="dxa"/>
            <w:left w:w="0" w:type="dxa"/>
            <w:bottom w:w="0" w:type="dxa"/>
            <w:right w:w="0" w:type="dxa"/>
          </w:tblCellMar>
        </w:tblPrEx>
        <w:trPr>
          <w:trHeight w:val="430"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r>
              <w:rPr>
                <w:rFonts w:hint="eastAsia"/>
              </w:rPr>
              <w:t>行政处罚</w:t>
            </w:r>
          </w:p>
        </w:tc>
        <w:tc>
          <w:tcPr>
            <w:tcW w:w="5635" w:type="dxa"/>
            <w:gridSpan w:val="3"/>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r>
      <w:tr>
        <w:tblPrEx>
          <w:tblCellMar>
            <w:top w:w="0" w:type="dxa"/>
            <w:left w:w="0" w:type="dxa"/>
            <w:bottom w:w="0" w:type="dxa"/>
            <w:right w:w="0" w:type="dxa"/>
          </w:tblCellMar>
        </w:tblPrEx>
        <w:trPr>
          <w:trHeight w:val="409"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r>
              <w:rPr>
                <w:rFonts w:hint="eastAsia"/>
              </w:rPr>
              <w:t>行政强制</w:t>
            </w:r>
          </w:p>
        </w:tc>
        <w:tc>
          <w:tcPr>
            <w:tcW w:w="5635" w:type="dxa"/>
            <w:gridSpan w:val="3"/>
            <w:tcBorders>
              <w:top w:val="nil"/>
              <w:left w:val="nil"/>
              <w:bottom w:val="single" w:color="auto" w:sz="8" w:space="0"/>
              <w:right w:val="single" w:color="auto" w:sz="8" w:space="0"/>
            </w:tcBorders>
            <w:noWrap w:val="0"/>
            <w:tcMar>
              <w:left w:w="108" w:type="dxa"/>
              <w:right w:w="108" w:type="dxa"/>
            </w:tcMar>
            <w:vAlign w:val="center"/>
          </w:tcPr>
          <w:p>
            <w:pPr>
              <w:jc w:val="center"/>
            </w:pPr>
            <w:r>
              <w:rPr>
                <w:rFonts w:hint="eastAsia"/>
                <w:lang w:val="en-US" w:eastAsia="zh-CN"/>
              </w:rPr>
              <w:t>0</w:t>
            </w:r>
          </w:p>
        </w:tc>
      </w:tr>
      <w:tr>
        <w:tblPrEx>
          <w:tblCellMar>
            <w:top w:w="0" w:type="dxa"/>
            <w:left w:w="0" w:type="dxa"/>
            <w:bottom w:w="0" w:type="dxa"/>
            <w:right w:w="0" w:type="dxa"/>
          </w:tblCellMar>
        </w:tblPrEx>
        <w:trPr>
          <w:trHeight w:val="474" w:hRule="atLeast"/>
          <w:jc w:val="center"/>
        </w:trPr>
        <w:tc>
          <w:tcPr>
            <w:tcW w:w="8708" w:type="dxa"/>
            <w:gridSpan w:val="4"/>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r>
              <w:rPr>
                <w:rFonts w:hint="eastAsia"/>
              </w:rPr>
              <w:t>第二十条第（八）项</w:t>
            </w:r>
          </w:p>
        </w:tc>
      </w:tr>
      <w:tr>
        <w:tblPrEx>
          <w:tblCellMar>
            <w:top w:w="0" w:type="dxa"/>
            <w:left w:w="0" w:type="dxa"/>
            <w:bottom w:w="0" w:type="dxa"/>
            <w:right w:w="0"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r>
              <w:rPr>
                <w:rFonts w:hint="eastAsia"/>
              </w:rPr>
              <w:t>信息内容</w:t>
            </w:r>
          </w:p>
        </w:tc>
        <w:tc>
          <w:tcPr>
            <w:tcW w:w="5635" w:type="dxa"/>
            <w:gridSpan w:val="3"/>
            <w:tcBorders>
              <w:top w:val="nil"/>
              <w:left w:val="nil"/>
              <w:bottom w:val="single" w:color="auto" w:sz="8" w:space="0"/>
              <w:right w:val="single" w:color="000000" w:sz="8" w:space="0"/>
            </w:tcBorders>
            <w:noWrap w:val="0"/>
            <w:tcMar>
              <w:left w:w="108" w:type="dxa"/>
              <w:right w:w="108" w:type="dxa"/>
            </w:tcMar>
            <w:vAlign w:val="center"/>
          </w:tcPr>
          <w:p>
            <w:pPr>
              <w:jc w:val="center"/>
              <w:rPr>
                <w:rFonts w:hint="eastAsia"/>
                <w:lang w:val="en-US" w:eastAsia="zh-CN"/>
              </w:rPr>
            </w:pPr>
            <w:r>
              <w:rPr>
                <w:rFonts w:hint="eastAsia"/>
                <w:lang w:val="en-US" w:eastAsia="zh-CN"/>
              </w:rPr>
              <w:t>本年收费金额（单位：万元）</w:t>
            </w:r>
          </w:p>
        </w:tc>
      </w:tr>
      <w:tr>
        <w:tblPrEx>
          <w:tblCellMar>
            <w:top w:w="0" w:type="dxa"/>
            <w:left w:w="0" w:type="dxa"/>
            <w:bottom w:w="0" w:type="dxa"/>
            <w:right w:w="0"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r>
              <w:rPr>
                <w:rFonts w:hint="eastAsia"/>
              </w:rPr>
              <w:t>行政事业性收费</w:t>
            </w:r>
          </w:p>
        </w:tc>
        <w:tc>
          <w:tcPr>
            <w:tcW w:w="5635" w:type="dxa"/>
            <w:gridSpan w:val="3"/>
            <w:tcBorders>
              <w:top w:val="nil"/>
              <w:left w:val="nil"/>
              <w:bottom w:val="single" w:color="auto" w:sz="8" w:space="0"/>
              <w:right w:val="single" w:color="000000" w:sz="8" w:space="0"/>
            </w:tcBorders>
            <w:noWrap w:val="0"/>
            <w:tcMar>
              <w:left w:w="108" w:type="dxa"/>
              <w:right w:w="108" w:type="dxa"/>
            </w:tcMar>
            <w:vAlign w:val="center"/>
          </w:tcPr>
          <w:p>
            <w:pPr>
              <w:jc w:val="center"/>
              <w:rPr>
                <w:rFonts w:hint="default"/>
                <w:lang w:val="en-US" w:eastAsia="zh-CN"/>
              </w:rPr>
            </w:pPr>
            <w:r>
              <w:rPr>
                <w:rFonts w:hint="eastAsia"/>
                <w:lang w:val="en-US" w:eastAsia="zh-CN"/>
              </w:rPr>
              <w:t>0</w:t>
            </w:r>
          </w:p>
        </w:tc>
      </w:tr>
    </w:tbl>
    <w:p>
      <w:pPr>
        <w:pStyle w:val="5"/>
        <w:keepNext w:val="0"/>
        <w:keepLines w:val="0"/>
        <w:pageBreakBefore w:val="0"/>
        <w:kinsoku/>
        <w:wordWrap/>
        <w:overflowPunct/>
        <w:topLinePunct w:val="0"/>
        <w:autoSpaceDE/>
        <w:autoSpaceDN/>
        <w:bidi w:val="0"/>
        <w:adjustRightInd/>
        <w:snapToGrid/>
        <w:spacing w:before="63" w:beforeLines="20" w:beforeAutospacing="0" w:after="4" w:afterAutospacing="0" w:line="578" w:lineRule="exact"/>
        <w:ind w:left="0" w:leftChars="0" w:firstLine="640" w:firstLineChars="200"/>
        <w:textAlignment w:val="auto"/>
        <w:rPr>
          <w:rFonts w:hint="eastAsia"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三、收到和处理政府信息公开申请情况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25"/>
        <w:gridCol w:w="1418"/>
        <w:gridCol w:w="3006"/>
        <w:gridCol w:w="679"/>
        <w:gridCol w:w="567"/>
        <w:gridCol w:w="567"/>
        <w:gridCol w:w="567"/>
        <w:gridCol w:w="567"/>
        <w:gridCol w:w="540"/>
        <w:gridCol w:w="63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3" w:hRule="atLeast"/>
          <w:jc w:val="center"/>
        </w:trPr>
        <w:tc>
          <w:tcPr>
            <w:tcW w:w="4949"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（本列数据的勾稽关系为：第一项加第二项之和，</w:t>
            </w:r>
          </w:p>
          <w:p>
            <w:pPr>
              <w:jc w:val="center"/>
            </w:pPr>
            <w:r>
              <w:rPr>
                <w:rFonts w:hint="eastAsia"/>
              </w:rPr>
              <w:t>等于第三项加第四项之和）</w:t>
            </w:r>
          </w:p>
        </w:tc>
        <w:tc>
          <w:tcPr>
            <w:tcW w:w="4122"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pPr>
            <w:r>
              <w:rPr>
                <w:rFonts w:hint="eastAsia"/>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949"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pPr>
          </w:p>
        </w:tc>
        <w:tc>
          <w:tcPr>
            <w:tcW w:w="679" w:type="dxa"/>
            <w:vMerge w:val="restart"/>
            <w:tcBorders>
              <w:top w:val="nil"/>
              <w:left w:val="nil"/>
              <w:bottom w:val="single" w:color="auto" w:sz="8" w:space="0"/>
              <w:right w:val="single" w:color="auto" w:sz="8" w:space="0"/>
            </w:tcBorders>
            <w:noWrap w:val="0"/>
            <w:tcMar>
              <w:left w:w="108" w:type="dxa"/>
              <w:right w:w="108" w:type="dxa"/>
            </w:tcMar>
            <w:vAlign w:val="center"/>
          </w:tcPr>
          <w:p>
            <w:pPr>
              <w:jc w:val="center"/>
            </w:pPr>
            <w:r>
              <w:rPr>
                <w:rFonts w:hint="eastAsia"/>
              </w:rPr>
              <w:t>自然人</w:t>
            </w:r>
          </w:p>
        </w:tc>
        <w:tc>
          <w:tcPr>
            <w:tcW w:w="2808"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pPr>
            <w:r>
              <w:rPr>
                <w:rFonts w:hint="eastAsia"/>
              </w:rPr>
              <w:t>法人或其他组织</w:t>
            </w:r>
          </w:p>
        </w:tc>
        <w:tc>
          <w:tcPr>
            <w:tcW w:w="635"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pPr>
            <w:r>
              <w:rPr>
                <w:rFonts w:hint="eastAsia"/>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7" w:hRule="atLeast"/>
          <w:jc w:val="center"/>
        </w:trPr>
        <w:tc>
          <w:tcPr>
            <w:tcW w:w="4949"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pPr>
          </w:p>
        </w:tc>
        <w:tc>
          <w:tcPr>
            <w:tcW w:w="679" w:type="dxa"/>
            <w:vMerge w:val="continue"/>
            <w:tcBorders>
              <w:top w:val="nil"/>
              <w:left w:val="nil"/>
              <w:bottom w:val="single" w:color="auto" w:sz="8" w:space="0"/>
              <w:right w:val="single" w:color="auto" w:sz="8" w:space="0"/>
            </w:tcBorders>
            <w:noWrap w:val="0"/>
            <w:tcMar>
              <w:left w:w="108" w:type="dxa"/>
              <w:right w:w="108" w:type="dxa"/>
            </w:tcMar>
            <w:vAlign w:val="center"/>
          </w:tcPr>
          <w:p>
            <w:pPr>
              <w:jc w:val="center"/>
            </w:pP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pPr>
            <w:r>
              <w:rPr>
                <w:rFonts w:hint="eastAsia"/>
              </w:rPr>
              <w:t>商业企业</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pPr>
            <w:r>
              <w:rPr>
                <w:rFonts w:hint="eastAsia"/>
              </w:rPr>
              <w:t>科研机构</w:t>
            </w:r>
          </w:p>
        </w:tc>
        <w:tc>
          <w:tcPr>
            <w:tcW w:w="567" w:type="dxa"/>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pPr>
            <w:r>
              <w:rPr>
                <w:rFonts w:hint="eastAsia"/>
              </w:rPr>
              <w:t>社会公益组织</w:t>
            </w:r>
          </w:p>
        </w:tc>
        <w:tc>
          <w:tcPr>
            <w:tcW w:w="567" w:type="dxa"/>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pPr>
            <w:r>
              <w:rPr>
                <w:rFonts w:hint="eastAsia"/>
              </w:rPr>
              <w:t>法律服务机构</w:t>
            </w:r>
          </w:p>
        </w:tc>
        <w:tc>
          <w:tcPr>
            <w:tcW w:w="540" w:type="dxa"/>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pPr>
            <w:r>
              <w:rPr>
                <w:rFonts w:hint="eastAsia"/>
              </w:rPr>
              <w:t>其他</w:t>
            </w:r>
          </w:p>
        </w:tc>
        <w:tc>
          <w:tcPr>
            <w:tcW w:w="635"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9"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r>
              <w:rPr>
                <w:rFonts w:hint="eastAsia"/>
              </w:rPr>
              <w:t>一、本年新收政府信息公开申请数量</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9"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r>
              <w:rPr>
                <w:rFonts w:hint="eastAsia"/>
              </w:rPr>
              <w:t>二、上年结转政府信息公开申请数量</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r>
              <w:rPr>
                <w:rFonts w:hint="eastAsia"/>
              </w:rPr>
              <w:t>三、本年度办理结果</w:t>
            </w:r>
          </w:p>
        </w:tc>
        <w:tc>
          <w:tcPr>
            <w:tcW w:w="4424" w:type="dxa"/>
            <w:gridSpan w:val="2"/>
            <w:tcBorders>
              <w:top w:val="nil"/>
              <w:left w:val="nil"/>
              <w:bottom w:val="single" w:color="auto" w:sz="8" w:space="0"/>
              <w:right w:val="single" w:color="auto" w:sz="8" w:space="0"/>
            </w:tcBorders>
            <w:noWrap w:val="0"/>
            <w:tcMar>
              <w:left w:w="108" w:type="dxa"/>
              <w:right w:w="108" w:type="dxa"/>
            </w:tcMar>
            <w:vAlign w:val="center"/>
          </w:tcPr>
          <w:p>
            <w:pPr>
              <w:jc w:val="center"/>
            </w:pPr>
            <w:r>
              <w:t>（一）予以公开</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635" w:type="dxa"/>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p>
        </w:tc>
        <w:tc>
          <w:tcPr>
            <w:tcW w:w="4424" w:type="dxa"/>
            <w:gridSpan w:val="2"/>
            <w:tcBorders>
              <w:top w:val="nil"/>
              <w:left w:val="nil"/>
              <w:bottom w:val="single" w:color="auto" w:sz="8" w:space="0"/>
              <w:right w:val="single" w:color="auto" w:sz="8" w:space="0"/>
            </w:tcBorders>
            <w:noWrap w:val="0"/>
            <w:tcMar>
              <w:left w:w="108" w:type="dxa"/>
              <w:right w:w="108" w:type="dxa"/>
            </w:tcMar>
            <w:vAlign w:val="center"/>
          </w:tcPr>
          <w:p>
            <w:pPr>
              <w:jc w:val="center"/>
            </w:pPr>
            <w:r>
              <w:rPr>
                <w:rFonts w:hint="eastAsia"/>
              </w:rPr>
              <w:t>（二）部分公开（区分处理的，只计这一情形，不计其他情形）</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p>
        </w:tc>
        <w:tc>
          <w:tcPr>
            <w:tcW w:w="1418" w:type="dxa"/>
            <w:vMerge w:val="restart"/>
            <w:tcBorders>
              <w:top w:val="nil"/>
              <w:left w:val="nil"/>
              <w:bottom w:val="single" w:color="auto" w:sz="8" w:space="0"/>
              <w:right w:val="single" w:color="auto" w:sz="8" w:space="0"/>
            </w:tcBorders>
            <w:noWrap w:val="0"/>
            <w:tcMar>
              <w:left w:w="108" w:type="dxa"/>
              <w:right w:w="108" w:type="dxa"/>
            </w:tcMar>
            <w:vAlign w:val="center"/>
          </w:tcPr>
          <w:p>
            <w:pPr>
              <w:jc w:val="center"/>
            </w:pPr>
            <w:r>
              <w:rPr>
                <w:rFonts w:hint="eastAsia"/>
              </w:rPr>
              <w:t>（三）不予公开</w:t>
            </w:r>
          </w:p>
        </w:tc>
        <w:tc>
          <w:tcPr>
            <w:tcW w:w="3006" w:type="dxa"/>
            <w:tcBorders>
              <w:top w:val="nil"/>
              <w:left w:val="nil"/>
              <w:bottom w:val="single" w:color="auto" w:sz="8" w:space="0"/>
              <w:right w:val="single" w:color="auto" w:sz="8" w:space="0"/>
            </w:tcBorders>
            <w:noWrap w:val="0"/>
            <w:tcMar>
              <w:left w:w="108" w:type="dxa"/>
              <w:right w:w="108" w:type="dxa"/>
            </w:tcMar>
            <w:vAlign w:val="center"/>
          </w:tcPr>
          <w:p>
            <w:pPr>
              <w:jc w:val="left"/>
            </w:pPr>
            <w:r>
              <w:rPr>
                <w:rFonts w:hint="eastAsia"/>
              </w:rPr>
              <w:t>1.属于国家秘密</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635" w:type="dxa"/>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jc w:val="center"/>
            </w:pPr>
          </w:p>
        </w:tc>
        <w:tc>
          <w:tcPr>
            <w:tcW w:w="3006" w:type="dxa"/>
            <w:tcBorders>
              <w:top w:val="nil"/>
              <w:left w:val="nil"/>
              <w:bottom w:val="single" w:color="auto" w:sz="8" w:space="0"/>
              <w:right w:val="single" w:color="auto" w:sz="8" w:space="0"/>
            </w:tcBorders>
            <w:noWrap w:val="0"/>
            <w:tcMar>
              <w:left w:w="108" w:type="dxa"/>
              <w:right w:w="108" w:type="dxa"/>
            </w:tcMar>
            <w:vAlign w:val="center"/>
          </w:tcPr>
          <w:p>
            <w:pPr>
              <w:jc w:val="left"/>
            </w:pPr>
            <w:r>
              <w:rPr>
                <w:rFonts w:hint="eastAsia"/>
              </w:rPr>
              <w:t>2.其他法律行政法规禁止公开</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jc w:val="center"/>
            </w:pPr>
          </w:p>
        </w:tc>
        <w:tc>
          <w:tcPr>
            <w:tcW w:w="3006" w:type="dxa"/>
            <w:tcBorders>
              <w:top w:val="nil"/>
              <w:left w:val="nil"/>
              <w:bottom w:val="single" w:color="auto" w:sz="8" w:space="0"/>
              <w:right w:val="single" w:color="auto" w:sz="8" w:space="0"/>
            </w:tcBorders>
            <w:noWrap w:val="0"/>
            <w:tcMar>
              <w:left w:w="108" w:type="dxa"/>
              <w:right w:w="108" w:type="dxa"/>
            </w:tcMar>
            <w:vAlign w:val="center"/>
          </w:tcPr>
          <w:p>
            <w:pPr>
              <w:jc w:val="left"/>
            </w:pPr>
            <w:r>
              <w:rPr>
                <w:rFonts w:hint="eastAsia"/>
              </w:rPr>
              <w:t>3.危及“三安全一稳定”</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jc w:val="center"/>
            </w:pPr>
          </w:p>
        </w:tc>
        <w:tc>
          <w:tcPr>
            <w:tcW w:w="3006" w:type="dxa"/>
            <w:tcBorders>
              <w:top w:val="nil"/>
              <w:left w:val="nil"/>
              <w:bottom w:val="single" w:color="auto" w:sz="8" w:space="0"/>
              <w:right w:val="single" w:color="auto" w:sz="8" w:space="0"/>
            </w:tcBorders>
            <w:noWrap w:val="0"/>
            <w:tcMar>
              <w:left w:w="108" w:type="dxa"/>
              <w:right w:w="108" w:type="dxa"/>
            </w:tcMar>
            <w:vAlign w:val="center"/>
          </w:tcPr>
          <w:p>
            <w:pPr>
              <w:jc w:val="left"/>
            </w:pPr>
            <w:r>
              <w:rPr>
                <w:rFonts w:hint="eastAsia"/>
              </w:rPr>
              <w:t>4.保护第三方合法权益</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jc w:val="center"/>
            </w:pPr>
          </w:p>
        </w:tc>
        <w:tc>
          <w:tcPr>
            <w:tcW w:w="3006" w:type="dxa"/>
            <w:tcBorders>
              <w:top w:val="nil"/>
              <w:left w:val="nil"/>
              <w:bottom w:val="single" w:color="auto" w:sz="8" w:space="0"/>
              <w:right w:val="single" w:color="auto" w:sz="8" w:space="0"/>
            </w:tcBorders>
            <w:noWrap w:val="0"/>
            <w:tcMar>
              <w:left w:w="108" w:type="dxa"/>
              <w:right w:w="108" w:type="dxa"/>
            </w:tcMar>
            <w:vAlign w:val="center"/>
          </w:tcPr>
          <w:p>
            <w:pPr>
              <w:jc w:val="left"/>
            </w:pPr>
            <w:r>
              <w:rPr>
                <w:rFonts w:hint="eastAsia"/>
              </w:rPr>
              <w:t>5.属于三类内部事务信息</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jc w:val="center"/>
            </w:pPr>
          </w:p>
        </w:tc>
        <w:tc>
          <w:tcPr>
            <w:tcW w:w="3006" w:type="dxa"/>
            <w:tcBorders>
              <w:top w:val="nil"/>
              <w:left w:val="nil"/>
              <w:bottom w:val="single" w:color="auto" w:sz="8" w:space="0"/>
              <w:right w:val="single" w:color="auto" w:sz="8" w:space="0"/>
            </w:tcBorders>
            <w:noWrap w:val="0"/>
            <w:tcMar>
              <w:left w:w="108" w:type="dxa"/>
              <w:right w:w="108" w:type="dxa"/>
            </w:tcMar>
            <w:vAlign w:val="center"/>
          </w:tcPr>
          <w:p>
            <w:pPr>
              <w:jc w:val="left"/>
            </w:pPr>
            <w:r>
              <w:rPr>
                <w:rFonts w:hint="eastAsia"/>
              </w:rPr>
              <w:t>6.属于四类过程性信息</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jc w:val="center"/>
            </w:pPr>
          </w:p>
        </w:tc>
        <w:tc>
          <w:tcPr>
            <w:tcW w:w="3006" w:type="dxa"/>
            <w:tcBorders>
              <w:top w:val="nil"/>
              <w:left w:val="nil"/>
              <w:bottom w:val="single" w:color="auto" w:sz="8" w:space="0"/>
              <w:right w:val="single" w:color="auto" w:sz="8" w:space="0"/>
            </w:tcBorders>
            <w:noWrap w:val="0"/>
            <w:tcMar>
              <w:left w:w="108" w:type="dxa"/>
              <w:right w:w="108" w:type="dxa"/>
            </w:tcMar>
            <w:vAlign w:val="center"/>
          </w:tcPr>
          <w:p>
            <w:pPr>
              <w:jc w:val="left"/>
            </w:pPr>
            <w:r>
              <w:rPr>
                <w:rFonts w:hint="eastAsia"/>
              </w:rPr>
              <w:t>7.属于行政执法案卷</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jc w:val="center"/>
            </w:pPr>
          </w:p>
        </w:tc>
        <w:tc>
          <w:tcPr>
            <w:tcW w:w="3006" w:type="dxa"/>
            <w:tcBorders>
              <w:top w:val="nil"/>
              <w:left w:val="nil"/>
              <w:bottom w:val="single" w:color="auto" w:sz="8" w:space="0"/>
              <w:right w:val="single" w:color="auto" w:sz="8" w:space="0"/>
            </w:tcBorders>
            <w:noWrap w:val="0"/>
            <w:tcMar>
              <w:left w:w="108" w:type="dxa"/>
              <w:right w:w="108" w:type="dxa"/>
            </w:tcMar>
            <w:vAlign w:val="center"/>
          </w:tcPr>
          <w:p>
            <w:pPr>
              <w:jc w:val="left"/>
            </w:pPr>
            <w:r>
              <w:rPr>
                <w:rFonts w:hint="eastAsia"/>
              </w:rPr>
              <w:t>8.属于行政查询事项</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p>
        </w:tc>
        <w:tc>
          <w:tcPr>
            <w:tcW w:w="1418" w:type="dxa"/>
            <w:vMerge w:val="restart"/>
            <w:tcBorders>
              <w:top w:val="nil"/>
              <w:left w:val="nil"/>
              <w:bottom w:val="single" w:color="auto" w:sz="8" w:space="0"/>
              <w:right w:val="single" w:color="auto" w:sz="8" w:space="0"/>
            </w:tcBorders>
            <w:noWrap w:val="0"/>
            <w:tcMar>
              <w:left w:w="108" w:type="dxa"/>
              <w:right w:w="108" w:type="dxa"/>
            </w:tcMar>
            <w:vAlign w:val="center"/>
          </w:tcPr>
          <w:p>
            <w:pPr>
              <w:jc w:val="center"/>
            </w:pPr>
            <w:r>
              <w:rPr>
                <w:rFonts w:hint="eastAsia"/>
              </w:rPr>
              <w:t>（四）无法提供</w:t>
            </w:r>
          </w:p>
        </w:tc>
        <w:tc>
          <w:tcPr>
            <w:tcW w:w="3006" w:type="dxa"/>
            <w:tcBorders>
              <w:top w:val="nil"/>
              <w:left w:val="nil"/>
              <w:bottom w:val="single" w:color="auto" w:sz="8" w:space="0"/>
              <w:right w:val="single" w:color="auto" w:sz="8" w:space="0"/>
            </w:tcBorders>
            <w:noWrap w:val="0"/>
            <w:tcMar>
              <w:left w:w="108" w:type="dxa"/>
              <w:right w:w="108" w:type="dxa"/>
            </w:tcMar>
            <w:vAlign w:val="center"/>
          </w:tcPr>
          <w:p>
            <w:pPr>
              <w:jc w:val="left"/>
            </w:pPr>
            <w:r>
              <w:rPr>
                <w:rFonts w:hint="eastAsia"/>
              </w:rPr>
              <w:t>1.本机关不掌握相关政府信息</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lang w:eastAsia="zh-CN"/>
              </w:rPr>
            </w:pPr>
            <w:r>
              <w:rPr>
                <w:rFonts w:hint="eastAsia"/>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jc w:val="center"/>
            </w:pPr>
          </w:p>
        </w:tc>
        <w:tc>
          <w:tcPr>
            <w:tcW w:w="3006" w:type="dxa"/>
            <w:tcBorders>
              <w:top w:val="nil"/>
              <w:left w:val="nil"/>
              <w:bottom w:val="single" w:color="auto" w:sz="8" w:space="0"/>
              <w:right w:val="single" w:color="auto" w:sz="8" w:space="0"/>
            </w:tcBorders>
            <w:noWrap w:val="0"/>
            <w:tcMar>
              <w:left w:w="108" w:type="dxa"/>
              <w:right w:w="108" w:type="dxa"/>
            </w:tcMar>
            <w:vAlign w:val="center"/>
          </w:tcPr>
          <w:p>
            <w:pPr>
              <w:jc w:val="left"/>
            </w:pPr>
            <w:r>
              <w:rPr>
                <w:rFonts w:hint="eastAsia"/>
              </w:rPr>
              <w:t>2.没有现成信息需要另行制作</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jc w:val="center"/>
            </w:pPr>
          </w:p>
        </w:tc>
        <w:tc>
          <w:tcPr>
            <w:tcW w:w="3006" w:type="dxa"/>
            <w:tcBorders>
              <w:top w:val="nil"/>
              <w:left w:val="nil"/>
              <w:bottom w:val="single" w:color="auto" w:sz="8" w:space="0"/>
              <w:right w:val="single" w:color="auto" w:sz="8" w:space="0"/>
            </w:tcBorders>
            <w:noWrap w:val="0"/>
            <w:tcMar>
              <w:left w:w="108" w:type="dxa"/>
              <w:right w:w="108" w:type="dxa"/>
            </w:tcMar>
            <w:vAlign w:val="center"/>
          </w:tcPr>
          <w:p>
            <w:pPr>
              <w:jc w:val="left"/>
            </w:pPr>
            <w:r>
              <w:rPr>
                <w:rFonts w:hint="eastAsia"/>
              </w:rPr>
              <w:t>3.补正后申请内容仍不明确</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p>
        </w:tc>
        <w:tc>
          <w:tcPr>
            <w:tcW w:w="1418" w:type="dxa"/>
            <w:vMerge w:val="restart"/>
            <w:tcBorders>
              <w:top w:val="nil"/>
              <w:left w:val="nil"/>
              <w:bottom w:val="single" w:color="auto" w:sz="8" w:space="0"/>
              <w:right w:val="single" w:color="auto" w:sz="8" w:space="0"/>
            </w:tcBorders>
            <w:noWrap w:val="0"/>
            <w:tcMar>
              <w:left w:w="108" w:type="dxa"/>
              <w:right w:w="108" w:type="dxa"/>
            </w:tcMar>
            <w:vAlign w:val="center"/>
          </w:tcPr>
          <w:p>
            <w:pPr>
              <w:jc w:val="center"/>
            </w:pPr>
            <w:r>
              <w:rPr>
                <w:rFonts w:hint="eastAsia"/>
              </w:rPr>
              <w:t>（五）不予处理</w:t>
            </w:r>
          </w:p>
        </w:tc>
        <w:tc>
          <w:tcPr>
            <w:tcW w:w="3006" w:type="dxa"/>
            <w:tcBorders>
              <w:top w:val="nil"/>
              <w:left w:val="nil"/>
              <w:bottom w:val="single" w:color="auto" w:sz="8" w:space="0"/>
              <w:right w:val="single" w:color="auto" w:sz="8" w:space="0"/>
            </w:tcBorders>
            <w:noWrap w:val="0"/>
            <w:tcMar>
              <w:left w:w="108" w:type="dxa"/>
              <w:right w:w="108" w:type="dxa"/>
            </w:tcMar>
            <w:vAlign w:val="center"/>
          </w:tcPr>
          <w:p>
            <w:pPr>
              <w:jc w:val="left"/>
            </w:pPr>
            <w:r>
              <w:rPr>
                <w:rFonts w:hint="eastAsia"/>
              </w:rPr>
              <w:t>1.信访举报投诉类申请</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jc w:val="center"/>
            </w:pPr>
          </w:p>
        </w:tc>
        <w:tc>
          <w:tcPr>
            <w:tcW w:w="3006" w:type="dxa"/>
            <w:tcBorders>
              <w:top w:val="nil"/>
              <w:left w:val="nil"/>
              <w:bottom w:val="single" w:color="auto" w:sz="8" w:space="0"/>
              <w:right w:val="single" w:color="auto" w:sz="8" w:space="0"/>
            </w:tcBorders>
            <w:noWrap w:val="0"/>
            <w:tcMar>
              <w:left w:w="108" w:type="dxa"/>
              <w:right w:w="108" w:type="dxa"/>
            </w:tcMar>
            <w:vAlign w:val="center"/>
          </w:tcPr>
          <w:p>
            <w:pPr>
              <w:jc w:val="left"/>
            </w:pPr>
            <w:r>
              <w:rPr>
                <w:rFonts w:hint="eastAsia"/>
              </w:rPr>
              <w:t>2.重复申请</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jc w:val="center"/>
            </w:pPr>
          </w:p>
        </w:tc>
        <w:tc>
          <w:tcPr>
            <w:tcW w:w="3006" w:type="dxa"/>
            <w:tcBorders>
              <w:top w:val="nil"/>
              <w:left w:val="nil"/>
              <w:bottom w:val="single" w:color="auto" w:sz="8" w:space="0"/>
              <w:right w:val="single" w:color="auto" w:sz="8" w:space="0"/>
            </w:tcBorders>
            <w:noWrap w:val="0"/>
            <w:tcMar>
              <w:left w:w="108" w:type="dxa"/>
              <w:right w:w="108" w:type="dxa"/>
            </w:tcMar>
            <w:vAlign w:val="center"/>
          </w:tcPr>
          <w:p>
            <w:pPr>
              <w:jc w:val="left"/>
            </w:pPr>
            <w:r>
              <w:rPr>
                <w:rFonts w:hint="eastAsia"/>
              </w:rPr>
              <w:t>3.要求提供公开出版物</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jc w:val="center"/>
            </w:pPr>
          </w:p>
        </w:tc>
        <w:tc>
          <w:tcPr>
            <w:tcW w:w="3006" w:type="dxa"/>
            <w:tcBorders>
              <w:top w:val="nil"/>
              <w:left w:val="nil"/>
              <w:bottom w:val="single" w:color="auto" w:sz="8" w:space="0"/>
              <w:right w:val="single" w:color="auto" w:sz="8" w:space="0"/>
            </w:tcBorders>
            <w:noWrap w:val="0"/>
            <w:tcMar>
              <w:left w:w="108" w:type="dxa"/>
              <w:right w:w="108" w:type="dxa"/>
            </w:tcMar>
            <w:vAlign w:val="center"/>
          </w:tcPr>
          <w:p>
            <w:pPr>
              <w:jc w:val="left"/>
            </w:pPr>
            <w:r>
              <w:rPr>
                <w:rFonts w:hint="eastAsia"/>
              </w:rPr>
              <w:t>4.无正当理由大量反复申请</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jc w:val="center"/>
            </w:pPr>
          </w:p>
        </w:tc>
        <w:tc>
          <w:tcPr>
            <w:tcW w:w="3006" w:type="dxa"/>
            <w:tcBorders>
              <w:top w:val="nil"/>
              <w:left w:val="nil"/>
              <w:bottom w:val="single" w:color="auto" w:sz="8" w:space="0"/>
              <w:right w:val="single" w:color="auto" w:sz="8" w:space="0"/>
            </w:tcBorders>
            <w:noWrap w:val="0"/>
            <w:tcMar>
              <w:left w:w="108" w:type="dxa"/>
              <w:right w:w="108" w:type="dxa"/>
            </w:tcMar>
            <w:vAlign w:val="center"/>
          </w:tcPr>
          <w:p>
            <w:pPr>
              <w:jc w:val="left"/>
              <w:rPr>
                <w:rFonts w:hint="eastAsia"/>
              </w:rPr>
            </w:pPr>
            <w:r>
              <w:rPr>
                <w:rFonts w:hint="eastAsia"/>
              </w:rPr>
              <w:t>5.要求行政机关确认或重新</w:t>
            </w:r>
          </w:p>
          <w:p>
            <w:pPr>
              <w:jc w:val="left"/>
            </w:pPr>
            <w:r>
              <w:rPr>
                <w:rFonts w:hint="eastAsia"/>
              </w:rPr>
              <w:t>出具已获取信息</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p>
        </w:tc>
        <w:tc>
          <w:tcPr>
            <w:tcW w:w="1418" w:type="dxa"/>
            <w:vMerge w:val="restart"/>
            <w:tcBorders>
              <w:top w:val="nil"/>
              <w:left w:val="nil"/>
              <w:right w:val="single" w:color="auto" w:sz="8" w:space="0"/>
            </w:tcBorders>
            <w:noWrap w:val="0"/>
            <w:tcMar>
              <w:left w:w="108" w:type="dxa"/>
              <w:right w:w="108" w:type="dxa"/>
            </w:tcMar>
            <w:vAlign w:val="center"/>
          </w:tcPr>
          <w:p>
            <w:pPr>
              <w:jc w:val="center"/>
            </w:pPr>
            <w:r>
              <w:rPr>
                <w:rFonts w:hint="eastAsia"/>
              </w:rPr>
              <w:t>（六）其他处理</w:t>
            </w:r>
          </w:p>
        </w:tc>
        <w:tc>
          <w:tcPr>
            <w:tcW w:w="3006" w:type="dxa"/>
            <w:tcBorders>
              <w:top w:val="nil"/>
              <w:left w:val="nil"/>
              <w:bottom w:val="single" w:color="auto" w:sz="8" w:space="0"/>
              <w:right w:val="single" w:color="auto" w:sz="8" w:space="0"/>
            </w:tcBorders>
            <w:noWrap w:val="0"/>
            <w:tcMar>
              <w:left w:w="108" w:type="dxa"/>
              <w:right w:w="108" w:type="dxa"/>
            </w:tcMar>
            <w:vAlign w:val="center"/>
          </w:tcPr>
          <w:p>
            <w:pPr>
              <w:jc w:val="left"/>
              <w:rPr>
                <w:rFonts w:hint="eastAsia"/>
              </w:rPr>
            </w:pPr>
            <w:r>
              <w:rPr>
                <w:rFonts w:hint="eastAsia"/>
              </w:rPr>
              <w:t>1.申请人无正当理由逾期不补正、行政机关不再处理其政府信息公开申请</w:t>
            </w:r>
          </w:p>
        </w:tc>
        <w:tc>
          <w:tcPr>
            <w:tcW w:w="679" w:type="dxa"/>
            <w:tcBorders>
              <w:top w:val="nil"/>
              <w:left w:val="nil"/>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right w:val="single" w:color="auto" w:sz="8" w:space="0"/>
            </w:tcBorders>
            <w:noWrap w:val="0"/>
            <w:tcMar>
              <w:left w:w="108" w:type="dxa"/>
              <w:right w:w="108" w:type="dxa"/>
            </w:tcMar>
            <w:vAlign w:val="center"/>
          </w:tcPr>
          <w:p>
            <w:pPr>
              <w:jc w:val="center"/>
              <w:rPr>
                <w:rFonts w:hint="eastAsia"/>
              </w:rPr>
            </w:pPr>
            <w:r>
              <w:rPr>
                <w:rFonts w:hint="eastAsia"/>
              </w:rPr>
              <w:t>0</w:t>
            </w:r>
          </w:p>
        </w:tc>
        <w:tc>
          <w:tcPr>
            <w:tcW w:w="540" w:type="dxa"/>
            <w:tcBorders>
              <w:top w:val="nil"/>
              <w:left w:val="nil"/>
              <w:right w:val="single" w:color="auto" w:sz="8" w:space="0"/>
            </w:tcBorders>
            <w:noWrap w:val="0"/>
            <w:tcMar>
              <w:left w:w="108" w:type="dxa"/>
              <w:right w:w="108" w:type="dxa"/>
            </w:tcMar>
            <w:vAlign w:val="center"/>
          </w:tcPr>
          <w:p>
            <w:pPr>
              <w:jc w:val="center"/>
              <w:rPr>
                <w:rFonts w:hint="eastAsia"/>
              </w:rPr>
            </w:pPr>
            <w:r>
              <w:rPr>
                <w:rFonts w:hint="eastAsia"/>
              </w:rPr>
              <w:t>0</w:t>
            </w:r>
          </w:p>
        </w:tc>
        <w:tc>
          <w:tcPr>
            <w:tcW w:w="635" w:type="dxa"/>
            <w:tcBorders>
              <w:top w:val="nil"/>
              <w:left w:val="nil"/>
              <w:right w:val="single" w:color="auto" w:sz="8" w:space="0"/>
            </w:tcBorders>
            <w:noWrap w:val="0"/>
            <w:tcMar>
              <w:left w:w="108" w:type="dxa"/>
              <w:right w:w="108" w:type="dxa"/>
            </w:tcMar>
            <w:vAlign w:val="center"/>
          </w:tcPr>
          <w:p>
            <w:pPr>
              <w:jc w:val="center"/>
              <w:rPr>
                <w:rFonts w:hint="eastAsia"/>
              </w:rP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p>
        </w:tc>
        <w:tc>
          <w:tcPr>
            <w:tcW w:w="1418" w:type="dxa"/>
            <w:vMerge w:val="continue"/>
            <w:tcBorders>
              <w:left w:val="nil"/>
              <w:right w:val="single" w:color="auto" w:sz="8" w:space="0"/>
            </w:tcBorders>
            <w:noWrap w:val="0"/>
            <w:tcMar>
              <w:left w:w="108" w:type="dxa"/>
              <w:right w:w="108" w:type="dxa"/>
            </w:tcMar>
            <w:vAlign w:val="center"/>
          </w:tcPr>
          <w:p>
            <w:pPr>
              <w:jc w:val="center"/>
            </w:pPr>
          </w:p>
        </w:tc>
        <w:tc>
          <w:tcPr>
            <w:tcW w:w="3006" w:type="dxa"/>
            <w:tcBorders>
              <w:top w:val="nil"/>
              <w:left w:val="nil"/>
              <w:bottom w:val="single" w:color="auto" w:sz="8" w:space="0"/>
              <w:right w:val="single" w:color="auto" w:sz="8" w:space="0"/>
            </w:tcBorders>
            <w:noWrap w:val="0"/>
            <w:tcMar>
              <w:left w:w="108" w:type="dxa"/>
              <w:right w:w="108" w:type="dxa"/>
            </w:tcMar>
            <w:vAlign w:val="center"/>
          </w:tcPr>
          <w:p>
            <w:pPr>
              <w:jc w:val="left"/>
              <w:rPr>
                <w:rFonts w:hint="eastAsia"/>
              </w:rPr>
            </w:pPr>
            <w:r>
              <w:rPr>
                <w:rFonts w:hint="eastAsia"/>
              </w:rPr>
              <w:t>2.申请人逾期未按收费通知要求缴纳费用、行政机关不再处理其政府信息公开申请</w:t>
            </w:r>
          </w:p>
        </w:tc>
        <w:tc>
          <w:tcPr>
            <w:tcW w:w="679" w:type="dxa"/>
            <w:tcBorders>
              <w:left w:val="nil"/>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c>
          <w:tcPr>
            <w:tcW w:w="567" w:type="dxa"/>
            <w:tcBorders>
              <w:left w:val="nil"/>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c>
          <w:tcPr>
            <w:tcW w:w="567" w:type="dxa"/>
            <w:tcBorders>
              <w:left w:val="nil"/>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c>
          <w:tcPr>
            <w:tcW w:w="567" w:type="dxa"/>
            <w:tcBorders>
              <w:left w:val="nil"/>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c>
          <w:tcPr>
            <w:tcW w:w="567" w:type="dxa"/>
            <w:tcBorders>
              <w:left w:val="nil"/>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c>
          <w:tcPr>
            <w:tcW w:w="540" w:type="dxa"/>
            <w:tcBorders>
              <w:left w:val="nil"/>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c>
          <w:tcPr>
            <w:tcW w:w="635" w:type="dxa"/>
            <w:tcBorders>
              <w:left w:val="nil"/>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525" w:type="dxa"/>
            <w:vMerge w:val="continue"/>
            <w:tcBorders>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rPr>
            </w:pPr>
          </w:p>
        </w:tc>
        <w:tc>
          <w:tcPr>
            <w:tcW w:w="1418" w:type="dxa"/>
            <w:vMerge w:val="continue"/>
            <w:tcBorders>
              <w:left w:val="nil"/>
              <w:bottom w:val="single" w:color="auto" w:sz="8" w:space="0"/>
              <w:right w:val="single" w:color="auto" w:sz="8" w:space="0"/>
            </w:tcBorders>
            <w:noWrap w:val="0"/>
            <w:tcMar>
              <w:left w:w="108" w:type="dxa"/>
              <w:right w:w="108" w:type="dxa"/>
            </w:tcMar>
            <w:vAlign w:val="center"/>
          </w:tcPr>
          <w:p>
            <w:pPr>
              <w:jc w:val="center"/>
              <w:rPr>
                <w:rFonts w:hint="eastAsia"/>
              </w:rPr>
            </w:pPr>
          </w:p>
        </w:tc>
        <w:tc>
          <w:tcPr>
            <w:tcW w:w="3006" w:type="dxa"/>
            <w:tcBorders>
              <w:top w:val="nil"/>
              <w:left w:val="nil"/>
              <w:bottom w:val="single" w:color="auto" w:sz="8" w:space="0"/>
              <w:right w:val="single" w:color="auto" w:sz="8" w:space="0"/>
            </w:tcBorders>
            <w:noWrap w:val="0"/>
            <w:tcMar>
              <w:left w:w="108" w:type="dxa"/>
              <w:right w:w="108" w:type="dxa"/>
            </w:tcMar>
            <w:vAlign w:val="center"/>
          </w:tcPr>
          <w:p>
            <w:pPr>
              <w:jc w:val="left"/>
              <w:rPr>
                <w:rFonts w:hint="eastAsia"/>
              </w:rPr>
            </w:pPr>
            <w:r>
              <w:rPr>
                <w:rFonts w:hint="eastAsia"/>
              </w:rPr>
              <w:t>3.其他</w:t>
            </w:r>
          </w:p>
        </w:tc>
        <w:tc>
          <w:tcPr>
            <w:tcW w:w="679" w:type="dxa"/>
            <w:tcBorders>
              <w:left w:val="nil"/>
              <w:bottom w:val="single" w:color="auto" w:sz="8" w:space="0"/>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c>
          <w:tcPr>
            <w:tcW w:w="567" w:type="dxa"/>
            <w:tcBorders>
              <w:left w:val="nil"/>
              <w:bottom w:val="single" w:color="auto" w:sz="8" w:space="0"/>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c>
          <w:tcPr>
            <w:tcW w:w="567" w:type="dxa"/>
            <w:tcBorders>
              <w:left w:val="nil"/>
              <w:bottom w:val="single" w:color="auto" w:sz="8" w:space="0"/>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c>
          <w:tcPr>
            <w:tcW w:w="567" w:type="dxa"/>
            <w:tcBorders>
              <w:left w:val="nil"/>
              <w:bottom w:val="single" w:color="auto" w:sz="8" w:space="0"/>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c>
          <w:tcPr>
            <w:tcW w:w="567" w:type="dxa"/>
            <w:tcBorders>
              <w:left w:val="nil"/>
              <w:bottom w:val="single" w:color="auto" w:sz="8" w:space="0"/>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c>
          <w:tcPr>
            <w:tcW w:w="540" w:type="dxa"/>
            <w:tcBorders>
              <w:left w:val="nil"/>
              <w:bottom w:val="single" w:color="auto" w:sz="8" w:space="0"/>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c>
          <w:tcPr>
            <w:tcW w:w="635" w:type="dxa"/>
            <w:tcBorders>
              <w:left w:val="nil"/>
              <w:bottom w:val="single" w:color="auto" w:sz="8" w:space="0"/>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p>
        </w:tc>
        <w:tc>
          <w:tcPr>
            <w:tcW w:w="4424" w:type="dxa"/>
            <w:gridSpan w:val="2"/>
            <w:tcBorders>
              <w:top w:val="nil"/>
              <w:left w:val="nil"/>
              <w:bottom w:val="single" w:color="auto" w:sz="8" w:space="0"/>
              <w:right w:val="single" w:color="auto" w:sz="8" w:space="0"/>
            </w:tcBorders>
            <w:noWrap w:val="0"/>
            <w:tcMar>
              <w:left w:w="108" w:type="dxa"/>
              <w:right w:w="108" w:type="dxa"/>
            </w:tcMar>
            <w:vAlign w:val="center"/>
          </w:tcPr>
          <w:p>
            <w:pPr>
              <w:jc w:val="center"/>
            </w:pPr>
            <w:r>
              <w:rPr>
                <w:rFonts w:hint="eastAsia"/>
              </w:rPr>
              <w:t>（七）总计</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lang w:eastAsia="zh-CN"/>
              </w:rPr>
            </w:pPr>
            <w:r>
              <w:rPr>
                <w:rFonts w:hint="eastAsia"/>
                <w:lang w:val="en-US" w:eastAsia="zh-CN"/>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9"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pPr>
            <w:r>
              <w:rPr>
                <w:rFonts w:hint="eastAsia"/>
              </w:rPr>
              <w:t>四、结转下年度继续办理</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rPr>
            </w:pPr>
            <w:r>
              <w:rPr>
                <w:rFonts w:hint="eastAsia"/>
              </w:rPr>
              <w:t>0</w:t>
            </w:r>
          </w:p>
        </w:tc>
        <w:tc>
          <w:tcPr>
            <w:tcW w:w="635"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lang w:val="en-US" w:eastAsia="zh-CN"/>
              </w:rPr>
            </w:pPr>
            <w:r>
              <w:rPr>
                <w:rFonts w:hint="eastAsia"/>
                <w:lang w:val="en-US" w:eastAsia="zh-CN"/>
              </w:rPr>
              <w:t>0</w:t>
            </w:r>
          </w:p>
        </w:tc>
      </w:tr>
    </w:tbl>
    <w:p>
      <w:pPr>
        <w:pStyle w:val="5"/>
        <w:keepNext w:val="0"/>
        <w:keepLines w:val="0"/>
        <w:pageBreakBefore w:val="0"/>
        <w:kinsoku/>
        <w:wordWrap/>
        <w:overflowPunct/>
        <w:topLinePunct w:val="0"/>
        <w:autoSpaceDE/>
        <w:autoSpaceDN/>
        <w:bidi w:val="0"/>
        <w:adjustRightInd/>
        <w:snapToGrid/>
        <w:spacing w:before="63" w:beforeLines="20" w:beforeAutospacing="0" w:after="4" w:afterAutospacing="0" w:line="578" w:lineRule="exact"/>
        <w:ind w:left="0" w:leftChars="0" w:firstLine="640" w:firstLineChars="200"/>
        <w:textAlignment w:val="auto"/>
        <w:rPr>
          <w:rFonts w:hint="eastAsia" w:ascii="仿宋_GB2312" w:hAnsi="ˎ̥" w:eastAsia="仿宋_GB2312" w:cs="宋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四、政府信息公开行政复议、行政诉讼情况</w:t>
      </w:r>
    </w:p>
    <w:tbl>
      <w:tblPr>
        <w:tblStyle w:val="3"/>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63" w:beforeLines="20" w:beforeAutospacing="0" w:after="4" w:afterAutospacing="0"/>
              <w:ind w:firstLine="400" w:firstLineChars="200"/>
              <w:jc w:val="center"/>
              <w:textAlignment w:val="auto"/>
            </w:pPr>
            <w:r>
              <w:rPr>
                <w:rFonts w:hint="eastAsia" w:ascii="宋体" w:hAnsi="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63" w:beforeLines="20" w:beforeAutospacing="0" w:after="4" w:afterAutospacing="0"/>
              <w:ind w:firstLine="400" w:firstLineChars="200"/>
              <w:jc w:val="center"/>
              <w:textAlignment w:val="auto"/>
            </w:pPr>
            <w:r>
              <w:rPr>
                <w:rFonts w:hint="eastAsia" w:ascii="宋体" w:hAnsi="宋体" w:cs="宋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rPr>
            </w:pPr>
            <w:r>
              <w:rPr>
                <w:rFonts w:hint="eastAsia"/>
              </w:rPr>
              <w:t>结果</w:t>
            </w:r>
          </w:p>
          <w:p>
            <w:r>
              <w:rPr>
                <w:rFonts w:hint="eastAsia"/>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r>
              <w:rPr>
                <w:rFonts w:hint="eastAsia"/>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r>
              <w:rPr>
                <w:rFonts w:hint="eastAsia"/>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rPr>
            </w:pPr>
            <w:r>
              <w:rPr>
                <w:rFonts w:hint="eastAsia"/>
              </w:rPr>
              <w:t>尚未</w:t>
            </w:r>
          </w:p>
          <w:p>
            <w:r>
              <w:rPr>
                <w:rFonts w:hint="eastAsia"/>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rPr>
            </w:pPr>
            <w:r>
              <w:rPr>
                <w:rFonts w:hint="eastAsia"/>
              </w:rPr>
              <w:t>总</w:t>
            </w:r>
          </w:p>
          <w:p>
            <w:r>
              <w:rPr>
                <w:rFonts w:hint="eastAsia"/>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pPr>
            <w:r>
              <w:rPr>
                <w:rFonts w:hint="eastAsia"/>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jc w:val="center"/>
            </w:pPr>
            <w:r>
              <w:rPr>
                <w:rFonts w:hint="eastAsia"/>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tc>
        <w:tc>
          <w:tcPr>
            <w:tcW w:w="550" w:type="dxa"/>
            <w:tcBorders>
              <w:top w:val="nil"/>
              <w:left w:val="nil"/>
              <w:bottom w:val="single" w:color="auto" w:sz="8" w:space="0"/>
              <w:right w:val="single" w:color="auto" w:sz="8" w:space="0"/>
            </w:tcBorders>
            <w:noWrap w:val="0"/>
            <w:tcMar>
              <w:left w:w="108" w:type="dxa"/>
              <w:right w:w="108" w:type="dxa"/>
            </w:tcMar>
            <w:vAlign w:val="center"/>
          </w:tcPr>
          <w:p>
            <w:r>
              <w:rPr>
                <w:rFonts w:hint="eastAsia"/>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r>
              <w:rPr>
                <w:rFonts w:hint="eastAsia"/>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rPr>
            </w:pPr>
            <w:r>
              <w:rPr>
                <w:rFonts w:hint="eastAsia"/>
              </w:rPr>
              <w:t>其他</w:t>
            </w:r>
          </w:p>
          <w:p>
            <w:r>
              <w:rPr>
                <w:rFonts w:hint="eastAsia"/>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rPr>
            </w:pPr>
            <w:r>
              <w:rPr>
                <w:rFonts w:hint="eastAsia"/>
              </w:rPr>
              <w:t>尚未</w:t>
            </w:r>
          </w:p>
          <w:p>
            <w:r>
              <w:rPr>
                <w:rFonts w:hint="eastAsia"/>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r>
              <w:rPr>
                <w:rFonts w:hint="eastAsia"/>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r>
              <w:rPr>
                <w:rFonts w:hint="eastAsia"/>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rPr>
            </w:pPr>
            <w:r>
              <w:rPr>
                <w:rFonts w:hint="eastAsia"/>
              </w:rPr>
              <w:t>结果</w:t>
            </w:r>
          </w:p>
          <w:p>
            <w:r>
              <w:rPr>
                <w:rFonts w:hint="eastAsia"/>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rPr>
            </w:pPr>
            <w:r>
              <w:rPr>
                <w:rFonts w:hint="eastAsia"/>
              </w:rPr>
              <w:t>其他</w:t>
            </w:r>
          </w:p>
          <w:p>
            <w:r>
              <w:rPr>
                <w:rFonts w:hint="eastAsia"/>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r>
              <w:rPr>
                <w:rFonts w:hint="eastAsia"/>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r>
              <w:rPr>
                <w:rFonts w:hint="eastAsia"/>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rPr>
            </w:pPr>
            <w:r>
              <w:rPr>
                <w:rFonts w:hint="eastAsia"/>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rPr>
                <w:rFonts w:hint="eastAsia"/>
              </w:rPr>
            </w:pPr>
            <w:r>
              <w:rPr>
                <w:rFonts w:hint="eastAsia"/>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rPr>
                <w:rFonts w:hint="eastAsia"/>
              </w:rPr>
            </w:pPr>
            <w:r>
              <w:rPr>
                <w:rFonts w:hint="eastAsia"/>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rPr>
                <w:rFonts w:hint="eastAsia"/>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rPr>
                <w:rFonts w:hint="eastAsia"/>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rPr>
                <w:rFonts w:hint="eastAsia"/>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r>
              <w:rPr>
                <w:rFonts w:hint="eastAsia"/>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rPr>
                <w:rFonts w:hint="eastAsia"/>
              </w:rPr>
            </w:pPr>
            <w:r>
              <w:rPr>
                <w:rFonts w:hint="eastAsia"/>
                <w:lang w:val="en-US" w:eastAsia="zh-CN"/>
              </w:rPr>
              <w:t>0</w:t>
            </w:r>
          </w:p>
        </w:tc>
      </w:tr>
    </w:tbl>
    <w:p>
      <w:pPr>
        <w:pStyle w:val="5"/>
        <w:keepNext w:val="0"/>
        <w:keepLines w:val="0"/>
        <w:pageBreakBefore w:val="0"/>
        <w:numPr>
          <w:ilvl w:val="0"/>
          <w:numId w:val="0"/>
        </w:numPr>
        <w:kinsoku/>
        <w:wordWrap/>
        <w:overflowPunct/>
        <w:topLinePunct w:val="0"/>
        <w:autoSpaceDE/>
        <w:autoSpaceDN/>
        <w:bidi w:val="0"/>
        <w:adjustRightInd/>
        <w:snapToGrid/>
        <w:spacing w:beforeAutospacing="0" w:afterAutospacing="0" w:line="578" w:lineRule="exact"/>
        <w:ind w:firstLine="640" w:firstLineChars="200"/>
        <w:textAlignment w:val="auto"/>
        <w:rPr>
          <w:rFonts w:hint="eastAsia"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五、存在的主要问题及改进情况</w:t>
      </w:r>
    </w:p>
    <w:p>
      <w:pPr>
        <w:pStyle w:val="5"/>
        <w:keepNext w:val="0"/>
        <w:keepLines w:val="0"/>
        <w:pageBreakBefore w:val="0"/>
        <w:numPr>
          <w:ilvl w:val="0"/>
          <w:numId w:val="0"/>
        </w:numPr>
        <w:kinsoku/>
        <w:wordWrap/>
        <w:overflowPunct/>
        <w:topLinePunct w:val="0"/>
        <w:autoSpaceDE/>
        <w:autoSpaceDN/>
        <w:bidi w:val="0"/>
        <w:adjustRightInd/>
        <w:snapToGrid/>
        <w:spacing w:beforeAutospacing="0" w:afterAutospacing="0" w:line="578" w:lineRule="exact"/>
        <w:ind w:leftChars="0" w:firstLine="640" w:firstLineChars="200"/>
        <w:textAlignment w:val="auto"/>
        <w:rPr>
          <w:rFonts w:hint="eastAsia" w:ascii="楷体_GB2312" w:hAnsi="楷体_GB2312" w:eastAsia="楷体_GB2312" w:cs="楷体_GB2312"/>
          <w:b w:val="0"/>
          <w:bCs/>
          <w:kern w:val="0"/>
          <w:sz w:val="32"/>
          <w:szCs w:val="32"/>
          <w:lang w:val="en-US" w:eastAsia="zh-CN" w:bidi="ar-SA"/>
        </w:rPr>
      </w:pPr>
      <w:r>
        <w:rPr>
          <w:rFonts w:hint="eastAsia" w:ascii="楷体_GB2312" w:hAnsi="楷体_GB2312" w:eastAsia="楷体_GB2312" w:cs="楷体_GB2312"/>
          <w:b w:val="0"/>
          <w:bCs/>
          <w:kern w:val="0"/>
          <w:sz w:val="32"/>
          <w:szCs w:val="32"/>
          <w:lang w:val="en-US" w:eastAsia="zh-CN" w:bidi="ar-SA"/>
        </w:rPr>
        <w:t>（一）2020年问题整改情况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left="0" w:leftChars="0"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一是强化政府信息公开工作培训，利用集体学习、全体干部职工会等方式，加强对全体干部职工信息公开培训，营造良好的信息公开氛围和环境。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left="0" w:leftChars="0"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二是进一步完善政务信息公开工作机制，保障各类信息及时、准确、规范地公开。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left="0" w:right="0" w:firstLine="640" w:firstLineChars="200"/>
        <w:jc w:val="both"/>
        <w:textAlignment w:val="auto"/>
        <w:rPr>
          <w:rFonts w:hint="eastAsia" w:ascii="楷体_GB2312" w:hAnsi="楷体_GB2312" w:eastAsia="楷体_GB2312" w:cs="楷体_GB2312"/>
          <w:b w:val="0"/>
          <w:bCs/>
          <w:kern w:val="0"/>
          <w:sz w:val="32"/>
          <w:szCs w:val="32"/>
          <w:lang w:val="en-US" w:eastAsia="zh-CN" w:bidi="ar-SA"/>
        </w:rPr>
      </w:pPr>
      <w:r>
        <w:rPr>
          <w:rFonts w:hint="eastAsia" w:ascii="楷体_GB2312" w:hAnsi="楷体_GB2312" w:eastAsia="楷体_GB2312" w:cs="楷体_GB2312"/>
          <w:b w:val="0"/>
          <w:bCs/>
          <w:kern w:val="0"/>
          <w:sz w:val="32"/>
          <w:szCs w:val="32"/>
          <w:lang w:val="en-US" w:eastAsia="zh-CN" w:bidi="ar-SA"/>
        </w:rPr>
        <w:t>（二）2021年存在的主要问题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left="0" w:leftChars="0"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一是政务公开工作人员业务能力有待加强，组织机构中人员设置波动较大。</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left="0" w:leftChars="0"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二是对公开的内容不够深刻、范围不够广泛，公开力度需进一步加大。</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left="0" w:right="0" w:firstLine="640" w:firstLineChars="200"/>
        <w:jc w:val="both"/>
        <w:textAlignment w:val="auto"/>
        <w:rPr>
          <w:rFonts w:hint="eastAsia" w:ascii="楷体_GB2312" w:hAnsi="楷体_GB2312" w:eastAsia="楷体_GB2312" w:cs="楷体_GB2312"/>
          <w:b w:val="0"/>
          <w:bCs/>
          <w:kern w:val="0"/>
          <w:sz w:val="32"/>
          <w:szCs w:val="32"/>
          <w:lang w:val="en-US" w:eastAsia="zh-CN" w:bidi="ar-SA"/>
        </w:rPr>
      </w:pPr>
      <w:r>
        <w:rPr>
          <w:rFonts w:hint="eastAsia" w:ascii="楷体_GB2312" w:hAnsi="楷体_GB2312" w:eastAsia="楷体_GB2312" w:cs="楷体_GB2312"/>
          <w:b w:val="0"/>
          <w:bCs/>
          <w:kern w:val="0"/>
          <w:sz w:val="32"/>
          <w:szCs w:val="32"/>
          <w:lang w:val="en-US" w:eastAsia="zh-CN" w:bidi="ar-SA"/>
        </w:rPr>
        <w:t>（三）改进措施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left="0" w:leftChars="0" w:right="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一是进一步明确工作职责。加大政府信息公开宣传工作力度，不断扩大信息公开量，加大惠民惠农政策和资金发放信息公开力度，推动补贴信息公开向农村和社区延伸。制定《</w:t>
      </w:r>
      <w:r>
        <w:rPr>
          <w:rFonts w:hint="default" w:ascii="仿宋_GB2312" w:hAnsi="仿宋_GB2312" w:eastAsia="仿宋_GB2312" w:cs="仿宋_GB2312"/>
          <w:kern w:val="0"/>
          <w:sz w:val="32"/>
          <w:szCs w:val="32"/>
          <w:lang w:val="en-US" w:eastAsia="zh-CN" w:bidi="ar"/>
        </w:rPr>
        <w:t>202</w:t>
      </w:r>
      <w:r>
        <w:rPr>
          <w:rFonts w:hint="eastAsia" w:ascii="仿宋_GB2312" w:hAnsi="仿宋_GB2312" w:eastAsia="仿宋_GB2312" w:cs="仿宋_GB2312"/>
          <w:kern w:val="0"/>
          <w:sz w:val="32"/>
          <w:szCs w:val="32"/>
          <w:lang w:val="en-US" w:eastAsia="zh-CN" w:bidi="ar"/>
        </w:rPr>
        <w:t>2</w:t>
      </w:r>
      <w:r>
        <w:rPr>
          <w:rFonts w:hint="default" w:ascii="仿宋_GB2312" w:hAnsi="仿宋_GB2312" w:eastAsia="仿宋_GB2312" w:cs="仿宋_GB2312"/>
          <w:kern w:val="0"/>
          <w:sz w:val="32"/>
          <w:szCs w:val="32"/>
          <w:lang w:val="en-US" w:eastAsia="zh-CN" w:bidi="ar"/>
        </w:rPr>
        <w:t>年度政府信息</w:t>
      </w:r>
      <w:bookmarkStart w:id="0" w:name="_GoBack"/>
      <w:bookmarkEnd w:id="0"/>
      <w:r>
        <w:rPr>
          <w:rFonts w:hint="default" w:ascii="仿宋_GB2312" w:hAnsi="仿宋_GB2312" w:eastAsia="仿宋_GB2312" w:cs="仿宋_GB2312"/>
          <w:kern w:val="0"/>
          <w:sz w:val="32"/>
          <w:szCs w:val="32"/>
          <w:lang w:val="en-US" w:eastAsia="zh-CN" w:bidi="ar"/>
        </w:rPr>
        <w:t>公开工作实施方案》，落实责任，建立机制，提高信息公开工作水平。</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left="0" w:leftChars="0"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二是定期组织开展培训和学习，提高工作人员的专业水平和能力。</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left="0" w:leftChars="0" w:right="0" w:firstLine="640" w:firstLineChars="200"/>
        <w:jc w:val="both"/>
        <w:textAlignment w:val="auto"/>
      </w:pPr>
      <w:r>
        <w:rPr>
          <w:rFonts w:hint="eastAsia" w:ascii="黑体" w:hAnsi="宋体" w:eastAsia="黑体" w:cs="黑体"/>
          <w:color w:val="333333"/>
          <w:kern w:val="0"/>
          <w:sz w:val="32"/>
          <w:szCs w:val="32"/>
          <w:shd w:val="clear" w:fill="FFFFFF"/>
          <w:lang w:val="en-US" w:eastAsia="zh-CN" w:bidi="ar"/>
        </w:rPr>
        <w:t>六、其他需要报告的事项</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kern w:val="0"/>
          <w:sz w:val="32"/>
          <w:szCs w:val="32"/>
          <w:lang w:val="en-US" w:eastAsia="zh-CN" w:bidi="ar-SA"/>
        </w:rPr>
        <w:t>（一）信息处理费收取情况。</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021年，依据《政府信息公开信息处理费管理办法》相关规定，我单位未收取政府信息公开信息处理费。</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楷体_GB2312" w:hAnsi="楷体_GB2312" w:eastAsia="楷体_GB2312" w:cs="楷体_GB2312"/>
          <w:b w:val="0"/>
          <w:bCs/>
          <w:kern w:val="0"/>
          <w:sz w:val="32"/>
          <w:szCs w:val="32"/>
          <w:lang w:val="en-US" w:eastAsia="zh-CN" w:bidi="ar-SA"/>
        </w:rPr>
        <w:t>（二）上级年度政务公开工作要点落实情况。</w:t>
      </w:r>
      <w:r>
        <w:rPr>
          <w:rFonts w:hint="default" w:ascii="仿宋_GB2312" w:hAnsi="仿宋_GB2312" w:eastAsia="仿宋_GB2312" w:cs="仿宋_GB2312"/>
          <w:sz w:val="32"/>
          <w:szCs w:val="32"/>
          <w:lang w:val="en-US" w:eastAsia="zh-CN"/>
        </w:rPr>
        <w:t>根据《2021年昌乐县政务公开重点工作任务分工》安排，</w:t>
      </w:r>
      <w:r>
        <w:rPr>
          <w:rFonts w:hint="eastAsia" w:ascii="仿宋_GB2312" w:hAnsi="仿宋_GB2312" w:eastAsia="仿宋_GB2312" w:cs="仿宋_GB2312"/>
          <w:sz w:val="32"/>
          <w:szCs w:val="32"/>
          <w:lang w:val="en-US" w:eastAsia="zh-CN"/>
        </w:rPr>
        <w:t>我单位加大了惠民惠农政策和资金发放的信息公开力度，</w:t>
      </w:r>
      <w:r>
        <w:rPr>
          <w:rFonts w:hint="default" w:ascii="仿宋_GB2312" w:hAnsi="仿宋_GB2312" w:eastAsia="仿宋_GB2312" w:cs="仿宋_GB2312"/>
          <w:sz w:val="32"/>
          <w:szCs w:val="32"/>
          <w:lang w:val="en-US" w:eastAsia="zh-CN"/>
        </w:rPr>
        <w:t>涉及责任事项已全部落实到位。</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kern w:val="0"/>
          <w:sz w:val="32"/>
          <w:szCs w:val="32"/>
          <w:lang w:val="en-US" w:eastAsia="zh-CN" w:bidi="ar-SA"/>
        </w:rPr>
        <w:t>（三）人大建议政协提案办理情况。</w:t>
      </w:r>
      <w:r>
        <w:rPr>
          <w:rFonts w:hint="eastAsia" w:ascii="仿宋_GB2312" w:hAnsi="仿宋_GB2312" w:eastAsia="仿宋_GB2312" w:cs="仿宋_GB2312"/>
          <w:sz w:val="32"/>
          <w:szCs w:val="32"/>
          <w:lang w:eastAsia="zh-CN"/>
        </w:rPr>
        <w:t>我单位高度重视人大代表建议和政协委员提案办理情况，主动接受群众监督，回应社会关切。202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年共办理人大代表建议</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件，政协委员提案2件，均按照要求将人大代表建议、政协委员提案办理情况主动进行公开。</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eastAsia="zh-CN"/>
        </w:rPr>
      </w:pPr>
      <w:r>
        <w:rPr>
          <w:rFonts w:hint="default" w:ascii="楷体_GB2312" w:hAnsi="楷体_GB2312" w:eastAsia="楷体_GB2312" w:cs="楷体_GB2312"/>
          <w:b w:val="0"/>
          <w:bCs/>
          <w:kern w:val="0"/>
          <w:sz w:val="32"/>
          <w:szCs w:val="32"/>
          <w:lang w:val="en-US" w:eastAsia="zh-CN" w:bidi="ar-SA"/>
        </w:rPr>
        <w:t>（四）年度政务公开工作创新情况。</w:t>
      </w:r>
      <w:r>
        <w:rPr>
          <w:rFonts w:hint="default" w:ascii="仿宋_GB2312" w:hAnsi="仿宋_GB2312" w:eastAsia="仿宋_GB2312" w:cs="仿宋_GB2312"/>
          <w:sz w:val="32"/>
          <w:szCs w:val="32"/>
          <w:lang w:val="en-US" w:eastAsia="zh-CN"/>
        </w:rPr>
        <w:t>为进一步增进广大市民对</w:t>
      </w:r>
      <w:r>
        <w:rPr>
          <w:rFonts w:hint="eastAsia" w:ascii="仿宋_GB2312" w:hAnsi="仿宋_GB2312" w:eastAsia="仿宋_GB2312" w:cs="仿宋_GB2312"/>
          <w:sz w:val="32"/>
          <w:szCs w:val="32"/>
          <w:lang w:val="en-US" w:eastAsia="zh-CN"/>
        </w:rPr>
        <w:t>农村经济</w:t>
      </w:r>
      <w:r>
        <w:rPr>
          <w:rFonts w:hint="default" w:ascii="仿宋_GB2312" w:hAnsi="仿宋_GB2312" w:eastAsia="仿宋_GB2312" w:cs="仿宋_GB2312"/>
          <w:sz w:val="32"/>
          <w:szCs w:val="32"/>
          <w:lang w:val="en-US" w:eastAsia="zh-CN"/>
        </w:rPr>
        <w:t>工作的了解，</w:t>
      </w:r>
      <w:r>
        <w:rPr>
          <w:rFonts w:hint="eastAsia" w:ascii="仿宋_GB2312" w:hAnsi="仿宋_GB2312" w:eastAsia="仿宋_GB2312" w:cs="仿宋_GB2312"/>
          <w:sz w:val="32"/>
          <w:szCs w:val="32"/>
          <w:lang w:val="en-US" w:eastAsia="zh-CN"/>
        </w:rPr>
        <w:t>11</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04</w:t>
      </w:r>
      <w:r>
        <w:rPr>
          <w:rFonts w:hint="default" w:ascii="仿宋_GB2312" w:hAnsi="仿宋_GB2312" w:eastAsia="仿宋_GB2312" w:cs="仿宋_GB2312"/>
          <w:sz w:val="32"/>
          <w:szCs w:val="32"/>
          <w:lang w:val="en-US" w:eastAsia="zh-CN"/>
        </w:rPr>
        <w:t>日上午，</w:t>
      </w:r>
      <w:r>
        <w:rPr>
          <w:rFonts w:hint="eastAsia" w:ascii="仿宋_GB2312" w:hAnsi="仿宋_GB2312" w:eastAsia="仿宋_GB2312" w:cs="仿宋_GB2312"/>
          <w:sz w:val="32"/>
          <w:szCs w:val="32"/>
          <w:lang w:val="en-US" w:eastAsia="zh-CN"/>
        </w:rPr>
        <w:t>我单位</w:t>
      </w:r>
      <w:r>
        <w:rPr>
          <w:rFonts w:hint="default"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val="en-US" w:eastAsia="zh-CN"/>
        </w:rPr>
        <w:t>乔</w:t>
      </w:r>
      <w:r>
        <w:rPr>
          <w:rFonts w:hint="eastAsia" w:ascii="仿宋_GB2312" w:hAnsi="仿宋_GB2312" w:eastAsia="仿宋_GB2312" w:cs="仿宋_GB2312"/>
          <w:sz w:val="32"/>
          <w:szCs w:val="32"/>
          <w:lang w:eastAsia="zh-CN"/>
        </w:rPr>
        <w:t>官镇唐家店子村</w:t>
      </w:r>
      <w:r>
        <w:rPr>
          <w:rFonts w:hint="default" w:ascii="仿宋_GB2312" w:hAnsi="仿宋_GB2312" w:eastAsia="仿宋_GB2312" w:cs="仿宋_GB2312"/>
          <w:sz w:val="32"/>
          <w:szCs w:val="32"/>
          <w:lang w:val="en-US" w:eastAsia="zh-CN"/>
        </w:rPr>
        <w:t>举办</w:t>
      </w:r>
      <w:r>
        <w:rPr>
          <w:rFonts w:hint="eastAsia" w:ascii="仿宋_GB2312" w:hAnsi="仿宋_GB2312" w:eastAsia="仿宋_GB2312" w:cs="仿宋_GB2312"/>
          <w:sz w:val="32"/>
          <w:szCs w:val="32"/>
          <w:lang w:val="en-US" w:eastAsia="zh-CN"/>
        </w:rPr>
        <w:t>了“</w:t>
      </w:r>
      <w:r>
        <w:rPr>
          <w:rFonts w:hint="default" w:ascii="仿宋_GB2312" w:hAnsi="仿宋_GB2312" w:eastAsia="仿宋_GB2312" w:cs="仿宋_GB2312"/>
          <w:sz w:val="32"/>
          <w:szCs w:val="32"/>
          <w:lang w:val="en-US" w:eastAsia="zh-CN"/>
        </w:rPr>
        <w:t>政府开放月</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活动--</w:t>
      </w:r>
      <w:r>
        <w:rPr>
          <w:rFonts w:hint="eastAsia" w:ascii="仿宋_GB2312" w:hAnsi="仿宋_GB2312" w:eastAsia="仿宋_GB2312" w:cs="仿宋_GB2312"/>
          <w:sz w:val="32"/>
          <w:szCs w:val="32"/>
          <w:lang w:eastAsia="zh-CN"/>
        </w:rPr>
        <w:t>走进农经中心，体验农经农机服务</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带领市民代表了解“党支部+合作社”模式，同时就乡村振兴政策各方面开展座谈，征求市民代表意见，进一步改进机关工作作风，提升服务能力。</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楷体_GB2312" w:hAnsi="楷体_GB2312" w:eastAsia="楷体_GB2312" w:cs="楷体_GB2312"/>
          <w:b w:val="0"/>
          <w:bCs/>
          <w:kern w:val="0"/>
          <w:sz w:val="32"/>
          <w:szCs w:val="32"/>
          <w:lang w:val="en-US" w:eastAsia="zh-CN" w:bidi="ar-SA"/>
        </w:rPr>
        <w:t>（五）报告数据统计说明。</w:t>
      </w:r>
      <w:r>
        <w:rPr>
          <w:rFonts w:hint="default" w:ascii="仿宋_GB2312" w:hAnsi="仿宋_GB2312" w:eastAsia="仿宋_GB2312" w:cs="仿宋_GB2312"/>
          <w:sz w:val="32"/>
          <w:szCs w:val="32"/>
          <w:lang w:val="en-US" w:eastAsia="zh-CN"/>
        </w:rPr>
        <w:t>本报告所列数据统计期限为2021年1月1日至2021年12月31日。</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楷体_GB2312" w:hAnsi="楷体_GB2312" w:eastAsia="楷体_GB2312" w:cs="楷体_GB2312"/>
          <w:b w:val="0"/>
          <w:bCs/>
          <w:kern w:val="0"/>
          <w:sz w:val="32"/>
          <w:szCs w:val="32"/>
          <w:lang w:val="en-US" w:eastAsia="zh-CN" w:bidi="ar-SA"/>
        </w:rPr>
        <w:t>（六）</w:t>
      </w:r>
      <w:r>
        <w:rPr>
          <w:rFonts w:hint="eastAsia" w:ascii="楷体_GB2312" w:hAnsi="楷体_GB2312" w:eastAsia="楷体_GB2312" w:cs="楷体_GB2312"/>
          <w:b w:val="0"/>
          <w:bCs/>
          <w:kern w:val="0"/>
          <w:sz w:val="32"/>
          <w:szCs w:val="32"/>
          <w:lang w:val="en-US" w:eastAsia="zh-CN" w:bidi="ar-SA"/>
        </w:rPr>
        <w:t>我单位</w:t>
      </w:r>
      <w:r>
        <w:rPr>
          <w:rFonts w:hint="default" w:ascii="楷体_GB2312" w:hAnsi="楷体_GB2312" w:eastAsia="楷体_GB2312" w:cs="楷体_GB2312"/>
          <w:b w:val="0"/>
          <w:bCs/>
          <w:kern w:val="0"/>
          <w:sz w:val="32"/>
          <w:szCs w:val="32"/>
          <w:lang w:val="en-US" w:eastAsia="zh-CN" w:bidi="ar-SA"/>
        </w:rPr>
        <w:t>认为需要报告的其他事项。</w:t>
      </w:r>
      <w:r>
        <w:rPr>
          <w:rFonts w:hint="default" w:ascii="仿宋_GB2312" w:hAnsi="仿宋_GB2312" w:eastAsia="仿宋_GB2312" w:cs="仿宋_GB2312"/>
          <w:sz w:val="32"/>
          <w:szCs w:val="32"/>
          <w:lang w:val="en-US" w:eastAsia="zh-CN"/>
        </w:rPr>
        <w:t>无。</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楷体_GB2312" w:hAnsi="楷体_GB2312" w:eastAsia="楷体_GB2312" w:cs="楷体_GB2312"/>
          <w:b w:val="0"/>
          <w:bCs/>
          <w:kern w:val="0"/>
          <w:sz w:val="32"/>
          <w:szCs w:val="32"/>
          <w:lang w:val="en-US" w:eastAsia="zh-CN" w:bidi="ar-SA"/>
        </w:rPr>
        <w:t>（七）其他有关文件专门要求报告的事项。</w:t>
      </w:r>
      <w:r>
        <w:rPr>
          <w:rFonts w:hint="default"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lang w:val="en-US" w:eastAsia="zh-CN"/>
        </w:rPr>
        <w:t> </w:t>
      </w:r>
    </w:p>
    <w:p>
      <w:pPr>
        <w:pStyle w:val="2"/>
        <w:keepNext w:val="0"/>
        <w:keepLines w:val="0"/>
        <w:pageBreakBefore w:val="0"/>
        <w:kinsoku/>
        <w:wordWrap/>
        <w:overflowPunct/>
        <w:topLinePunct w:val="0"/>
        <w:autoSpaceDE/>
        <w:autoSpaceDN/>
        <w:bidi w:val="0"/>
        <w:adjustRightInd/>
        <w:snapToGrid/>
        <w:spacing w:before="0" w:beforeAutospacing="0" w:after="0" w:afterAutospacing="0" w:line="578" w:lineRule="exact"/>
        <w:ind w:leftChars="0" w:firstLine="640" w:firstLineChars="200"/>
        <w:textAlignment w:val="auto"/>
        <w:rPr>
          <w:rFonts w:hint="eastAsia" w:ascii="仿宋_GB2312" w:hAnsi="仿宋_GB2312" w:eastAsia="仿宋_GB2312" w:cs="仿宋_GB2312"/>
          <w:sz w:val="32"/>
          <w:szCs w:val="32"/>
          <w:lang w:eastAsia="zh-CN"/>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8"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昌乐县农村经济工作中心</w:t>
      </w:r>
    </w:p>
    <w:p>
      <w:pPr>
        <w:pStyle w:val="2"/>
        <w:keepNext w:val="0"/>
        <w:keepLines w:val="0"/>
        <w:pageBreakBefore w:val="0"/>
        <w:kinsoku/>
        <w:wordWrap/>
        <w:overflowPunct/>
        <w:topLinePunct w:val="0"/>
        <w:autoSpaceDE/>
        <w:autoSpaceDN/>
        <w:bidi w:val="0"/>
        <w:adjustRightInd/>
        <w:snapToGrid/>
        <w:spacing w:before="0" w:beforeAutospacing="0" w:after="0" w:afterAutospacing="0" w:line="578"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2022年1月21日</w:t>
      </w:r>
    </w:p>
    <w:sectPr>
      <w:pgSz w:w="11906" w:h="16838"/>
      <w:pgMar w:top="1440" w:right="1800" w:bottom="87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B2A0C"/>
    <w:rsid w:val="012A0B76"/>
    <w:rsid w:val="04D62E8B"/>
    <w:rsid w:val="060E7D35"/>
    <w:rsid w:val="06623F88"/>
    <w:rsid w:val="079F5685"/>
    <w:rsid w:val="09EF260F"/>
    <w:rsid w:val="0BBF3FB3"/>
    <w:rsid w:val="0BC565EA"/>
    <w:rsid w:val="0D775936"/>
    <w:rsid w:val="0EA4352D"/>
    <w:rsid w:val="1032010A"/>
    <w:rsid w:val="10A56E07"/>
    <w:rsid w:val="116B2932"/>
    <w:rsid w:val="15611F57"/>
    <w:rsid w:val="156C6290"/>
    <w:rsid w:val="168E49E1"/>
    <w:rsid w:val="16A411B1"/>
    <w:rsid w:val="176573AB"/>
    <w:rsid w:val="17DA2BA0"/>
    <w:rsid w:val="19907639"/>
    <w:rsid w:val="1AA4131B"/>
    <w:rsid w:val="1ABF6AED"/>
    <w:rsid w:val="24971EEC"/>
    <w:rsid w:val="24CC48B7"/>
    <w:rsid w:val="25EB0FC4"/>
    <w:rsid w:val="27344754"/>
    <w:rsid w:val="279D1605"/>
    <w:rsid w:val="27FD6D03"/>
    <w:rsid w:val="297B6881"/>
    <w:rsid w:val="2A526A07"/>
    <w:rsid w:val="2A705F20"/>
    <w:rsid w:val="2BD5589C"/>
    <w:rsid w:val="2C006D64"/>
    <w:rsid w:val="2C047D74"/>
    <w:rsid w:val="2D6636E0"/>
    <w:rsid w:val="2EB23F8F"/>
    <w:rsid w:val="306368B6"/>
    <w:rsid w:val="315840BF"/>
    <w:rsid w:val="32553B61"/>
    <w:rsid w:val="32C40DA2"/>
    <w:rsid w:val="32E33D36"/>
    <w:rsid w:val="357B7B8D"/>
    <w:rsid w:val="393C6B30"/>
    <w:rsid w:val="3B2B331F"/>
    <w:rsid w:val="3E523E7C"/>
    <w:rsid w:val="3F02156E"/>
    <w:rsid w:val="401025E6"/>
    <w:rsid w:val="4316415B"/>
    <w:rsid w:val="43741EA9"/>
    <w:rsid w:val="46DE046D"/>
    <w:rsid w:val="472C7DCC"/>
    <w:rsid w:val="47B8769E"/>
    <w:rsid w:val="4A1E7F2C"/>
    <w:rsid w:val="4BB90D81"/>
    <w:rsid w:val="4EAA4484"/>
    <w:rsid w:val="5060304C"/>
    <w:rsid w:val="51CC5AA4"/>
    <w:rsid w:val="52631F0E"/>
    <w:rsid w:val="54835064"/>
    <w:rsid w:val="55F24F7C"/>
    <w:rsid w:val="56A47F8D"/>
    <w:rsid w:val="58DF1D46"/>
    <w:rsid w:val="5ADD177D"/>
    <w:rsid w:val="5B072BF1"/>
    <w:rsid w:val="5B8B2A0C"/>
    <w:rsid w:val="5C415222"/>
    <w:rsid w:val="5F4A0E24"/>
    <w:rsid w:val="603F52D1"/>
    <w:rsid w:val="604C5107"/>
    <w:rsid w:val="61646C3E"/>
    <w:rsid w:val="63F23194"/>
    <w:rsid w:val="64040C19"/>
    <w:rsid w:val="64D94D3F"/>
    <w:rsid w:val="66DA17DF"/>
    <w:rsid w:val="694809B2"/>
    <w:rsid w:val="6B6478D2"/>
    <w:rsid w:val="6D493DA0"/>
    <w:rsid w:val="736D6D74"/>
    <w:rsid w:val="75805852"/>
    <w:rsid w:val="76E83614"/>
    <w:rsid w:val="7843135D"/>
    <w:rsid w:val="790A16FF"/>
    <w:rsid w:val="794F6323"/>
    <w:rsid w:val="7CC548D0"/>
    <w:rsid w:val="7FA42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Body text|1"/>
    <w:basedOn w:val="1"/>
    <w:qFormat/>
    <w:uiPriority w:val="0"/>
    <w:pPr>
      <w:spacing w:line="593" w:lineRule="exact"/>
      <w:ind w:firstLine="610"/>
    </w:pPr>
    <w:rPr>
      <w:rFonts w:ascii="宋体" w:hAnsi="宋体" w:eastAsia="宋体" w:cs="宋体"/>
      <w:sz w:val="26"/>
      <w:szCs w:val="26"/>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2021-01-21T08:23:00Z</dcterms:created>
  <dc:creator>Administrator</dc:creator>
  <cp:lastModifiedBy>Administrator</cp:lastModifiedBy>
  <dcterms:modified xsi:type="dcterms:W3CDTF">2022-03-02T08:37:58Z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BF5F164DA8A94088AD158A46BF05A19E</vt:lpwstr>
  </property>
</Properties>
</file>