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昌乐县农村经济工作中心</w:t>
      </w:r>
    </w:p>
    <w:p>
      <w:pPr>
        <w:spacing w:line="600" w:lineRule="exact"/>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2023年度政府信息公开工作年度报告</w:t>
      </w:r>
    </w:p>
    <w:p>
      <w:pPr>
        <w:spacing w:line="600" w:lineRule="exact"/>
        <w:ind w:firstLine="643" w:firstLineChars="200"/>
        <w:rPr>
          <w:rFonts w:hint="eastAsia" w:ascii="楷体_GB2312" w:eastAsia="楷体_GB2312"/>
          <w:b/>
          <w:bCs/>
          <w:sz w:val="32"/>
          <w:szCs w:val="32"/>
        </w:rPr>
      </w:pP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政府信息公开是推进行政管理体制改革、发展社会主义民主政治、构建和谐社会的必然要求，也是强化对权力的制约和监督、从源头上预防和治理的重要措施。</w:t>
      </w:r>
      <w:r>
        <w:rPr>
          <w:rFonts w:ascii="仿宋_GB2312" w:hAnsi="Calibri" w:eastAsia="仿宋_GB2312" w:cs="仿宋_GB2312"/>
          <w:b/>
          <w:bCs/>
          <w:kern w:val="0"/>
          <w:sz w:val="32"/>
          <w:szCs w:val="32"/>
          <w:lang w:val="en-US" w:eastAsia="zh-CN" w:bidi="ar"/>
        </w:rPr>
        <w:t>根据《中华人民共和国政府信息公开条例》（以下简称《条例》）、《山东省政府信息公开办法》（以下简称《办法》）、</w:t>
      </w:r>
      <w:r>
        <w:rPr>
          <w:rFonts w:hint="eastAsia" w:ascii="仿宋_GB2312" w:hAnsi="Calibri" w:eastAsia="仿宋_GB2312" w:cs="仿宋_GB2312"/>
          <w:b/>
          <w:bCs/>
          <w:kern w:val="0"/>
          <w:sz w:val="32"/>
          <w:szCs w:val="32"/>
          <w:lang w:val="en-US" w:eastAsia="zh-CN" w:bidi="ar"/>
        </w:rPr>
        <w:t>县府办《关于做好2023年政府信息公开年度报告编制工作的通知》等文件要求，特向社会公布昌乐县</w:t>
      </w:r>
      <w:r>
        <w:rPr>
          <w:rFonts w:hint="eastAsia" w:ascii="仿宋_GB2312" w:eastAsia="仿宋_GB2312" w:cs="仿宋_GB2312"/>
          <w:b/>
          <w:bCs/>
          <w:kern w:val="0"/>
          <w:sz w:val="32"/>
          <w:szCs w:val="32"/>
          <w:lang w:val="en-US" w:eastAsia="zh-CN" w:bidi="ar"/>
        </w:rPr>
        <w:t>农村经济工作中心</w:t>
      </w:r>
      <w:r>
        <w:rPr>
          <w:rFonts w:hint="eastAsia" w:ascii="仿宋_GB2312" w:hAnsi="Calibri" w:eastAsia="仿宋_GB2312" w:cs="仿宋_GB2312"/>
          <w:b/>
          <w:bCs/>
          <w:kern w:val="0"/>
          <w:sz w:val="32"/>
          <w:szCs w:val="32"/>
          <w:lang w:val="en-US" w:eastAsia="zh-CN" w:bidi="ar"/>
        </w:rPr>
        <w:t>2023年度政府信息公开工作年度报告。本报告由总体情况、主动公开政府信息情况、收到和处理政府信息公开申请情况、因政府信息公开工作被申请行政复议、提起行政诉讼情况、政府信息公开工作存在的主要问题及改进情况、其他需要报告的事项等共6个部分组成。</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总体情况</w:t>
      </w:r>
    </w:p>
    <w:p>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w:t>
      </w:r>
      <w:r>
        <w:rPr>
          <w:rFonts w:hint="eastAsia" w:ascii="仿宋_GB2312" w:hAnsi="宋体" w:eastAsia="仿宋_GB2312" w:cs="宋体"/>
          <w:b/>
          <w:bCs/>
          <w:color w:val="000000"/>
          <w:kern w:val="0"/>
          <w:sz w:val="32"/>
          <w:szCs w:val="32"/>
          <w:lang w:val="en-US" w:eastAsia="zh-CN"/>
        </w:rPr>
        <w:t>2</w:t>
      </w:r>
      <w:r>
        <w:rPr>
          <w:rFonts w:hint="eastAsia" w:ascii="仿宋_GB2312" w:hAnsi="宋体" w:eastAsia="仿宋_GB2312" w:cs="宋体"/>
          <w:b/>
          <w:bCs/>
          <w:color w:val="000000"/>
          <w:kern w:val="0"/>
          <w:sz w:val="32"/>
          <w:szCs w:val="32"/>
        </w:rPr>
        <w:t>3年，我</w:t>
      </w:r>
      <w:r>
        <w:rPr>
          <w:rFonts w:hint="eastAsia" w:ascii="仿宋_GB2312" w:hAnsi="宋体" w:eastAsia="仿宋_GB2312" w:cs="宋体"/>
          <w:b/>
          <w:bCs/>
          <w:color w:val="000000"/>
          <w:kern w:val="0"/>
          <w:sz w:val="32"/>
          <w:szCs w:val="32"/>
          <w:lang w:eastAsia="zh-CN"/>
        </w:rPr>
        <w:t>中心</w:t>
      </w:r>
      <w:r>
        <w:rPr>
          <w:rFonts w:hint="eastAsia" w:ascii="仿宋_GB2312" w:hAnsi="宋体" w:eastAsia="仿宋_GB2312" w:cs="宋体"/>
          <w:b/>
          <w:bCs/>
          <w:color w:val="000000"/>
          <w:kern w:val="0"/>
          <w:sz w:val="32"/>
          <w:szCs w:val="32"/>
        </w:rPr>
        <w:t>认真贯彻落实中央、省、市、县关于政府信息公开的一系列安排部署，立足</w:t>
      </w:r>
      <w:r>
        <w:rPr>
          <w:rFonts w:hint="eastAsia" w:ascii="仿宋_GB2312" w:hAnsi="宋体" w:eastAsia="仿宋_GB2312" w:cs="宋体"/>
          <w:b/>
          <w:bCs/>
          <w:color w:val="000000"/>
          <w:kern w:val="0"/>
          <w:sz w:val="32"/>
          <w:szCs w:val="32"/>
          <w:lang w:eastAsia="zh-CN"/>
        </w:rPr>
        <w:t>农经</w:t>
      </w:r>
      <w:r>
        <w:rPr>
          <w:rFonts w:hint="eastAsia" w:ascii="仿宋_GB2312" w:hAnsi="宋体" w:eastAsia="仿宋_GB2312" w:cs="宋体"/>
          <w:b/>
          <w:bCs/>
          <w:color w:val="000000"/>
          <w:kern w:val="0"/>
          <w:sz w:val="32"/>
          <w:szCs w:val="32"/>
        </w:rPr>
        <w:t>工作实际，健全制度、完善机制，创新载体、狠抓落实，</w:t>
      </w:r>
      <w:r>
        <w:rPr>
          <w:rFonts w:hint="eastAsia" w:ascii="仿宋_GB2312" w:hAnsi="Calibri" w:eastAsia="仿宋_GB2312" w:cs="仿宋_GB2312"/>
          <w:b/>
          <w:bCs/>
          <w:kern w:val="0"/>
          <w:sz w:val="32"/>
          <w:szCs w:val="32"/>
          <w:lang w:val="en-US" w:eastAsia="zh-CN" w:bidi="ar"/>
        </w:rPr>
        <w:t>紧围绕党和政府中心工作及公众期盼,坚持把公开透明作为政府信息公开工作的基本制度,加强作风建设，遵循公开、公平、便民的原则，推进本单位政府信息公开，进一步完善政府信息公开的制度，深化政府信息公开的内容，规范政府信息公开工作，</w:t>
      </w:r>
      <w:r>
        <w:rPr>
          <w:rFonts w:hint="eastAsia" w:ascii="仿宋_GB2312" w:hAnsi="宋体" w:eastAsia="仿宋_GB2312" w:cs="宋体"/>
          <w:b/>
          <w:bCs/>
          <w:color w:val="000000"/>
          <w:kern w:val="0"/>
          <w:sz w:val="32"/>
          <w:szCs w:val="32"/>
        </w:rPr>
        <w:t>政府信息公开工作取得明显成效。</w:t>
      </w:r>
      <w:r>
        <w:rPr>
          <w:rFonts w:hint="eastAsia" w:ascii="仿宋_GB2312" w:hAnsi="Calibri" w:eastAsia="仿宋_GB2312" w:cs="仿宋_GB2312"/>
          <w:b/>
          <w:bCs/>
          <w:kern w:val="0"/>
          <w:sz w:val="32"/>
          <w:szCs w:val="32"/>
          <w:lang w:val="en-US" w:eastAsia="zh-CN" w:bidi="ar"/>
        </w:rPr>
        <w:t>本报告中所列数据的统计时限自2023年1月1日至2023年12月31日。</w:t>
      </w:r>
      <w:r>
        <w:rPr>
          <w:rFonts w:hint="eastAsia" w:ascii="仿宋_GB2312" w:hAnsi="宋体" w:eastAsia="仿宋_GB2312" w:cs="宋体"/>
          <w:b/>
          <w:bCs/>
          <w:color w:val="000000"/>
          <w:kern w:val="0"/>
          <w:sz w:val="32"/>
          <w:szCs w:val="32"/>
        </w:rPr>
        <w:t>如对本报告有疑问，请与昌乐县</w:t>
      </w:r>
      <w:r>
        <w:rPr>
          <w:rFonts w:hint="eastAsia" w:ascii="仿宋_GB2312" w:hAnsi="宋体" w:eastAsia="仿宋_GB2312" w:cs="宋体"/>
          <w:b/>
          <w:bCs/>
          <w:color w:val="000000"/>
          <w:kern w:val="0"/>
          <w:sz w:val="32"/>
          <w:szCs w:val="32"/>
          <w:lang w:eastAsia="zh-CN"/>
        </w:rPr>
        <w:t>农村经济工作中心</w:t>
      </w:r>
      <w:r>
        <w:rPr>
          <w:rFonts w:hint="eastAsia" w:ascii="仿宋_GB2312" w:hAnsi="宋体" w:eastAsia="仿宋_GB2312" w:cs="宋体"/>
          <w:b/>
          <w:bCs/>
          <w:color w:val="000000"/>
          <w:kern w:val="0"/>
          <w:sz w:val="32"/>
          <w:szCs w:val="32"/>
        </w:rPr>
        <w:t>联系，地址：昌乐县城关商务社区1号楼</w:t>
      </w:r>
      <w:r>
        <w:rPr>
          <w:rFonts w:hint="eastAsia" w:ascii="仿宋_GB2312" w:hAnsi="宋体" w:eastAsia="仿宋_GB2312" w:cs="宋体"/>
          <w:b/>
          <w:bCs/>
          <w:color w:val="000000"/>
          <w:kern w:val="0"/>
          <w:sz w:val="32"/>
          <w:szCs w:val="32"/>
          <w:lang w:val="en-US" w:eastAsia="zh-CN"/>
        </w:rPr>
        <w:t>5</w:t>
      </w:r>
      <w:r>
        <w:rPr>
          <w:rFonts w:hint="eastAsia" w:ascii="仿宋_GB2312" w:hAnsi="宋体" w:eastAsia="仿宋_GB2312" w:cs="宋体"/>
          <w:b/>
          <w:bCs/>
          <w:color w:val="000000"/>
          <w:kern w:val="0"/>
          <w:sz w:val="32"/>
          <w:szCs w:val="32"/>
        </w:rPr>
        <w:t>楼；邮编：262400；电话：0536-</w:t>
      </w:r>
      <w:r>
        <w:rPr>
          <w:rFonts w:hint="eastAsia" w:ascii="仿宋_GB2312" w:hAnsi="宋体" w:eastAsia="仿宋_GB2312" w:cs="宋体"/>
          <w:b/>
          <w:bCs/>
          <w:color w:val="000000"/>
          <w:kern w:val="0"/>
          <w:sz w:val="32"/>
          <w:szCs w:val="32"/>
          <w:lang w:val="en-US" w:eastAsia="zh-CN"/>
        </w:rPr>
        <w:t>6222348</w:t>
      </w:r>
      <w:r>
        <w:rPr>
          <w:rFonts w:hint="eastAsia" w:ascii="仿宋_GB2312" w:hAnsi="宋体" w:eastAsia="仿宋_GB2312" w:cs="宋体"/>
          <w:b/>
          <w:bCs/>
          <w:color w:val="000000"/>
          <w:kern w:val="0"/>
          <w:sz w:val="32"/>
          <w:szCs w:val="32"/>
        </w:rPr>
        <w:t>。</w:t>
      </w:r>
    </w:p>
    <w:p>
      <w:pPr>
        <w:widowControl/>
        <w:spacing w:line="480" w:lineRule="auto"/>
        <w:ind w:firstLine="643"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（一）主动公开情况</w:t>
      </w:r>
    </w:p>
    <w:p>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2023年我中心深入贯彻落实简政放权工作，及时主动的公开中心各项信息，充分利用政府网站信息发布平台，及时主动向社会公开我中心政策，积极稳妥地推进政府信息主动公开。</w:t>
      </w:r>
    </w:p>
    <w:p>
      <w:pPr>
        <w:widowControl/>
        <w:spacing w:line="480" w:lineRule="auto"/>
        <w:ind w:firstLine="643" w:firstLineChars="200"/>
        <w:jc w:val="left"/>
        <w:rPr>
          <w:rFonts w:hint="eastAsia" w:ascii="仿宋_GB2312" w:hAnsi="宋体" w:eastAsia="仿宋_GB2312" w:cs="宋体"/>
          <w:b/>
          <w:bCs/>
          <w:color w:val="000000"/>
          <w:kern w:val="0"/>
          <w:sz w:val="32"/>
          <w:szCs w:val="32"/>
          <w:lang w:val="en-US" w:eastAsia="zh-CN"/>
        </w:rPr>
      </w:pPr>
      <w:r>
        <w:rPr>
          <w:rFonts w:hint="eastAsia" w:ascii="黑体" w:hAnsi="黑体" w:eastAsia="黑体" w:cs="黑体"/>
          <w:b/>
          <w:bCs/>
          <w:color w:val="000000"/>
          <w:kern w:val="0"/>
          <w:sz w:val="32"/>
          <w:szCs w:val="32"/>
        </w:rPr>
        <w:t>主动公开政府信息的数量：</w:t>
      </w:r>
      <w:r>
        <w:rPr>
          <w:rFonts w:hint="eastAsia" w:ascii="仿宋_GB2312" w:hAnsi="宋体" w:eastAsia="仿宋_GB2312" w:cs="宋体"/>
          <w:b/>
          <w:bCs/>
          <w:color w:val="000000"/>
          <w:kern w:val="0"/>
          <w:sz w:val="32"/>
          <w:szCs w:val="32"/>
          <w:lang w:val="en-US" w:eastAsia="zh-CN"/>
        </w:rPr>
        <w:t>2023年度，我中心通过政府信息公开</w:t>
      </w:r>
      <w:bookmarkStart w:id="10" w:name="_GoBack"/>
      <w:bookmarkEnd w:id="10"/>
      <w:r>
        <w:rPr>
          <w:rFonts w:hint="eastAsia" w:ascii="仿宋_GB2312" w:hAnsi="宋体" w:eastAsia="仿宋_GB2312" w:cs="宋体"/>
          <w:b/>
          <w:bCs/>
          <w:color w:val="000000"/>
          <w:kern w:val="0"/>
          <w:sz w:val="32"/>
          <w:szCs w:val="32"/>
          <w:lang w:val="en-US" w:eastAsia="zh-CN"/>
        </w:rPr>
        <w:t>平台共公开各类信息36条，内容涉及机构职能、组织管理、规划计划、工作信息、财政信息等。主动公开政务信息的主要内容，我中心按要求主动公开了机构职能、部门概况、文件及工作动态等。</w:t>
      </w:r>
    </w:p>
    <w:p>
      <w:pPr>
        <w:widowControl/>
        <w:spacing w:line="480" w:lineRule="auto"/>
        <w:ind w:firstLine="643"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（二）依申请公开情况</w:t>
      </w:r>
    </w:p>
    <w:p>
      <w:pPr>
        <w:widowControl/>
        <w:spacing w:line="480" w:lineRule="auto"/>
        <w:ind w:firstLine="643" w:firstLineChars="200"/>
        <w:jc w:val="left"/>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2023年，我中心按照《潍坊市人民政府办公室关于进一步规范政府信息公开申请办理工作的通知》的要求，全面做好依申请公开工作。我中心本年度未收到政府信息公开申请。</w:t>
      </w:r>
    </w:p>
    <w:p>
      <w:pPr>
        <w:widowControl/>
        <w:spacing w:line="480" w:lineRule="auto"/>
        <w:ind w:firstLine="643"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（三）政府信息管理情况</w:t>
      </w:r>
    </w:p>
    <w:p>
      <w:pPr>
        <w:widowControl/>
        <w:spacing w:line="480" w:lineRule="auto"/>
        <w:ind w:firstLine="643" w:firstLineChars="200"/>
        <w:jc w:val="left"/>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严格落实保密审查制度，在我中心政务公开专题会上政务公开分管负责同志组织一起认真学习《中华人民共和国政府信息公开条例》，要求各科室安排专人负责，坚持“应公开尽公开”的原则，将主动公开的文件及时上传，不予公开的文件严禁上网，确保各类公开信息准确、透明、及时、完整。</w:t>
      </w:r>
    </w:p>
    <w:p>
      <w:pPr>
        <w:widowControl/>
        <w:spacing w:line="480" w:lineRule="auto"/>
        <w:ind w:firstLine="643"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（四）政府信息公开平台建设情况</w:t>
      </w:r>
    </w:p>
    <w:p>
      <w:pPr>
        <w:widowControl/>
        <w:spacing w:line="480" w:lineRule="auto"/>
        <w:ind w:firstLine="643" w:firstLineChars="200"/>
        <w:jc w:val="left"/>
        <w:rPr>
          <w:rFonts w:hint="default"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农经中心信息公开平台：昌乐县人民政府网站、</w:t>
      </w:r>
      <w:r>
        <w:rPr>
          <w:rFonts w:hint="default" w:ascii="仿宋_GB2312" w:hAnsi="宋体" w:eastAsia="仿宋_GB2312" w:cs="宋体"/>
          <w:b/>
          <w:bCs/>
          <w:color w:val="000000"/>
          <w:kern w:val="0"/>
          <w:sz w:val="32"/>
          <w:szCs w:val="32"/>
          <w:lang w:val="en-US" w:eastAsia="zh-CN"/>
        </w:rPr>
        <w:t>政务公开宣传栏。</w:t>
      </w:r>
      <w:r>
        <w:rPr>
          <w:rFonts w:hint="eastAsia" w:ascii="仿宋_GB2312" w:hAnsi="宋体" w:eastAsia="仿宋_GB2312" w:cs="宋体"/>
          <w:b/>
          <w:bCs/>
          <w:color w:val="000000"/>
          <w:kern w:val="0"/>
          <w:sz w:val="32"/>
          <w:szCs w:val="32"/>
          <w:lang w:val="en-US" w:eastAsia="zh-CN"/>
        </w:rPr>
        <w:t>政府网站设有部门单位信息公开专栏和相关系列专栏，本单位均及时主动公开。</w:t>
      </w:r>
      <w:r>
        <w:rPr>
          <w:rFonts w:hint="default" w:ascii="仿宋_GB2312" w:hAnsi="宋体" w:eastAsia="仿宋_GB2312" w:cs="宋体"/>
          <w:b/>
          <w:bCs/>
          <w:color w:val="000000"/>
          <w:kern w:val="0"/>
          <w:sz w:val="32"/>
          <w:szCs w:val="32"/>
          <w:lang w:val="en-US" w:eastAsia="zh-CN"/>
        </w:rPr>
        <w:t>在办公室门厅设立了政务公开宣传栏，对财务收支、人事任免、职称评定等有关政务信息每月进行一次集中公开。</w:t>
      </w:r>
    </w:p>
    <w:p>
      <w:pPr>
        <w:widowControl/>
        <w:spacing w:line="480" w:lineRule="auto"/>
        <w:ind w:firstLine="643"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（五）监督保障情况</w:t>
      </w:r>
    </w:p>
    <w:p>
      <w:pPr>
        <w:widowControl/>
        <w:spacing w:line="480" w:lineRule="auto"/>
        <w:ind w:firstLine="643" w:firstLineChars="200"/>
        <w:jc w:val="left"/>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机制建设情况：</w:t>
      </w:r>
      <w:r>
        <w:rPr>
          <w:rFonts w:hint="default" w:ascii="仿宋_GB2312" w:hAnsi="宋体" w:eastAsia="仿宋_GB2312" w:cs="宋体"/>
          <w:b/>
          <w:bCs/>
          <w:color w:val="000000"/>
          <w:kern w:val="0"/>
          <w:sz w:val="32"/>
          <w:szCs w:val="32"/>
          <w:lang w:val="en-US" w:eastAsia="zh-CN"/>
        </w:rPr>
        <w:t>为加强对全局政务信息公开工作的组织领导，我</w:t>
      </w:r>
      <w:r>
        <w:rPr>
          <w:rFonts w:hint="eastAsia" w:ascii="仿宋_GB2312" w:hAnsi="宋体" w:eastAsia="仿宋_GB2312" w:cs="宋体"/>
          <w:b/>
          <w:bCs/>
          <w:color w:val="000000"/>
          <w:kern w:val="0"/>
          <w:sz w:val="32"/>
          <w:szCs w:val="32"/>
          <w:lang w:val="en-US" w:eastAsia="zh-CN"/>
        </w:rPr>
        <w:t>单位</w:t>
      </w:r>
      <w:r>
        <w:rPr>
          <w:rFonts w:hint="default" w:ascii="仿宋_GB2312" w:hAnsi="宋体" w:eastAsia="仿宋_GB2312" w:cs="宋体"/>
          <w:b/>
          <w:bCs/>
          <w:color w:val="000000"/>
          <w:kern w:val="0"/>
          <w:sz w:val="32"/>
          <w:szCs w:val="32"/>
          <w:lang w:val="en-US" w:eastAsia="zh-CN"/>
        </w:rPr>
        <w:t>成立了信息公开工作领导小组，由</w:t>
      </w:r>
      <w:r>
        <w:rPr>
          <w:rFonts w:hint="eastAsia" w:ascii="仿宋_GB2312" w:hAnsi="宋体" w:eastAsia="仿宋_GB2312" w:cs="宋体"/>
          <w:b/>
          <w:bCs/>
          <w:color w:val="000000"/>
          <w:kern w:val="0"/>
          <w:sz w:val="32"/>
          <w:szCs w:val="32"/>
          <w:lang w:val="en-US" w:eastAsia="zh-CN"/>
        </w:rPr>
        <w:t>中心主任</w:t>
      </w:r>
      <w:r>
        <w:rPr>
          <w:rFonts w:hint="default" w:ascii="仿宋_GB2312" w:hAnsi="宋体" w:eastAsia="仿宋_GB2312" w:cs="宋体"/>
          <w:b/>
          <w:bCs/>
          <w:color w:val="000000"/>
          <w:kern w:val="0"/>
          <w:sz w:val="32"/>
          <w:szCs w:val="32"/>
          <w:lang w:val="en-US" w:eastAsia="zh-CN"/>
        </w:rPr>
        <w:t>任组长，分管领导任副组长，办公室、</w:t>
      </w:r>
      <w:r>
        <w:rPr>
          <w:rFonts w:hint="eastAsia" w:ascii="仿宋_GB2312" w:hAnsi="宋体" w:eastAsia="仿宋_GB2312" w:cs="宋体"/>
          <w:b/>
          <w:bCs/>
          <w:color w:val="000000"/>
          <w:kern w:val="0"/>
          <w:sz w:val="32"/>
          <w:szCs w:val="32"/>
          <w:lang w:val="en-US" w:eastAsia="zh-CN"/>
        </w:rPr>
        <w:t>组织人事</w:t>
      </w:r>
      <w:r>
        <w:rPr>
          <w:rFonts w:hint="default" w:ascii="仿宋_GB2312" w:hAnsi="宋体" w:eastAsia="仿宋_GB2312" w:cs="宋体"/>
          <w:b/>
          <w:bCs/>
          <w:color w:val="000000"/>
          <w:kern w:val="0"/>
          <w:sz w:val="32"/>
          <w:szCs w:val="32"/>
          <w:lang w:val="en-US" w:eastAsia="zh-CN"/>
        </w:rPr>
        <w:t>科等各有关单位负责人为成员。领导小组负责推进、指导、协调、监督</w:t>
      </w:r>
      <w:r>
        <w:rPr>
          <w:rFonts w:hint="eastAsia" w:ascii="仿宋_GB2312" w:hAnsi="宋体" w:eastAsia="仿宋_GB2312" w:cs="宋体"/>
          <w:b/>
          <w:bCs/>
          <w:color w:val="000000"/>
          <w:kern w:val="0"/>
          <w:sz w:val="32"/>
          <w:szCs w:val="32"/>
          <w:lang w:val="en-US" w:eastAsia="zh-CN"/>
        </w:rPr>
        <w:t>单位</w:t>
      </w:r>
      <w:r>
        <w:rPr>
          <w:rFonts w:hint="default" w:ascii="仿宋_GB2312" w:hAnsi="宋体" w:eastAsia="仿宋_GB2312" w:cs="宋体"/>
          <w:b/>
          <w:bCs/>
          <w:color w:val="000000"/>
          <w:kern w:val="0"/>
          <w:sz w:val="32"/>
          <w:szCs w:val="32"/>
          <w:lang w:val="en-US" w:eastAsia="zh-CN"/>
        </w:rPr>
        <w:t>的政务信息公开工作。领导小组下设政府信息公开工作办公室，负责政府信息公开的日常工作。按照《</w:t>
      </w:r>
      <w:r>
        <w:rPr>
          <w:rFonts w:hint="eastAsia" w:ascii="仿宋_GB2312" w:hAnsi="宋体" w:eastAsia="仿宋_GB2312" w:cs="宋体"/>
          <w:b/>
          <w:bCs/>
          <w:color w:val="000000"/>
          <w:kern w:val="0"/>
          <w:sz w:val="32"/>
          <w:szCs w:val="32"/>
          <w:lang w:val="en-US" w:eastAsia="zh-CN"/>
        </w:rPr>
        <w:t>政府</w:t>
      </w:r>
      <w:r>
        <w:rPr>
          <w:rFonts w:hint="default" w:ascii="仿宋_GB2312" w:hAnsi="宋体" w:eastAsia="仿宋_GB2312" w:cs="宋体"/>
          <w:b/>
          <w:bCs/>
          <w:color w:val="000000"/>
          <w:kern w:val="0"/>
          <w:sz w:val="32"/>
          <w:szCs w:val="32"/>
          <w:lang w:val="en-US" w:eastAsia="zh-CN"/>
        </w:rPr>
        <w:t>信息公开条例》和《山东省政府信息公开办法》的要求，我</w:t>
      </w:r>
      <w:r>
        <w:rPr>
          <w:rFonts w:hint="eastAsia" w:ascii="仿宋_GB2312" w:hAnsi="宋体" w:eastAsia="仿宋_GB2312" w:cs="宋体"/>
          <w:b/>
          <w:bCs/>
          <w:color w:val="000000"/>
          <w:kern w:val="0"/>
          <w:sz w:val="32"/>
          <w:szCs w:val="32"/>
          <w:lang w:val="en-US" w:eastAsia="zh-CN"/>
        </w:rPr>
        <w:t>单位</w:t>
      </w:r>
      <w:r>
        <w:rPr>
          <w:rFonts w:hint="default" w:ascii="仿宋_GB2312" w:hAnsi="宋体" w:eastAsia="仿宋_GB2312" w:cs="宋体"/>
          <w:b/>
          <w:bCs/>
          <w:color w:val="000000"/>
          <w:kern w:val="0"/>
          <w:sz w:val="32"/>
          <w:szCs w:val="32"/>
          <w:lang w:val="en-US" w:eastAsia="zh-CN"/>
        </w:rPr>
        <w:t>制定了《关于进一步深化政务公开工作的意见》、《昌乐县</w:t>
      </w:r>
      <w:r>
        <w:rPr>
          <w:rFonts w:hint="eastAsia" w:ascii="仿宋_GB2312" w:hAnsi="宋体" w:eastAsia="仿宋_GB2312" w:cs="宋体"/>
          <w:b/>
          <w:bCs/>
          <w:color w:val="000000"/>
          <w:kern w:val="0"/>
          <w:sz w:val="32"/>
          <w:szCs w:val="32"/>
          <w:lang w:val="en-US" w:eastAsia="zh-CN"/>
        </w:rPr>
        <w:t>现代农业发展中心</w:t>
      </w:r>
      <w:r>
        <w:rPr>
          <w:rFonts w:hint="default" w:ascii="仿宋_GB2312" w:hAnsi="宋体" w:eastAsia="仿宋_GB2312" w:cs="宋体"/>
          <w:b/>
          <w:bCs/>
          <w:color w:val="000000"/>
          <w:kern w:val="0"/>
          <w:sz w:val="32"/>
          <w:szCs w:val="32"/>
          <w:lang w:val="en-US" w:eastAsia="zh-CN"/>
        </w:rPr>
        <w:t>政务公开制度》、《信息公开保密审查制度》等相关制度，进一步明确和细化了政务公开的原则、内容、时间和程序、保障机制，确保政府信息公开工作有条不紊进行。</w:t>
      </w:r>
      <w:r>
        <w:rPr>
          <w:rFonts w:hint="eastAsia" w:ascii="仿宋_GB2312" w:hAnsi="宋体" w:eastAsia="仿宋_GB2312" w:cs="宋体"/>
          <w:b/>
          <w:bCs/>
          <w:color w:val="000000"/>
          <w:kern w:val="0"/>
          <w:sz w:val="32"/>
          <w:szCs w:val="32"/>
          <w:lang w:val="en-US" w:eastAsia="zh-CN"/>
        </w:rPr>
        <w:t>2023年未收到态度恶劣、敷衍了事等负面评价。加强政务公开工作力量，将政务公开经费纳入年度预算予以保障；制定年度政务公开工作培训计划，按照计划开展政务公开培训。</w:t>
      </w:r>
    </w:p>
    <w:p>
      <w:pPr>
        <w:ind w:firstLine="643" w:firstLineChars="2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二、主动公开政府信息情况</w:t>
      </w:r>
    </w:p>
    <w:p>
      <w:pPr>
        <w:jc w:val="center"/>
        <w:rPr>
          <w:rFonts w:ascii="仿宋_GB2312" w:eastAsia="仿宋_GB2312"/>
          <w:b/>
          <w:bCs/>
          <w:sz w:val="28"/>
          <w:szCs w:val="28"/>
        </w:rPr>
      </w:pPr>
      <w:r>
        <w:rPr>
          <w:rFonts w:hint="eastAsia" w:ascii="仿宋_GB2312" w:eastAsia="仿宋_GB2312"/>
          <w:b/>
          <w:bCs/>
          <w:sz w:val="28"/>
          <w:szCs w:val="28"/>
        </w:rPr>
        <w:t>表1 主动公开政府信息情况</w:t>
      </w:r>
    </w:p>
    <w:tbl>
      <w:tblPr>
        <w:tblStyle w:val="4"/>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rPr>
              <w:t>　</w:t>
            </w:r>
            <w:r>
              <w:rPr>
                <w:rFonts w:hint="eastAsia" w:ascii="仿宋_GB2312" w:hAnsi="Calibri"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rPr>
              <w:t>　</w:t>
            </w:r>
            <w:r>
              <w:rPr>
                <w:rFonts w:hint="eastAsia" w:ascii="仿宋_GB2312" w:hAnsi="Calibri"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rPr>
              <w:t>　</w:t>
            </w:r>
            <w:r>
              <w:rPr>
                <w:rFonts w:hint="eastAsia" w:ascii="仿宋_GB2312" w:hAnsi="Calibri" w:eastAsia="仿宋_GB2312" w:cs="Calibri"/>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rPr>
              <w:t>　</w:t>
            </w:r>
            <w:r>
              <w:rPr>
                <w:rFonts w:hint="eastAsia" w:ascii="仿宋_GB2312" w:hAnsi="Calibri" w:eastAsia="仿宋_GB2312" w:cs="Calibri"/>
                <w:b/>
                <w:bCs/>
                <w:color w:val="000000"/>
                <w:kern w:val="0"/>
                <w:szCs w:val="21"/>
                <w:lang w:val="en-US" w:eastAsia="zh-CN"/>
              </w:rPr>
              <w:t>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收到和处理政府信息公开申请情况</w:t>
      </w:r>
    </w:p>
    <w:p>
      <w:pPr>
        <w:jc w:val="center"/>
        <w:rPr>
          <w:rFonts w:ascii="仿宋_GB2312" w:eastAsia="仿宋_GB2312"/>
          <w:b/>
          <w:bCs/>
          <w:sz w:val="28"/>
          <w:szCs w:val="28"/>
        </w:rPr>
      </w:pPr>
      <w:r>
        <w:rPr>
          <w:rFonts w:hint="eastAsia" w:ascii="仿宋_GB2312" w:eastAsia="仿宋_GB2312"/>
          <w:b/>
          <w:bCs/>
          <w:sz w:val="28"/>
          <w:szCs w:val="28"/>
        </w:rPr>
        <w:t>表2</w:t>
      </w:r>
      <w:r>
        <w:rPr>
          <w:rFonts w:ascii="仿宋_GB2312" w:eastAsia="仿宋_GB2312"/>
          <w:b/>
          <w:bCs/>
          <w:sz w:val="28"/>
          <w:szCs w:val="28"/>
        </w:rPr>
        <w:t xml:space="preserve"> </w:t>
      </w:r>
      <w:r>
        <w:rPr>
          <w:rFonts w:hint="eastAsia" w:ascii="仿宋_GB2312" w:eastAsia="仿宋_GB2312"/>
          <w:b/>
          <w:bCs/>
          <w:sz w:val="28"/>
          <w:szCs w:val="28"/>
        </w:rPr>
        <w:t>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pPr>
              <w:widowControl/>
              <w:jc w:val="center"/>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c>
          <w:tcPr>
            <w:tcW w:w="829" w:type="dxa"/>
            <w:vMerge w:val="continue"/>
            <w:shd w:val="clear" w:color="auto" w:fill="auto"/>
            <w:tcMar>
              <w:left w:w="108" w:type="dxa"/>
              <w:right w:w="108" w:type="dxa"/>
            </w:tcMar>
            <w:vAlign w:val="center"/>
          </w:tcPr>
          <w:p>
            <w:pPr>
              <w:jc w:val="center"/>
              <w:rPr>
                <w:rFonts w:ascii="黑体" w:hAnsi="黑体" w:eastAsia="黑体"/>
                <w:b/>
                <w:bCs/>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b/>
                <w:bCs/>
                <w:szCs w:val="21"/>
              </w:rPr>
            </w:pPr>
            <w:r>
              <w:rPr>
                <w:rFonts w:hint="eastAsia" w:ascii="黑体" w:hAnsi="黑体" w:eastAsia="黑体"/>
                <w:b/>
                <w:bCs/>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b/>
                <w:bCs/>
                <w:szCs w:val="21"/>
              </w:rPr>
            </w:pPr>
            <w:r>
              <w:rPr>
                <w:rFonts w:hint="eastAsia" w:ascii="黑体" w:hAnsi="黑体" w:eastAsia="黑体"/>
                <w:b/>
                <w:bCs/>
                <w:kern w:val="0"/>
                <w:szCs w:val="21"/>
              </w:rPr>
              <w:t>一、</w:t>
            </w:r>
            <w:bookmarkStart w:id="0" w:name="_Hlk66973412"/>
            <w:r>
              <w:rPr>
                <w:rFonts w:hint="eastAsia" w:ascii="黑体" w:hAnsi="黑体" w:eastAsia="黑体"/>
                <w:b/>
                <w:bCs/>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b/>
                <w:bCs/>
                <w:szCs w:val="21"/>
              </w:rPr>
            </w:pPr>
            <w:r>
              <w:rPr>
                <w:rFonts w:hint="eastAsia" w:ascii="黑体" w:hAnsi="黑体" w:eastAsia="黑体"/>
                <w:b/>
                <w:bCs/>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b/>
                <w:bCs/>
                <w:szCs w:val="21"/>
              </w:rPr>
            </w:pPr>
            <w:r>
              <w:rPr>
                <w:rFonts w:hint="eastAsia" w:ascii="黑体" w:hAnsi="黑体" w:eastAsia="黑体"/>
                <w:b/>
                <w:bCs/>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b/>
                <w:bCs/>
                <w:szCs w:val="21"/>
              </w:rPr>
            </w:pPr>
            <w:r>
              <w:rPr>
                <w:rFonts w:hint="eastAsia" w:ascii="黑体" w:hAnsi="黑体" w:eastAsia="黑体"/>
                <w:b/>
                <w:bCs/>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4677" w:type="dxa"/>
            <w:gridSpan w:val="2"/>
            <w:shd w:val="clear" w:color="auto" w:fill="auto"/>
            <w:tcMar>
              <w:left w:w="108" w:type="dxa"/>
              <w:right w:w="108" w:type="dxa"/>
            </w:tcMar>
            <w:vAlign w:val="center"/>
          </w:tcPr>
          <w:p>
            <w:pPr>
              <w:widowControl/>
              <w:rPr>
                <w:rFonts w:ascii="黑体" w:hAnsi="黑体" w:eastAsia="黑体"/>
                <w:b/>
                <w:bCs/>
                <w:szCs w:val="21"/>
              </w:rPr>
            </w:pPr>
            <w:r>
              <w:rPr>
                <w:rFonts w:hint="eastAsia" w:ascii="黑体" w:hAnsi="黑体" w:eastAsia="黑体"/>
                <w:b/>
                <w:bCs/>
                <w:kern w:val="0"/>
                <w:szCs w:val="21"/>
              </w:rPr>
              <w:t>（二）部分公开（</w:t>
            </w:r>
            <w:bookmarkStart w:id="1" w:name="_Hlk66973981"/>
            <w:r>
              <w:rPr>
                <w:rFonts w:hint="eastAsia" w:ascii="黑体" w:hAnsi="黑体" w:eastAsia="黑体"/>
                <w:b/>
                <w:bCs/>
                <w:kern w:val="0"/>
                <w:szCs w:val="21"/>
              </w:rPr>
              <w:t>区分处理的，只计这一情形，不计其他情形</w:t>
            </w:r>
            <w:bookmarkEnd w:id="1"/>
            <w:r>
              <w:rPr>
                <w:rFonts w:hint="eastAsia" w:ascii="黑体" w:hAnsi="黑体" w:eastAsia="黑体"/>
                <w:b/>
                <w:bCs/>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szCs w:val="21"/>
              </w:rPr>
            </w:pPr>
            <w:r>
              <w:rPr>
                <w:rFonts w:hint="eastAsia" w:ascii="黑体" w:hAnsi="黑体" w:eastAsia="黑体"/>
                <w:b/>
                <w:bCs/>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2.</w:t>
            </w:r>
            <w:bookmarkStart w:id="2" w:name="_Hlk66974104"/>
            <w:r>
              <w:rPr>
                <w:rFonts w:hint="eastAsia" w:ascii="仿宋_GB2312" w:hAnsi="黑体" w:eastAsia="仿宋_GB2312"/>
                <w:b/>
                <w:bCs/>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4.</w:t>
            </w:r>
            <w:bookmarkStart w:id="3" w:name="_Hlk66974290"/>
            <w:r>
              <w:rPr>
                <w:rFonts w:hint="eastAsia" w:ascii="仿宋_GB2312" w:hAnsi="黑体" w:eastAsia="仿宋_GB2312"/>
                <w:b/>
                <w:bCs/>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6.</w:t>
            </w:r>
            <w:bookmarkStart w:id="4" w:name="_Hlk66974555"/>
            <w:r>
              <w:rPr>
                <w:rFonts w:hint="eastAsia" w:ascii="仿宋_GB2312" w:hAnsi="黑体" w:eastAsia="仿宋_GB2312"/>
                <w:b/>
                <w:bCs/>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8.</w:t>
            </w:r>
            <w:bookmarkStart w:id="5" w:name="_Hlk66975211"/>
            <w:r>
              <w:rPr>
                <w:rFonts w:hint="eastAsia" w:ascii="仿宋_GB2312" w:hAnsi="黑体" w:eastAsia="仿宋_GB2312"/>
                <w:b/>
                <w:bCs/>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szCs w:val="21"/>
              </w:rPr>
            </w:pPr>
            <w:r>
              <w:rPr>
                <w:rFonts w:hint="eastAsia" w:ascii="黑体" w:hAnsi="黑体" w:eastAsia="黑体"/>
                <w:b/>
                <w:bCs/>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2.</w:t>
            </w:r>
            <w:bookmarkStart w:id="6" w:name="_Hlk66975392"/>
            <w:r>
              <w:rPr>
                <w:rFonts w:hint="eastAsia" w:ascii="仿宋_GB2312" w:hAnsi="黑体" w:eastAsia="仿宋_GB2312"/>
                <w:b/>
                <w:bCs/>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3.</w:t>
            </w:r>
            <w:bookmarkStart w:id="7" w:name="_Hlk66975466"/>
            <w:r>
              <w:rPr>
                <w:rFonts w:hint="eastAsia" w:ascii="仿宋_GB2312" w:hAnsi="黑体" w:eastAsia="仿宋_GB2312"/>
                <w:b/>
                <w:bCs/>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szCs w:val="21"/>
              </w:rPr>
            </w:pPr>
            <w:r>
              <w:rPr>
                <w:rFonts w:hint="eastAsia" w:ascii="黑体" w:hAnsi="黑体" w:eastAsia="黑体"/>
                <w:b/>
                <w:bCs/>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1.</w:t>
            </w:r>
            <w:bookmarkStart w:id="8" w:name="_Hlk66975537"/>
            <w:r>
              <w:rPr>
                <w:rFonts w:hint="eastAsia" w:ascii="仿宋_GB2312" w:hAnsi="黑体" w:eastAsia="仿宋_GB2312"/>
                <w:b/>
                <w:bCs/>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2.重复申请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szCs w:val="21"/>
              </w:rPr>
            </w:pPr>
            <w:r>
              <w:rPr>
                <w:rFonts w:hint="eastAsia" w:ascii="仿宋_GB2312" w:hAnsi="黑体" w:eastAsia="仿宋_GB2312"/>
                <w:b/>
                <w:bCs/>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szCs w:val="21"/>
              </w:rPr>
            </w:pPr>
            <w:r>
              <w:rPr>
                <w:rFonts w:hint="eastAsia" w:ascii="仿宋_GB2312" w:hAnsi="黑体" w:eastAsia="仿宋_GB2312"/>
                <w:b/>
                <w:bCs/>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b/>
                <w:bCs/>
                <w:kern w:val="0"/>
                <w:szCs w:val="21"/>
              </w:rPr>
            </w:pPr>
            <w:r>
              <w:rPr>
                <w:rFonts w:hint="eastAsia" w:ascii="仿宋_GB2312" w:hAnsi="黑体" w:eastAsia="仿宋_GB2312"/>
                <w:b/>
                <w:bCs/>
                <w:kern w:val="0"/>
                <w:szCs w:val="21"/>
              </w:rPr>
              <w:t>5.要求行政机关确认或重新</w:t>
            </w:r>
          </w:p>
          <w:p>
            <w:pPr>
              <w:widowControl/>
              <w:spacing w:line="300" w:lineRule="exact"/>
              <w:ind w:firstLine="211" w:firstLineChars="100"/>
              <w:rPr>
                <w:rFonts w:ascii="仿宋_GB2312" w:hAnsi="黑体" w:eastAsia="仿宋_GB2312"/>
                <w:b/>
                <w:bCs/>
                <w:szCs w:val="21"/>
              </w:rPr>
            </w:pPr>
            <w:r>
              <w:rPr>
                <w:rFonts w:hint="eastAsia" w:ascii="仿宋_GB2312" w:hAnsi="黑体" w:eastAsia="仿宋_GB2312"/>
                <w:b/>
                <w:bCs/>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b/>
                <w:bCs/>
                <w:kern w:val="0"/>
                <w:szCs w:val="21"/>
              </w:rPr>
            </w:pPr>
            <w:r>
              <w:rPr>
                <w:rFonts w:hint="eastAsia" w:ascii="黑体" w:hAnsi="黑体" w:eastAsia="黑体"/>
                <w:b/>
                <w:bCs/>
                <w:kern w:val="0"/>
                <w:szCs w:val="21"/>
              </w:rPr>
              <w:t>（六）其他处理</w:t>
            </w:r>
          </w:p>
        </w:tc>
        <w:tc>
          <w:tcPr>
            <w:tcW w:w="2976" w:type="dxa"/>
            <w:shd w:val="clear" w:color="auto" w:fill="auto"/>
            <w:vAlign w:val="center"/>
          </w:tcPr>
          <w:p>
            <w:pPr>
              <w:widowControl/>
              <w:spacing w:line="300" w:lineRule="exact"/>
              <w:rPr>
                <w:rFonts w:ascii="仿宋_GB2312" w:hAnsi="楷体" w:eastAsia="仿宋_GB2312"/>
                <w:b/>
                <w:bCs/>
              </w:rPr>
            </w:pPr>
            <w:r>
              <w:rPr>
                <w:rFonts w:hint="eastAsia" w:ascii="仿宋_GB2312" w:hAnsi="楷体" w:eastAsia="仿宋_GB2312"/>
                <w:b/>
                <w:bCs/>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b/>
                <w:bCs/>
                <w:kern w:val="0"/>
                <w:szCs w:val="21"/>
              </w:rPr>
            </w:pPr>
          </w:p>
        </w:tc>
        <w:tc>
          <w:tcPr>
            <w:tcW w:w="2976" w:type="dxa"/>
            <w:shd w:val="clear" w:color="auto" w:fill="auto"/>
            <w:vAlign w:val="center"/>
          </w:tcPr>
          <w:p>
            <w:pPr>
              <w:widowControl/>
              <w:spacing w:line="300" w:lineRule="exact"/>
              <w:rPr>
                <w:rFonts w:ascii="仿宋_GB2312" w:hAnsi="黑体" w:eastAsia="仿宋_GB2312"/>
                <w:b/>
                <w:bCs/>
                <w:kern w:val="0"/>
                <w:szCs w:val="21"/>
              </w:rPr>
            </w:pPr>
            <w:r>
              <w:rPr>
                <w:rFonts w:hint="eastAsia" w:ascii="仿宋_GB2312" w:hAnsi="楷体" w:eastAsia="仿宋_GB2312"/>
                <w:b/>
                <w:bCs/>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b/>
                <w:bCs/>
                <w:kern w:val="0"/>
                <w:szCs w:val="21"/>
              </w:rPr>
            </w:pPr>
          </w:p>
        </w:tc>
        <w:tc>
          <w:tcPr>
            <w:tcW w:w="2976" w:type="dxa"/>
            <w:shd w:val="clear" w:color="auto" w:fill="auto"/>
            <w:vAlign w:val="center"/>
          </w:tcPr>
          <w:p>
            <w:pPr>
              <w:widowControl/>
              <w:spacing w:line="300" w:lineRule="exact"/>
              <w:rPr>
                <w:rFonts w:ascii="仿宋_GB2312" w:hAnsi="黑体" w:eastAsia="仿宋_GB2312"/>
                <w:b/>
                <w:bCs/>
                <w:kern w:val="0"/>
                <w:szCs w:val="21"/>
              </w:rPr>
            </w:pPr>
            <w:r>
              <w:rPr>
                <w:rFonts w:hint="eastAsia" w:ascii="仿宋_GB2312" w:hAnsi="楷体" w:eastAsia="仿宋_GB2312"/>
                <w:b/>
                <w:bCs/>
              </w:rPr>
              <w:t>3.其他</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b/>
                <w:bCs/>
                <w:kern w:val="0"/>
                <w:szCs w:val="21"/>
              </w:rPr>
            </w:pPr>
            <w:r>
              <w:rPr>
                <w:rFonts w:hint="eastAsia" w:ascii="黑体" w:hAnsi="黑体" w:eastAsia="黑体"/>
                <w:b/>
                <w:bCs/>
                <w:kern w:val="0"/>
                <w:szCs w:val="21"/>
              </w:rPr>
              <w:t>（七）总计</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b/>
                <w:bCs/>
                <w:kern w:val="0"/>
                <w:szCs w:val="21"/>
              </w:rPr>
            </w:pPr>
            <w:r>
              <w:rPr>
                <w:rFonts w:hint="eastAsia" w:ascii="黑体" w:hAnsi="黑体" w:eastAsia="黑体"/>
                <w:b/>
                <w:bCs/>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bl>
    <w:p>
      <w:pPr>
        <w:spacing w:line="600" w:lineRule="exact"/>
        <w:ind w:firstLine="579" w:firstLineChars="200"/>
        <w:rPr>
          <w:rFonts w:hint="eastAsia" w:ascii="黑体" w:hAnsi="黑体" w:eastAsia="黑体" w:cs="黑体"/>
          <w:b/>
          <w:bCs/>
          <w:w w:val="90"/>
          <w:sz w:val="32"/>
          <w:szCs w:val="32"/>
        </w:rPr>
      </w:pPr>
      <w:r>
        <w:rPr>
          <w:rFonts w:hint="eastAsia" w:ascii="黑体" w:hAnsi="黑体" w:eastAsia="黑体" w:cs="黑体"/>
          <w:b/>
          <w:bCs/>
          <w:w w:val="90"/>
          <w:sz w:val="32"/>
          <w:szCs w:val="32"/>
          <w:lang w:eastAsia="zh-CN"/>
        </w:rPr>
        <w:t>四、</w:t>
      </w:r>
      <w:r>
        <w:rPr>
          <w:rFonts w:hint="eastAsia" w:ascii="黑体" w:hAnsi="黑体" w:eastAsia="黑体" w:cs="黑体"/>
          <w:b/>
          <w:bCs/>
          <w:w w:val="90"/>
          <w:sz w:val="32"/>
          <w:szCs w:val="32"/>
        </w:rPr>
        <w:t>因政府信息公开工作被申请行政复议、提起行政诉讼情况</w:t>
      </w:r>
    </w:p>
    <w:p>
      <w:pPr>
        <w:jc w:val="center"/>
        <w:rPr>
          <w:rFonts w:ascii="仿宋_GB2312" w:eastAsia="仿宋_GB2312"/>
          <w:b/>
          <w:bCs/>
          <w:sz w:val="28"/>
          <w:szCs w:val="28"/>
        </w:rPr>
      </w:pPr>
      <w:r>
        <w:rPr>
          <w:rFonts w:hint="eastAsia" w:ascii="仿宋_GB2312" w:eastAsia="仿宋_GB2312"/>
          <w:b/>
          <w:bCs/>
          <w:sz w:val="28"/>
          <w:szCs w:val="28"/>
        </w:rPr>
        <w:t>表3</w:t>
      </w:r>
      <w:r>
        <w:rPr>
          <w:rFonts w:ascii="仿宋_GB2312" w:eastAsia="仿宋_GB2312"/>
          <w:b/>
          <w:bCs/>
          <w:sz w:val="28"/>
          <w:szCs w:val="28"/>
        </w:rPr>
        <w:t xml:space="preserve"> </w:t>
      </w:r>
      <w:r>
        <w:rPr>
          <w:rFonts w:hint="eastAsia" w:ascii="仿宋_GB2312" w:eastAsia="仿宋_GB2312"/>
          <w:b/>
          <w:bCs/>
          <w:sz w:val="28"/>
          <w:szCs w:val="28"/>
        </w:rPr>
        <w:t>因政府信息公开工作被申请行政复议、提起行政诉讼情况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49" w:leftChars="-71" w:right="-170" w:rightChars="-81"/>
              <w:jc w:val="center"/>
              <w:rPr>
                <w:rFonts w:ascii="黑体" w:hAnsi="黑体" w:eastAsia="黑体"/>
                <w:b/>
                <w:bCs/>
              </w:rPr>
            </w:pPr>
            <w:r>
              <w:rPr>
                <w:rFonts w:ascii="黑体" w:hAnsi="黑体" w:eastAsia="黑体"/>
                <w:b/>
                <w:bCs/>
                <w:kern w:val="0"/>
                <w:sz w:val="20"/>
                <w:szCs w:val="20"/>
              </w:rPr>
              <w:t>维持</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b/>
                <w:bCs/>
              </w:rPr>
            </w:pPr>
            <w:r>
              <w:rPr>
                <w:rFonts w:ascii="黑体" w:hAnsi="黑体" w:eastAsia="黑体"/>
                <w:b/>
                <w:bCs/>
                <w:kern w:val="0"/>
                <w:sz w:val="20"/>
                <w:szCs w:val="20"/>
              </w:rPr>
              <w:t>结果纠正</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b/>
                <w:bCs/>
              </w:rPr>
            </w:pPr>
            <w:r>
              <w:rPr>
                <w:rFonts w:ascii="黑体" w:hAnsi="黑体" w:eastAsia="黑体"/>
                <w:b/>
                <w:bCs/>
                <w:kern w:val="0"/>
                <w:sz w:val="20"/>
                <w:szCs w:val="20"/>
              </w:rPr>
              <w:t>其他结果</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18" w:leftChars="-56" w:right="-118" w:rightChars="-56"/>
              <w:jc w:val="center"/>
              <w:rPr>
                <w:rFonts w:ascii="黑体" w:hAnsi="黑体" w:eastAsia="黑体"/>
                <w:b/>
                <w:bCs/>
              </w:rPr>
            </w:pPr>
            <w:r>
              <w:rPr>
                <w:rFonts w:ascii="黑体" w:hAnsi="黑体" w:eastAsia="黑体"/>
                <w:b/>
                <w:bCs/>
                <w:kern w:val="0"/>
                <w:sz w:val="20"/>
                <w:szCs w:val="20"/>
              </w:rPr>
              <w:t>审结</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20" w:lineRule="exact"/>
              <w:jc w:val="center"/>
              <w:rPr>
                <w:rFonts w:ascii="黑体" w:hAnsi="黑体" w:eastAsia="黑体"/>
                <w:b/>
                <w:bCs/>
                <w:kern w:val="0"/>
                <w:sz w:val="20"/>
                <w:szCs w:val="20"/>
              </w:rPr>
            </w:pPr>
            <w:r>
              <w:rPr>
                <w:rFonts w:ascii="黑体" w:hAnsi="黑体" w:eastAsia="黑体"/>
                <w:b/>
                <w:bCs/>
                <w:kern w:val="0"/>
                <w:sz w:val="20"/>
                <w:szCs w:val="20"/>
              </w:rPr>
              <w:t>总</w:t>
            </w:r>
          </w:p>
          <w:p>
            <w:pPr>
              <w:widowControl/>
              <w:spacing w:line="320" w:lineRule="exact"/>
              <w:jc w:val="center"/>
              <w:rPr>
                <w:rFonts w:ascii="黑体" w:hAnsi="黑体" w:eastAsia="黑体"/>
                <w:b/>
                <w:bCs/>
              </w:rPr>
            </w:pPr>
            <w:r>
              <w:rPr>
                <w:rFonts w:ascii="黑体" w:hAnsi="黑体" w:eastAsia="黑体"/>
                <w:b/>
                <w:bCs/>
                <w:kern w:val="0"/>
                <w:sz w:val="20"/>
                <w:szCs w:val="20"/>
              </w:rPr>
              <w:t>计</w:t>
            </w:r>
          </w:p>
        </w:tc>
        <w:tc>
          <w:tcPr>
            <w:tcW w:w="2970"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未经复议直接起诉</w:t>
            </w:r>
          </w:p>
        </w:tc>
        <w:tc>
          <w:tcPr>
            <w:tcW w:w="3027" w:type="dxa"/>
            <w:gridSpan w:val="5"/>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bookmarkStart w:id="9" w:name="_Hlk67039688"/>
            <w:r>
              <w:rPr>
                <w:rFonts w:ascii="黑体" w:hAnsi="黑体" w:eastAsia="黑体"/>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黑体" w:hAnsi="黑体" w:eastAsia="黑体"/>
                <w:b/>
                <w:bCs/>
                <w:sz w:val="24"/>
              </w:rPr>
            </w:pPr>
          </w:p>
        </w:tc>
        <w:tc>
          <w:tcPr>
            <w:tcW w:w="65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黑体" w:hAnsi="黑体" w:eastAsia="黑体"/>
                <w:b/>
                <w:bCs/>
                <w:sz w:val="24"/>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b/>
                <w:bCs/>
              </w:rPr>
            </w:pPr>
            <w:r>
              <w:rPr>
                <w:rFonts w:ascii="黑体" w:hAnsi="黑体" w:eastAsia="黑体"/>
                <w:b/>
                <w:bCs/>
                <w:kern w:val="0"/>
                <w:sz w:val="20"/>
                <w:szCs w:val="20"/>
              </w:rPr>
              <w:t>结果纠正</w:t>
            </w:r>
          </w:p>
        </w:tc>
        <w:tc>
          <w:tcPr>
            <w:tcW w:w="605" w:type="dxa"/>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26" w:leftChars="-60" w:right="-136" w:rightChars="-65"/>
              <w:jc w:val="center"/>
              <w:rPr>
                <w:rFonts w:ascii="黑体" w:hAnsi="黑体" w:eastAsia="黑体"/>
                <w:b/>
                <w:bCs/>
              </w:rPr>
            </w:pPr>
            <w:r>
              <w:rPr>
                <w:rFonts w:ascii="黑体" w:hAnsi="黑体"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64" w:leftChars="-78" w:right="-153" w:rightChars="-73"/>
              <w:jc w:val="center"/>
              <w:rPr>
                <w:rFonts w:ascii="黑体" w:hAnsi="黑体" w:eastAsia="黑体"/>
                <w:b/>
                <w:bCs/>
              </w:rPr>
            </w:pPr>
            <w:r>
              <w:rPr>
                <w:rFonts w:ascii="黑体" w:hAnsi="黑体"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36" w:leftChars="-65" w:right="-124" w:rightChars="-59"/>
              <w:jc w:val="center"/>
              <w:rPr>
                <w:rFonts w:ascii="黑体" w:hAnsi="黑体" w:eastAsia="黑体"/>
                <w:b/>
                <w:bCs/>
              </w:rPr>
            </w:pPr>
            <w:r>
              <w:rPr>
                <w:rFonts w:ascii="黑体" w:hAnsi="黑体"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73" w:leftChars="-83" w:right="-134" w:rightChars="-64" w:hanging="1"/>
              <w:jc w:val="center"/>
              <w:rPr>
                <w:rFonts w:ascii="黑体" w:hAnsi="黑体" w:eastAsia="黑体"/>
                <w:b/>
                <w:bCs/>
              </w:rPr>
            </w:pPr>
            <w:r>
              <w:rPr>
                <w:rFonts w:ascii="黑体" w:hAnsi="黑体"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b/>
                <w:bCs/>
              </w:rPr>
            </w:pPr>
            <w:r>
              <w:rPr>
                <w:rFonts w:ascii="黑体" w:hAnsi="黑体"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58"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55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政府信息公开工作存在的主要问题及改进情况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（一）2022年问题整改情况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针对2022年存在的问题，一是做好工作人员“传帮带”工作，建立培训制度，确保工作人员不断档，保持业务能力；二是规范工作流程。及时梳理提供有关的政府信息，定期维护，并及时公开需要公开的信息，确保公开信息的完整性和准确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（二）2023年存在主要问题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2023年，我单位政府信息公开工作取得了一定成效，但仍存在一些问题，需要进一步提高工作水平。</w:t>
      </w:r>
      <w:r>
        <w:rPr>
          <w:rFonts w:hint="eastAsia" w:ascii="仿宋_GB2312" w:hAnsi="宋体" w:eastAsia="仿宋_GB2312" w:cs="宋体"/>
          <w:b/>
          <w:bCs/>
          <w:color w:val="000000"/>
          <w:kern w:val="0"/>
          <w:sz w:val="32"/>
          <w:szCs w:val="32"/>
        </w:rPr>
        <w:t>概括起来主要表现在以下几个方面：一是对政务信息公开的认识还有待深入。二是政务信息公开内容的规范性有待加强。三是网站信息的互动能力有待提高等。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hint="eastAsia" w:ascii="楷体" w:hAnsi="楷体" w:eastAsia="楷体" w:cs="楷体"/>
          <w:b/>
          <w:bCs/>
          <w:color w:val="000000"/>
          <w:kern w:val="0"/>
          <w:sz w:val="32"/>
          <w:szCs w:val="32"/>
        </w:rPr>
      </w:pPr>
      <w:r>
        <w:rPr>
          <w:rFonts w:hint="eastAsia" w:ascii="楷体" w:hAnsi="楷体" w:eastAsia="楷体" w:cs="楷体"/>
          <w:b/>
          <w:bCs/>
          <w:kern w:val="0"/>
          <w:sz w:val="32"/>
          <w:szCs w:val="32"/>
          <w:lang w:val="en-US" w:eastAsia="zh-CN" w:bidi="ar"/>
        </w:rPr>
        <w:t>（三）改进措施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TT4ACDBBECtCID-WinCharSetFFFF-H"/>
          <w:b/>
          <w:bCs/>
          <w:kern w:val="0"/>
          <w:sz w:val="32"/>
          <w:szCs w:val="32"/>
        </w:rPr>
      </w:pPr>
      <w:r>
        <w:rPr>
          <w:rFonts w:hint="eastAsia" w:ascii="仿宋_GB2312" w:hAnsi="宋体" w:eastAsia="仿宋_GB2312" w:cs="宋体"/>
          <w:b/>
          <w:bCs/>
          <w:color w:val="000000"/>
          <w:kern w:val="0"/>
          <w:sz w:val="32"/>
          <w:szCs w:val="32"/>
        </w:rPr>
        <w:t>为进一步搞好政府信息公开工作，</w:t>
      </w:r>
      <w:r>
        <w:rPr>
          <w:rFonts w:hint="eastAsia" w:ascii="仿宋_GB2312" w:hAnsi="宋体" w:eastAsia="仿宋_GB2312" w:cs="宋体"/>
          <w:b/>
          <w:bCs/>
          <w:color w:val="000000"/>
          <w:kern w:val="0"/>
          <w:sz w:val="32"/>
          <w:szCs w:val="32"/>
          <w:lang w:val="en-US" w:eastAsia="zh-CN"/>
        </w:rPr>
        <w:t>2024</w:t>
      </w:r>
      <w:r>
        <w:rPr>
          <w:rFonts w:hint="eastAsia" w:ascii="仿宋_GB2312" w:hAnsi="宋体" w:eastAsia="仿宋_GB2312" w:cs="宋体"/>
          <w:b/>
          <w:bCs/>
          <w:color w:val="000000"/>
          <w:kern w:val="0"/>
          <w:sz w:val="32"/>
          <w:szCs w:val="32"/>
        </w:rPr>
        <w:t>年我们将从以下几个方面开展工作。一是加强学习，进一步提高信息公开业务人员和全</w:t>
      </w:r>
      <w:r>
        <w:rPr>
          <w:rFonts w:hint="eastAsia" w:ascii="仿宋_GB2312" w:hAnsi="宋体" w:eastAsia="仿宋_GB2312" w:cs="宋体"/>
          <w:b/>
          <w:bCs/>
          <w:color w:val="000000"/>
          <w:kern w:val="0"/>
          <w:sz w:val="32"/>
          <w:szCs w:val="32"/>
          <w:lang w:eastAsia="zh-CN"/>
        </w:rPr>
        <w:t>中心</w:t>
      </w:r>
      <w:r>
        <w:rPr>
          <w:rFonts w:hint="eastAsia" w:ascii="仿宋_GB2312" w:hAnsi="宋体" w:eastAsia="仿宋_GB2312" w:cs="宋体"/>
          <w:b/>
          <w:bCs/>
          <w:color w:val="000000"/>
          <w:kern w:val="0"/>
          <w:sz w:val="32"/>
          <w:szCs w:val="32"/>
        </w:rPr>
        <w:t>职工对信息公开工作的认识和责任感，按政府信息公开制度的要求完善好信息公开工作制度；二是完善政府信息公开形式，逐步实现便民利民方面的灵活多样性；三是加强信息公开工作督促检查，及时更新、上报信息，确保所公开信息的及时性、准确性和有效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六、</w:t>
      </w:r>
      <w:r>
        <w:rPr>
          <w:rFonts w:hint="eastAsia" w:ascii="黑体" w:hAnsi="黑体" w:eastAsia="黑体" w:cs="黑体"/>
          <w:b/>
          <w:bCs/>
          <w:sz w:val="32"/>
          <w:szCs w:val="32"/>
        </w:rPr>
        <w:t>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b/>
          <w:bCs/>
          <w:color w:val="000000"/>
          <w:kern w:val="0"/>
          <w:sz w:val="32"/>
          <w:szCs w:val="32"/>
        </w:rPr>
      </w:pPr>
      <w:r>
        <w:rPr>
          <w:rFonts w:hint="eastAsia" w:ascii="楷体_GB2312" w:hAnsi="楷体_GB2312" w:eastAsia="楷体_GB2312" w:cs="楷体_GB2312"/>
          <w:b/>
          <w:bCs/>
          <w:color w:val="000000"/>
          <w:kern w:val="0"/>
          <w:sz w:val="32"/>
          <w:szCs w:val="32"/>
        </w:rPr>
        <w:t>（一）收取信息处理费的情况。</w:t>
      </w:r>
      <w:r>
        <w:rPr>
          <w:rFonts w:hint="eastAsia" w:ascii="仿宋_GB2312" w:hAnsi="宋体" w:eastAsia="仿宋_GB2312" w:cs="宋体"/>
          <w:b/>
          <w:bCs/>
          <w:color w:val="000000"/>
          <w:kern w:val="0"/>
          <w:sz w:val="32"/>
          <w:szCs w:val="32"/>
        </w:rPr>
        <w:t>我</w:t>
      </w:r>
      <w:r>
        <w:rPr>
          <w:rFonts w:hint="eastAsia" w:ascii="仿宋_GB2312" w:hAnsi="宋体" w:eastAsia="仿宋_GB2312" w:cs="宋体"/>
          <w:b/>
          <w:bCs/>
          <w:color w:val="000000"/>
          <w:kern w:val="0"/>
          <w:sz w:val="32"/>
          <w:szCs w:val="32"/>
          <w:lang w:eastAsia="zh-CN"/>
        </w:rPr>
        <w:t>中心</w:t>
      </w:r>
      <w:r>
        <w:rPr>
          <w:rFonts w:hint="eastAsia" w:ascii="仿宋_GB2312" w:hAnsi="宋体" w:eastAsia="仿宋_GB2312" w:cs="宋体"/>
          <w:b/>
          <w:bCs/>
          <w:color w:val="000000"/>
          <w:kern w:val="0"/>
          <w:sz w:val="32"/>
          <w:szCs w:val="32"/>
        </w:rPr>
        <w:t>全年没有收取政府信息公开处理费。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宋体" w:eastAsia="仿宋_GB2312" w:cs="宋体"/>
          <w:b/>
          <w:bCs/>
          <w:color w:val="000000"/>
          <w:kern w:val="0"/>
          <w:sz w:val="32"/>
          <w:szCs w:val="32"/>
          <w:lang w:val="en-US" w:eastAsia="zh-CN"/>
        </w:rPr>
      </w:pPr>
      <w:r>
        <w:rPr>
          <w:rFonts w:hint="eastAsia" w:ascii="楷体_GB2312" w:hAnsi="楷体_GB2312" w:eastAsia="楷体_GB2312" w:cs="楷体_GB2312"/>
          <w:b/>
          <w:bCs/>
          <w:color w:val="000000"/>
          <w:kern w:val="0"/>
          <w:sz w:val="32"/>
          <w:szCs w:val="32"/>
        </w:rPr>
        <w:t>（二）落实上级年度政务公开工作要点情况。</w:t>
      </w:r>
      <w:r>
        <w:rPr>
          <w:rFonts w:hint="eastAsia" w:ascii="仿宋_GB2312" w:hAnsi="宋体" w:eastAsia="仿宋_GB2312" w:cs="宋体"/>
          <w:b/>
          <w:bCs/>
          <w:color w:val="000000"/>
          <w:kern w:val="0"/>
          <w:sz w:val="32"/>
          <w:szCs w:val="32"/>
          <w:lang w:eastAsia="zh-CN"/>
        </w:rPr>
        <w:t>认真贯彻落实上级政务公开工作要点，细化相关任务，重点工作进行分工，安排科室人员，按照内容和实际，按时更新，规范公开，顺利完成各项工作安排。年度共公开各类信息</w:t>
      </w:r>
      <w:r>
        <w:rPr>
          <w:rFonts w:hint="eastAsia" w:ascii="仿宋_GB2312" w:hAnsi="宋体" w:eastAsia="仿宋_GB2312" w:cs="宋体"/>
          <w:b/>
          <w:bCs/>
          <w:color w:val="000000"/>
          <w:kern w:val="0"/>
          <w:sz w:val="32"/>
          <w:szCs w:val="32"/>
          <w:lang w:val="en-US" w:eastAsia="zh-CN"/>
        </w:rPr>
        <w:t>36条，涉及机构职能、组织管理、规划计划、工作信息、财政信息等。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b/>
          <w:bCs/>
          <w:color w:val="000000"/>
          <w:kern w:val="0"/>
          <w:sz w:val="32"/>
          <w:szCs w:val="32"/>
          <w:lang w:eastAsia="zh-CN"/>
        </w:rPr>
      </w:pPr>
      <w:r>
        <w:rPr>
          <w:rFonts w:hint="eastAsia" w:ascii="楷体_GB2312" w:hAnsi="楷体_GB2312" w:eastAsia="楷体_GB2312" w:cs="楷体_GB2312"/>
          <w:b/>
          <w:bCs/>
          <w:color w:val="000000"/>
          <w:kern w:val="0"/>
          <w:sz w:val="32"/>
          <w:szCs w:val="32"/>
        </w:rPr>
        <w:t>（三）人大代表建议和政协提案办理情况。</w:t>
      </w:r>
      <w:r>
        <w:rPr>
          <w:rFonts w:hint="eastAsia" w:ascii="仿宋_GB2312" w:hAnsi="宋体" w:eastAsia="仿宋_GB2312" w:cs="宋体"/>
          <w:b/>
          <w:bCs/>
          <w:color w:val="000000"/>
          <w:kern w:val="0"/>
          <w:sz w:val="32"/>
          <w:szCs w:val="32"/>
          <w:lang w:eastAsia="zh-CN"/>
        </w:rPr>
        <w:t>我中心今年收到县人大十八届二次会议交办的人大代表建议</w:t>
      </w:r>
      <w:r>
        <w:rPr>
          <w:rFonts w:hint="eastAsia" w:ascii="仿宋_GB2312" w:hAnsi="宋体" w:eastAsia="仿宋_GB2312" w:cs="宋体"/>
          <w:b/>
          <w:bCs/>
          <w:color w:val="000000"/>
          <w:kern w:val="0"/>
          <w:sz w:val="32"/>
          <w:szCs w:val="32"/>
          <w:lang w:val="en-US" w:eastAsia="zh-CN"/>
        </w:rPr>
        <w:t>1</w:t>
      </w:r>
      <w:r>
        <w:rPr>
          <w:rFonts w:hint="eastAsia" w:ascii="仿宋_GB2312" w:hAnsi="宋体" w:eastAsia="仿宋_GB2312" w:cs="宋体"/>
          <w:b/>
          <w:bCs/>
          <w:color w:val="000000"/>
          <w:kern w:val="0"/>
          <w:sz w:val="32"/>
          <w:szCs w:val="32"/>
          <w:lang w:eastAsia="zh-CN"/>
        </w:rPr>
        <w:t>件；县政协第十一届二次会议交办的政协委员提案</w:t>
      </w:r>
      <w:r>
        <w:rPr>
          <w:rFonts w:hint="eastAsia" w:ascii="仿宋_GB2312" w:hAnsi="宋体" w:eastAsia="仿宋_GB2312" w:cs="宋体"/>
          <w:b/>
          <w:bCs/>
          <w:color w:val="000000"/>
          <w:kern w:val="0"/>
          <w:sz w:val="32"/>
          <w:szCs w:val="32"/>
          <w:lang w:val="en-US" w:eastAsia="zh-CN"/>
        </w:rPr>
        <w:t>1</w:t>
      </w:r>
      <w:r>
        <w:rPr>
          <w:rFonts w:hint="eastAsia" w:ascii="仿宋_GB2312" w:hAnsi="宋体" w:eastAsia="仿宋_GB2312" w:cs="宋体"/>
          <w:b/>
          <w:bCs/>
          <w:color w:val="000000"/>
          <w:kern w:val="0"/>
          <w:sz w:val="32"/>
          <w:szCs w:val="32"/>
          <w:lang w:eastAsia="zh-CN"/>
        </w:rPr>
        <w:t>件。目前已全部答复办理完毕。建议提案均由我中心分管负责人与业务科室与建议提案人进行了面对面详细答复，建议提案人对答复均表示满意。下步，我们将结合工作实际，继续从人大建议和政协提案中把握人民群众对农经工作的要求，把办理建议和提案同推动农经工作结合起来，扩大建议提案的办理效果。</w:t>
      </w:r>
    </w:p>
    <w:p>
      <w:pPr>
        <w:widowControl/>
        <w:spacing w:line="480" w:lineRule="auto"/>
        <w:ind w:firstLine="643" w:firstLineChars="200"/>
        <w:jc w:val="left"/>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（四）年度政务公开工作创新情况。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eastAsia="zh-CN"/>
        </w:rPr>
        <w:t>创新公开方式，多形式解读文件。重要政策文件的解读，在形式上运用视频解读和数字图文解读等多种方式，在内容上多角度从政策背景、决策依据、出台目的、重要举措等方面进行分析解析，切实落实政策解读主体责任，提高政策文件解读的准确性。</w:t>
      </w:r>
    </w:p>
    <w:p>
      <w:pPr>
        <w:widowControl/>
        <w:spacing w:line="480" w:lineRule="auto"/>
        <w:ind w:firstLine="643" w:firstLineChars="200"/>
        <w:jc w:val="left"/>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（五）报告数据统计说明。</w:t>
      </w:r>
    </w:p>
    <w:p>
      <w:pPr>
        <w:widowControl/>
        <w:spacing w:line="480" w:lineRule="auto"/>
        <w:ind w:firstLine="643" w:firstLineChars="200"/>
        <w:jc w:val="left"/>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eastAsia="zh-CN"/>
        </w:rPr>
        <w:t>本报告所列数据统计期限为2023年1月1日至2023年12月31日。</w:t>
      </w:r>
    </w:p>
    <w:p>
      <w:pPr>
        <w:widowControl/>
        <w:spacing w:line="480" w:lineRule="auto"/>
        <w:ind w:firstLine="643" w:firstLineChars="200"/>
        <w:jc w:val="left"/>
        <w:rPr>
          <w:rFonts w:hint="eastAsia" w:ascii="仿宋_GB2312" w:hAnsi="宋体" w:eastAsia="仿宋_GB2312" w:cs="宋体"/>
          <w:b/>
          <w:bCs/>
          <w:color w:val="auto"/>
          <w:kern w:val="0"/>
          <w:sz w:val="32"/>
          <w:szCs w:val="32"/>
        </w:rPr>
      </w:pPr>
      <w:r>
        <w:rPr>
          <w:rFonts w:hint="eastAsia" w:ascii="楷体_GB2312" w:hAnsi="楷体_GB2312" w:eastAsia="楷体_GB2312" w:cs="楷体_GB2312"/>
          <w:b/>
          <w:bCs/>
          <w:color w:val="auto"/>
          <w:kern w:val="0"/>
          <w:sz w:val="32"/>
          <w:szCs w:val="32"/>
        </w:rPr>
        <w:t>（六）本行政机关认为需要报告的其他事项。</w:t>
      </w:r>
      <w:r>
        <w:rPr>
          <w:rFonts w:hint="eastAsia" w:ascii="仿宋_GB2312" w:hAnsi="宋体" w:eastAsia="仿宋_GB2312" w:cs="宋体"/>
          <w:b/>
          <w:bCs/>
          <w:color w:val="auto"/>
          <w:kern w:val="0"/>
          <w:sz w:val="32"/>
          <w:szCs w:val="32"/>
        </w:rPr>
        <w:t>无。</w:t>
      </w:r>
    </w:p>
    <w:p>
      <w:pPr>
        <w:widowControl/>
        <w:spacing w:line="480" w:lineRule="auto"/>
        <w:ind w:firstLine="643" w:firstLineChars="200"/>
        <w:jc w:val="left"/>
        <w:rPr>
          <w:rFonts w:hint="eastAsia" w:ascii="仿宋_GB2312" w:hAnsi="宋体" w:eastAsia="仿宋_GB2312" w:cs="宋体"/>
          <w:b/>
          <w:bCs/>
          <w:color w:val="auto"/>
          <w:kern w:val="0"/>
          <w:sz w:val="32"/>
          <w:szCs w:val="32"/>
        </w:rPr>
      </w:pPr>
      <w:r>
        <w:rPr>
          <w:rFonts w:hint="eastAsia" w:ascii="楷体_GB2312" w:hAnsi="楷体_GB2312" w:eastAsia="楷体_GB2312" w:cs="楷体_GB2312"/>
          <w:b/>
          <w:bCs/>
          <w:color w:val="auto"/>
          <w:kern w:val="0"/>
          <w:sz w:val="32"/>
          <w:szCs w:val="32"/>
        </w:rPr>
        <w:t>（七）其他有关文件专门要求报告的事项。</w:t>
      </w:r>
      <w:r>
        <w:rPr>
          <w:rFonts w:hint="eastAsia" w:ascii="仿宋_GB2312" w:hAnsi="宋体" w:eastAsia="仿宋_GB2312" w:cs="宋体"/>
          <w:b/>
          <w:bCs/>
          <w:color w:val="auto"/>
          <w:kern w:val="0"/>
          <w:sz w:val="32"/>
          <w:szCs w:val="32"/>
        </w:rPr>
        <w:t>无。</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宋体" w:eastAsia="仿宋_GB2312" w:cs="宋体"/>
          <w:b/>
          <w:bCs/>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right"/>
        <w:textAlignment w:val="auto"/>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eastAsia="zh-CN"/>
        </w:rPr>
        <w:t>昌乐县农村经济工作中心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right"/>
        <w:textAlignment w:val="auto"/>
        <w:rPr>
          <w:rFonts w:hint="default"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2024年1月10日</w:t>
      </w:r>
    </w:p>
    <w:sectPr>
      <w:footerReference r:id="rId3" w:type="default"/>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T4ACDBBECtCID-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059bcfa7-7194-43eb-a767-205d84ba81b1"/>
  </w:docVars>
  <w:rsids>
    <w:rsidRoot w:val="485B6240"/>
    <w:rsid w:val="02892287"/>
    <w:rsid w:val="1B0F799C"/>
    <w:rsid w:val="35B87BAC"/>
    <w:rsid w:val="396C606A"/>
    <w:rsid w:val="485B6240"/>
    <w:rsid w:val="50086617"/>
    <w:rsid w:val="68BA5261"/>
    <w:rsid w:val="7C61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3524</Words>
  <Characters>3620</Characters>
  <Lines>0</Lines>
  <Paragraphs>0</Paragraphs>
  <TotalTime>2</TotalTime>
  <ScaleCrop>false</ScaleCrop>
  <LinksUpToDate>false</LinksUpToDate>
  <CharactersWithSpaces>3637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2024-01-18T09:27:00Z</dcterms:created>
  <dc:creator>刘超</dc:creator>
  <cp:lastModifiedBy>WPS_1658918391</cp:lastModifiedBy>
  <dcterms:modified xsi:type="dcterms:W3CDTF">2024-08-15T02:05:17Z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C61DC5B49B204C54B9273A353400686D_11</vt:lpwstr>
  </property>
</Properties>
</file>