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80" w:lineRule="exact"/>
        <w:ind w:left="0"/>
        <w:jc w:val="center"/>
        <w:textAlignment w:val="auto"/>
        <w:rPr>
          <w:rFonts w:hint="eastAsia" w:ascii="文星标宋" w:hAnsi="文星标宋" w:eastAsia="文星标宋" w:cs="文星标宋"/>
          <w:b w:val="0"/>
          <w:bCs/>
          <w:sz w:val="44"/>
          <w:szCs w:val="44"/>
        </w:rPr>
      </w:pPr>
      <w:r>
        <w:rPr>
          <w:rFonts w:hint="eastAsia" w:ascii="文星标宋" w:hAnsi="文星标宋" w:eastAsia="文星标宋" w:cs="文星标宋"/>
          <w:b w:val="0"/>
          <w:bCs/>
          <w:sz w:val="44"/>
          <w:szCs w:val="44"/>
        </w:rPr>
        <w:t>昌乐县农业农村局</w:t>
      </w:r>
    </w:p>
    <w:p>
      <w:pPr>
        <w:keepNext w:val="0"/>
        <w:keepLines w:val="0"/>
        <w:pageBreakBefore w:val="0"/>
        <w:widowControl w:val="0"/>
        <w:kinsoku/>
        <w:wordWrap/>
        <w:overflowPunct/>
        <w:topLinePunct w:val="0"/>
        <w:autoSpaceDE/>
        <w:autoSpaceDN/>
        <w:bidi w:val="0"/>
        <w:adjustRightInd/>
        <w:snapToGrid w:val="0"/>
        <w:spacing w:line="680" w:lineRule="exact"/>
        <w:ind w:left="0"/>
        <w:jc w:val="center"/>
        <w:textAlignment w:val="auto"/>
        <w:rPr>
          <w:rFonts w:hint="eastAsia" w:ascii="文星标宋" w:hAnsi="文星标宋" w:eastAsia="文星标宋" w:cs="文星标宋"/>
          <w:b w:val="0"/>
          <w:bCs/>
          <w:sz w:val="44"/>
          <w:szCs w:val="44"/>
        </w:rPr>
      </w:pPr>
      <w:r>
        <w:rPr>
          <w:rFonts w:hint="eastAsia" w:ascii="文星标宋" w:hAnsi="文星标宋" w:eastAsia="文星标宋" w:cs="文星标宋"/>
          <w:b w:val="0"/>
          <w:bCs/>
          <w:sz w:val="44"/>
          <w:szCs w:val="44"/>
          <w:lang w:eastAsia="zh-CN"/>
        </w:rPr>
        <w:t>2022</w:t>
      </w:r>
      <w:r>
        <w:rPr>
          <w:rFonts w:hint="eastAsia" w:ascii="文星标宋" w:hAnsi="文星标宋" w:eastAsia="文星标宋" w:cs="文星标宋"/>
          <w:b w:val="0"/>
          <w:bCs/>
          <w:sz w:val="44"/>
          <w:szCs w:val="44"/>
        </w:rPr>
        <w:t>年政府信息公开工作年度报告</w:t>
      </w:r>
    </w:p>
    <w:p>
      <w:pPr>
        <w:pStyle w:val="2"/>
        <w:keepNext w:val="0"/>
        <w:keepLines w:val="0"/>
        <w:pageBreakBefore w:val="0"/>
        <w:kinsoku/>
        <w:overflowPunct/>
        <w:topLinePunct w:val="0"/>
        <w:autoSpaceDE/>
        <w:autoSpaceDN/>
        <w:bidi w:val="0"/>
        <w:adjustRightInd/>
        <w:spacing w:before="0" w:beforeAutospacing="0" w:after="0" w:afterAutospacing="0" w:line="578" w:lineRule="exact"/>
        <w:ind w:left="0" w:firstLine="640" w:firstLineChars="200"/>
        <w:jc w:val="both"/>
        <w:textAlignment w:val="auto"/>
        <w:rPr>
          <w:rFonts w:hint="eastAsia" w:ascii="仿宋_GB2312" w:eastAsia="仿宋_GB2312"/>
          <w:b w:val="0"/>
          <w:bCs/>
          <w:sz w:val="32"/>
          <w:szCs w:val="32"/>
          <w:lang w:val="en-US" w:eastAsia="zh-CN"/>
        </w:rPr>
      </w:pPr>
    </w:p>
    <w:p>
      <w:pPr>
        <w:pStyle w:val="2"/>
        <w:keepNext w:val="0"/>
        <w:keepLines w:val="0"/>
        <w:pageBreakBefore w:val="0"/>
        <w:kinsoku/>
        <w:overflowPunct/>
        <w:topLinePunct w:val="0"/>
        <w:autoSpaceDE/>
        <w:autoSpaceDN/>
        <w:bidi w:val="0"/>
        <w:adjustRightInd/>
        <w:spacing w:before="0" w:beforeAutospacing="0" w:after="0" w:afterAutospacing="0" w:line="578" w:lineRule="exact"/>
        <w:ind w:left="0" w:firstLine="640" w:firstLineChars="200"/>
        <w:jc w:val="both"/>
        <w:textAlignment w:val="auto"/>
        <w:rPr>
          <w:rFonts w:hint="eastAsia" w:ascii="仿宋_GB2312" w:eastAsia="仿宋_GB2312"/>
          <w:b w:val="0"/>
          <w:bCs/>
          <w:sz w:val="32"/>
          <w:szCs w:val="32"/>
          <w:lang w:val="en-US" w:eastAsia="zh-CN"/>
        </w:rPr>
      </w:pPr>
      <w:r>
        <w:rPr>
          <w:rFonts w:hint="eastAsia" w:ascii="仿宋_GB2312" w:eastAsia="仿宋_GB2312"/>
          <w:b w:val="0"/>
          <w:bCs/>
          <w:sz w:val="32"/>
          <w:szCs w:val="32"/>
          <w:lang w:val="en-US" w:eastAsia="zh-CN"/>
        </w:rPr>
        <w:t>根据《中华人民共和国政府信息公开条例》</w:t>
      </w:r>
      <w:r>
        <w:rPr>
          <w:rFonts w:hint="eastAsia" w:ascii="仿宋_GB2312" w:eastAsia="仿宋_GB2312"/>
          <w:b w:val="0"/>
          <w:bCs/>
          <w:sz w:val="32"/>
          <w:szCs w:val="32"/>
          <w:lang w:eastAsia="zh-CN"/>
        </w:rPr>
        <w:t>《</w:t>
      </w:r>
      <w:r>
        <w:rPr>
          <w:rFonts w:hint="eastAsia" w:ascii="仿宋_GB2312" w:eastAsia="仿宋_GB2312"/>
          <w:b w:val="0"/>
          <w:bCs/>
          <w:sz w:val="32"/>
          <w:szCs w:val="32"/>
          <w:lang w:val="en-US" w:eastAsia="zh-CN"/>
        </w:rPr>
        <w:t>昌乐县人民政府关于做好2022年政府信息公开工作年度报告编制发布和报送工作的通知</w:t>
      </w:r>
      <w:r>
        <w:rPr>
          <w:rFonts w:hint="eastAsia" w:ascii="仿宋_GB2312" w:eastAsia="仿宋_GB2312"/>
          <w:b w:val="0"/>
          <w:bCs/>
          <w:sz w:val="32"/>
          <w:szCs w:val="32"/>
          <w:lang w:eastAsia="zh-CN"/>
        </w:rPr>
        <w:t>》</w:t>
      </w:r>
      <w:r>
        <w:rPr>
          <w:rFonts w:hint="eastAsia" w:ascii="仿宋_GB2312" w:eastAsia="仿宋_GB2312"/>
          <w:b w:val="0"/>
          <w:bCs/>
          <w:sz w:val="32"/>
          <w:szCs w:val="32"/>
          <w:lang w:val="en-US" w:eastAsia="zh-CN"/>
        </w:rPr>
        <w:t>要求，我局编制完成了2022年政府信息公开工作年度报告，由总体情况、主动公开政府信息情况、收到和处理政府信息公开申请情况、政府信息公开行政复议、行政诉讼情况、存在的主要问题及改进情况、其他需要报告的事项六部分组成。本报告数据的期限从2022年1月1日至12月31日，如对本报告有疑问，请与昌乐县农业农村局办公室联系，联系电话：6222358，电子邮箱: clnyj@wf.shandong.cn通讯地址：城关商务社区1号楼6楼645室。</w:t>
      </w:r>
    </w:p>
    <w:p>
      <w:pPr>
        <w:pStyle w:val="2"/>
        <w:keepNext w:val="0"/>
        <w:keepLines w:val="0"/>
        <w:pageBreakBefore w:val="0"/>
        <w:numPr>
          <w:ilvl w:val="0"/>
          <w:numId w:val="0"/>
        </w:numPr>
        <w:kinsoku/>
        <w:overflowPunct/>
        <w:topLinePunct w:val="0"/>
        <w:autoSpaceDE/>
        <w:autoSpaceDN/>
        <w:bidi w:val="0"/>
        <w:adjustRightInd/>
        <w:spacing w:before="0" w:beforeAutospacing="0" w:after="0" w:afterAutospacing="0" w:line="578" w:lineRule="exact"/>
        <w:ind w:left="0" w:leftChars="0"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一、总体情况</w:t>
      </w:r>
    </w:p>
    <w:p>
      <w:pPr>
        <w:keepNext w:val="0"/>
        <w:keepLines w:val="0"/>
        <w:pageBreakBefore w:val="0"/>
        <w:widowControl/>
        <w:numPr>
          <w:ilvl w:val="0"/>
          <w:numId w:val="0"/>
        </w:numPr>
        <w:kinsoku/>
        <w:wordWrap w:val="0"/>
        <w:overflowPunct/>
        <w:topLinePunct w:val="0"/>
        <w:autoSpaceDE/>
        <w:autoSpaceDN/>
        <w:bidi w:val="0"/>
        <w:adjustRightInd/>
        <w:spacing w:line="578" w:lineRule="exact"/>
        <w:ind w:left="0" w:firstLine="640" w:firstLineChars="200"/>
        <w:jc w:val="both"/>
        <w:textAlignment w:val="auto"/>
        <w:rPr>
          <w:rFonts w:hint="eastAsia" w:ascii="仿宋_GB2312" w:hAnsi="微软雅黑" w:eastAsia="仿宋_GB2312" w:cs="宋体"/>
          <w:b w:val="0"/>
          <w:bCs/>
          <w:kern w:val="0"/>
          <w:sz w:val="32"/>
          <w:szCs w:val="32"/>
          <w:lang w:val="en-US" w:eastAsia="zh-CN" w:bidi="ar-SA"/>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一</w:t>
      </w: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主动公开情况。</w:t>
      </w:r>
      <w:r>
        <w:rPr>
          <w:rFonts w:hint="eastAsia" w:ascii="仿宋_GB2312" w:hAnsi="微软雅黑" w:eastAsia="仿宋_GB2312" w:cs="宋体"/>
          <w:b w:val="0"/>
          <w:bCs/>
          <w:kern w:val="0"/>
          <w:sz w:val="32"/>
          <w:szCs w:val="32"/>
          <w:lang w:val="en-US" w:eastAsia="zh-CN" w:bidi="ar-SA"/>
        </w:rPr>
        <w:t>2022年，我局主动公开政务信息31条。包括：全局工作任务与履行情况；与业务有关的国家法律、法规等；服务承诺、办事程序，出台的文件意见等；农产品质量安全信息、技术信息、市场信息、双随机公开信息等、农药经营许可等。对社会公众通过昌乐民声网上提出的涉农政策、农业生产纠纷等问题及时予以全面、细致地回复，及时答复率、满意率100%。</w:t>
      </w:r>
    </w:p>
    <w:p>
      <w:pPr>
        <w:keepNext w:val="0"/>
        <w:keepLines w:val="0"/>
        <w:pageBreakBefore w:val="0"/>
        <w:widowControl/>
        <w:numPr>
          <w:ilvl w:val="0"/>
          <w:numId w:val="0"/>
        </w:numPr>
        <w:kinsoku/>
        <w:wordWrap w:val="0"/>
        <w:overflowPunct/>
        <w:topLinePunct w:val="0"/>
        <w:autoSpaceDE/>
        <w:autoSpaceDN/>
        <w:bidi w:val="0"/>
        <w:adjustRightInd/>
        <w:spacing w:line="578" w:lineRule="exact"/>
        <w:ind w:left="0" w:firstLine="640" w:firstLineChars="200"/>
        <w:jc w:val="both"/>
        <w:textAlignment w:val="auto"/>
        <w:rPr>
          <w:rFonts w:hint="eastAsia" w:ascii="仿宋_GB2312" w:hAnsi="微软雅黑" w:eastAsia="仿宋_GB2312"/>
          <w:b w:val="0"/>
          <w:bCs/>
          <w:sz w:val="32"/>
          <w:szCs w:val="32"/>
          <w:lang w:eastAsia="zh-CN"/>
        </w:rPr>
      </w:pPr>
      <w:r>
        <w:rPr>
          <w:rFonts w:hint="eastAsia" w:ascii="楷体_GB2312" w:hAnsi="楷体_GB2312" w:eastAsia="楷体_GB2312" w:cs="楷体_GB2312"/>
          <w:b w:val="0"/>
          <w:bCs/>
          <w:sz w:val="32"/>
          <w:szCs w:val="32"/>
          <w:lang w:eastAsia="zh-CN"/>
        </w:rPr>
        <w:t>（二）依申请公开情况。</w:t>
      </w:r>
      <w:r>
        <w:rPr>
          <w:rFonts w:hint="eastAsia" w:ascii="仿宋_GB2312" w:hAnsi="微软雅黑" w:eastAsia="仿宋_GB2312"/>
          <w:b w:val="0"/>
          <w:bCs/>
          <w:sz w:val="32"/>
          <w:szCs w:val="32"/>
          <w:lang w:eastAsia="zh-CN"/>
        </w:rPr>
        <w:t>2022</w:t>
      </w:r>
      <w:r>
        <w:rPr>
          <w:rFonts w:hint="eastAsia" w:ascii="仿宋_GB2312" w:hAnsi="微软雅黑" w:eastAsia="仿宋_GB2312"/>
          <w:b w:val="0"/>
          <w:bCs/>
          <w:sz w:val="32"/>
          <w:szCs w:val="32"/>
        </w:rPr>
        <w:t>年，我局未收到</w:t>
      </w:r>
      <w:r>
        <w:rPr>
          <w:rFonts w:hint="eastAsia" w:ascii="仿宋_GB2312" w:hAnsi="微软雅黑" w:eastAsia="仿宋_GB2312"/>
          <w:b w:val="0"/>
          <w:bCs/>
          <w:sz w:val="32"/>
          <w:szCs w:val="32"/>
          <w:lang w:val="en-US" w:eastAsia="zh-CN"/>
        </w:rPr>
        <w:t>政府信息</w:t>
      </w:r>
      <w:r>
        <w:rPr>
          <w:rFonts w:hint="eastAsia" w:ascii="仿宋_GB2312" w:hAnsi="微软雅黑" w:eastAsia="仿宋_GB2312"/>
          <w:b w:val="0"/>
          <w:bCs/>
          <w:sz w:val="32"/>
          <w:szCs w:val="32"/>
        </w:rPr>
        <w:t>依申请公开</w:t>
      </w:r>
      <w:r>
        <w:rPr>
          <w:rFonts w:hint="eastAsia" w:ascii="仿宋_GB2312" w:hAnsi="微软雅黑" w:eastAsia="仿宋_GB2312"/>
          <w:b w:val="0"/>
          <w:bCs/>
          <w:sz w:val="32"/>
          <w:szCs w:val="32"/>
          <w:lang w:eastAsia="zh-CN"/>
        </w:rPr>
        <w:t>。</w:t>
      </w:r>
    </w:p>
    <w:p>
      <w:pPr>
        <w:pStyle w:val="2"/>
        <w:keepNext w:val="0"/>
        <w:keepLines w:val="0"/>
        <w:pageBreakBefore w:val="0"/>
        <w:numPr>
          <w:ilvl w:val="0"/>
          <w:numId w:val="0"/>
        </w:numPr>
        <w:kinsoku/>
        <w:overflowPunct/>
        <w:topLinePunct w:val="0"/>
        <w:autoSpaceDE/>
        <w:autoSpaceDN/>
        <w:bidi w:val="0"/>
        <w:adjustRightInd/>
        <w:spacing w:before="0" w:beforeAutospacing="0" w:after="0" w:afterAutospacing="0" w:line="578" w:lineRule="exact"/>
        <w:ind w:left="0" w:firstLine="640" w:firstLineChars="200"/>
        <w:jc w:val="both"/>
        <w:textAlignment w:val="auto"/>
        <w:rPr>
          <w:rFonts w:hint="eastAsia" w:ascii="仿宋_GB2312" w:hAnsi="宋体" w:eastAsia="仿宋_GB2312" w:cs="宋体"/>
          <w:b w:val="0"/>
          <w:bCs/>
          <w:kern w:val="0"/>
          <w:sz w:val="32"/>
          <w:szCs w:val="32"/>
          <w:lang w:val="en-US" w:eastAsia="zh-CN" w:bidi="ar-SA"/>
        </w:rPr>
      </w:pPr>
      <w:r>
        <w:rPr>
          <w:rFonts w:hint="eastAsia" w:ascii="楷体_GB2312" w:hAnsi="楷体_GB2312" w:eastAsia="楷体_GB2312" w:cs="楷体_GB2312"/>
          <w:b w:val="0"/>
          <w:bCs/>
          <w:kern w:val="2"/>
          <w:sz w:val="32"/>
          <w:szCs w:val="32"/>
          <w:lang w:val="en-US" w:eastAsia="zh-CN" w:bidi="ar-SA"/>
        </w:rPr>
        <w:t>（三）政府信息管理情况。</w:t>
      </w:r>
      <w:r>
        <w:rPr>
          <w:rFonts w:hint="eastAsia" w:ascii="仿宋_GB2312" w:hAnsi="宋体" w:eastAsia="仿宋_GB2312" w:cs="宋体"/>
          <w:b w:val="0"/>
          <w:bCs/>
          <w:kern w:val="0"/>
          <w:sz w:val="32"/>
          <w:szCs w:val="32"/>
          <w:lang w:val="en-US" w:eastAsia="zh-CN" w:bidi="ar-SA"/>
        </w:rPr>
        <w:t>按照政务公开相关文件以及县政府的规范要求，结合我局实际，对政府信息公开的保密审查、信息送交、统计报送等具体工作进行规范，本着“严格依法、全面真实和及时便民”的原则，抓好政务公开工作各项制度的落实。积极参加县级信息公开培训，组织开展信息公开工作培训，保证政务公开工作稳步推行。</w:t>
      </w:r>
    </w:p>
    <w:p>
      <w:pPr>
        <w:pStyle w:val="2"/>
        <w:keepNext w:val="0"/>
        <w:keepLines w:val="0"/>
        <w:pageBreakBefore w:val="0"/>
        <w:numPr>
          <w:ilvl w:val="0"/>
          <w:numId w:val="0"/>
        </w:numPr>
        <w:kinsoku/>
        <w:overflowPunct/>
        <w:topLinePunct w:val="0"/>
        <w:autoSpaceDE/>
        <w:autoSpaceDN/>
        <w:bidi w:val="0"/>
        <w:adjustRightInd/>
        <w:spacing w:before="0" w:beforeAutospacing="0" w:after="0" w:afterAutospacing="0" w:line="578" w:lineRule="exact"/>
        <w:ind w:left="0" w:firstLine="640" w:firstLineChars="200"/>
        <w:jc w:val="both"/>
        <w:textAlignment w:val="auto"/>
        <w:rPr>
          <w:rFonts w:hint="eastAsia" w:ascii="楷体_GB2312" w:hAnsi="楷体_GB2312" w:eastAsia="楷体_GB2312" w:cs="楷体_GB2312"/>
          <w:b w:val="0"/>
          <w:bCs/>
          <w:kern w:val="2"/>
          <w:sz w:val="32"/>
          <w:szCs w:val="32"/>
          <w:lang w:val="en-US" w:eastAsia="zh-CN" w:bidi="ar-SA"/>
        </w:rPr>
      </w:pPr>
      <w:r>
        <w:rPr>
          <w:rFonts w:hint="eastAsia" w:ascii="楷体_GB2312" w:hAnsi="楷体_GB2312" w:eastAsia="楷体_GB2312" w:cs="楷体_GB2312"/>
          <w:b w:val="0"/>
          <w:bCs/>
          <w:kern w:val="2"/>
          <w:sz w:val="32"/>
          <w:szCs w:val="32"/>
          <w:lang w:val="en-US" w:eastAsia="zh-CN" w:bidi="ar-SA"/>
        </w:rPr>
        <w:t>（四）政务信息公开平台建设情况。</w:t>
      </w:r>
      <w:r>
        <w:rPr>
          <w:rFonts w:hint="eastAsia" w:ascii="仿宋_GB2312" w:hAnsi="宋体" w:eastAsia="仿宋_GB2312" w:cs="宋体"/>
          <w:b w:val="0"/>
          <w:bCs/>
          <w:kern w:val="0"/>
          <w:sz w:val="32"/>
          <w:szCs w:val="32"/>
          <w:lang w:val="en-US" w:eastAsia="zh-CN" w:bidi="ar-SA"/>
        </w:rPr>
        <w:t>在中国昌乐门户网站专栏公布部门工作动态，设置机构职能、组织管理、政策文件、政策解读、规划计划、工作信息、建议提案、重大项目批准和实施等信息</w:t>
      </w:r>
      <w:r>
        <w:rPr>
          <w:rFonts w:hint="eastAsia" w:ascii="仿宋_GB2312" w:eastAsia="仿宋_GB2312" w:cs="宋体"/>
          <w:b w:val="0"/>
          <w:bCs/>
          <w:kern w:val="0"/>
          <w:sz w:val="32"/>
          <w:szCs w:val="32"/>
          <w:lang w:val="en-US" w:eastAsia="zh-CN" w:bidi="ar-SA"/>
        </w:rPr>
        <w:t>。</w:t>
      </w:r>
    </w:p>
    <w:p>
      <w:pPr>
        <w:keepNext w:val="0"/>
        <w:keepLines w:val="0"/>
        <w:pageBreakBefore w:val="0"/>
        <w:widowControl/>
        <w:numPr>
          <w:ilvl w:val="0"/>
          <w:numId w:val="0"/>
        </w:numPr>
        <w:kinsoku/>
        <w:wordWrap w:val="0"/>
        <w:overflowPunct/>
        <w:topLinePunct w:val="0"/>
        <w:autoSpaceDE/>
        <w:autoSpaceDN/>
        <w:bidi w:val="0"/>
        <w:adjustRightInd/>
        <w:spacing w:line="578" w:lineRule="exact"/>
        <w:ind w:left="0" w:firstLine="640" w:firstLineChars="200"/>
        <w:jc w:val="both"/>
        <w:textAlignment w:val="auto"/>
        <w:rPr>
          <w:rFonts w:hint="eastAsia" w:ascii="仿宋_GB2312" w:hAnsi="宋体" w:eastAsia="仿宋_GB2312" w:cs="宋体"/>
          <w:b w:val="0"/>
          <w:bCs/>
          <w:kern w:val="0"/>
          <w:sz w:val="32"/>
          <w:szCs w:val="32"/>
          <w:lang w:val="en-US" w:eastAsia="zh-CN" w:bidi="ar-SA"/>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五</w:t>
      </w: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监督保障情况。</w:t>
      </w:r>
      <w:r>
        <w:rPr>
          <w:rFonts w:hint="eastAsia" w:ascii="仿宋_GB2312" w:hAnsi="宋体" w:eastAsia="仿宋_GB2312" w:cs="宋体"/>
          <w:b w:val="0"/>
          <w:bCs/>
          <w:kern w:val="0"/>
          <w:sz w:val="32"/>
          <w:szCs w:val="32"/>
          <w:lang w:val="en-US" w:eastAsia="zh-CN" w:bidi="ar-SA"/>
        </w:rPr>
        <w:t>及时调整局系统政务公开领导小组，重新确定分管负责人，全面负责做好局机关政府信息公开管理工作，办公室为信息公开工作机构，并安排专人具体负责。定期不定期安排部署政务公开工作，并及时对各部门的政务公开工作落实情况进行督促检查，使政务公开工作真正落到实处，真正体现便民利民、勤政廉政。</w:t>
      </w:r>
    </w:p>
    <w:p>
      <w:pPr>
        <w:keepNext w:val="0"/>
        <w:keepLines w:val="0"/>
        <w:pageBreakBefore w:val="0"/>
        <w:widowControl/>
        <w:numPr>
          <w:ilvl w:val="0"/>
          <w:numId w:val="0"/>
        </w:numPr>
        <w:kinsoku/>
        <w:wordWrap w:val="0"/>
        <w:overflowPunct/>
        <w:topLinePunct w:val="0"/>
        <w:autoSpaceDE/>
        <w:autoSpaceDN/>
        <w:bidi w:val="0"/>
        <w:adjustRightInd/>
        <w:spacing w:line="600" w:lineRule="exact"/>
        <w:ind w:firstLine="640" w:firstLineChars="200"/>
        <w:jc w:val="both"/>
        <w:textAlignment w:val="auto"/>
        <w:rPr>
          <w:rFonts w:hint="eastAsia" w:ascii="仿宋_GB2312" w:hAnsi="微软雅黑" w:eastAsia="仿宋_GB2312" w:cs="宋体"/>
          <w:b w:val="0"/>
          <w:bCs/>
          <w:kern w:val="0"/>
          <w:sz w:val="32"/>
          <w:szCs w:val="32"/>
          <w:lang w:val="en-US" w:eastAsia="zh-CN" w:bidi="ar-SA"/>
        </w:rPr>
      </w:pPr>
      <w:r>
        <w:rPr>
          <w:rFonts w:hint="eastAsia" w:ascii="黑体" w:hAnsi="黑体" w:eastAsia="黑体" w:cs="黑体"/>
          <w:b w:val="0"/>
          <w:bCs/>
          <w:kern w:val="0"/>
          <w:sz w:val="32"/>
          <w:szCs w:val="32"/>
          <w:lang w:val="en-US" w:eastAsia="zh-CN" w:bidi="ar-SA"/>
        </w:rPr>
        <w:t>二、行政机关主动公开政府信息情况</w:t>
      </w:r>
    </w:p>
    <w:tbl>
      <w:tblPr>
        <w:tblStyle w:val="3"/>
        <w:tblW w:w="8708" w:type="dxa"/>
        <w:jc w:val="center"/>
        <w:tblLayout w:type="fixed"/>
        <w:tblCellMar>
          <w:top w:w="0" w:type="dxa"/>
          <w:left w:w="0" w:type="dxa"/>
          <w:bottom w:w="0" w:type="dxa"/>
          <w:right w:w="0" w:type="dxa"/>
        </w:tblCellMar>
      </w:tblPr>
      <w:tblGrid>
        <w:gridCol w:w="3073"/>
        <w:gridCol w:w="17"/>
        <w:gridCol w:w="1647"/>
        <w:gridCol w:w="2040"/>
        <w:gridCol w:w="1931"/>
      </w:tblGrid>
      <w:tr>
        <w:tblPrEx>
          <w:tblCellMar>
            <w:top w:w="0" w:type="dxa"/>
            <w:left w:w="0" w:type="dxa"/>
            <w:bottom w:w="0" w:type="dxa"/>
            <w:right w:w="0" w:type="dxa"/>
          </w:tblCellMar>
        </w:tblPrEx>
        <w:trPr>
          <w:trHeight w:val="619" w:hRule="atLeast"/>
          <w:jc w:val="center"/>
        </w:trPr>
        <w:tc>
          <w:tcPr>
            <w:tcW w:w="870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rFonts w:ascii="宋体" w:hAnsi="宋体" w:cs="宋体"/>
                <w:b w:val="0"/>
                <w:bCs/>
                <w:sz w:val="24"/>
              </w:rPr>
            </w:pPr>
            <w:r>
              <w:rPr>
                <w:rFonts w:hint="eastAsia" w:ascii="宋体" w:hAnsi="宋体" w:cs="宋体"/>
                <w:b w:val="0"/>
                <w:bCs/>
                <w:color w:val="000000"/>
                <w:kern w:val="0"/>
                <w:sz w:val="24"/>
              </w:rPr>
              <w:t>第二十条第（一）项</w:t>
            </w:r>
          </w:p>
        </w:tc>
      </w:tr>
      <w:tr>
        <w:tblPrEx>
          <w:tblCellMar>
            <w:top w:w="0" w:type="dxa"/>
            <w:left w:w="0" w:type="dxa"/>
            <w:bottom w:w="0" w:type="dxa"/>
            <w:right w:w="0" w:type="dxa"/>
          </w:tblCellMar>
        </w:tblPrEx>
        <w:trPr>
          <w:trHeight w:val="866" w:hRule="atLeast"/>
          <w:jc w:val="center"/>
        </w:trPr>
        <w:tc>
          <w:tcPr>
            <w:tcW w:w="307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rFonts w:ascii="宋体" w:hAnsi="宋体" w:cs="宋体"/>
                <w:b w:val="0"/>
                <w:bCs/>
                <w:color w:val="000000"/>
                <w:kern w:val="0"/>
                <w:sz w:val="24"/>
              </w:rPr>
            </w:pPr>
            <w:r>
              <w:rPr>
                <w:rFonts w:hint="eastAsia" w:ascii="宋体" w:hAnsi="宋体" w:cs="宋体"/>
                <w:b w:val="0"/>
                <w:bCs/>
                <w:color w:val="000000"/>
                <w:kern w:val="0"/>
                <w:sz w:val="24"/>
              </w:rPr>
              <w:t>信息内容</w:t>
            </w:r>
          </w:p>
        </w:tc>
        <w:tc>
          <w:tcPr>
            <w:tcW w:w="1664"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rFonts w:hint="default" w:ascii="宋体" w:hAnsi="宋体" w:eastAsia="宋体" w:cs="宋体"/>
                <w:b w:val="0"/>
                <w:bCs/>
                <w:color w:val="000000"/>
                <w:kern w:val="0"/>
                <w:sz w:val="24"/>
                <w:lang w:val="en-US" w:eastAsia="zh-CN"/>
              </w:rPr>
            </w:pPr>
            <w:r>
              <w:rPr>
                <w:rFonts w:hint="eastAsia" w:ascii="宋体" w:hAnsi="宋体" w:cs="宋体"/>
                <w:b w:val="0"/>
                <w:bCs/>
                <w:color w:val="000000"/>
                <w:kern w:val="0"/>
                <w:sz w:val="24"/>
              </w:rPr>
              <w:t>本年</w:t>
            </w:r>
            <w:r>
              <w:rPr>
                <w:rFonts w:hint="eastAsia" w:ascii="宋体" w:hAnsi="宋体" w:cs="宋体"/>
                <w:b w:val="0"/>
                <w:bCs/>
                <w:color w:val="000000"/>
                <w:kern w:val="0"/>
                <w:sz w:val="24"/>
                <w:lang w:val="en-US" w:eastAsia="zh-CN"/>
              </w:rPr>
              <w:t>制发件数</w:t>
            </w:r>
          </w:p>
        </w:tc>
        <w:tc>
          <w:tcPr>
            <w:tcW w:w="2040"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rFonts w:hint="default" w:ascii="宋体" w:hAnsi="宋体" w:eastAsia="宋体" w:cs="宋体"/>
                <w:b w:val="0"/>
                <w:bCs/>
                <w:color w:val="000000"/>
                <w:kern w:val="0"/>
                <w:sz w:val="24"/>
                <w:lang w:val="en-US" w:eastAsia="zh-CN"/>
              </w:rPr>
            </w:pPr>
            <w:r>
              <w:rPr>
                <w:rFonts w:hint="eastAsia" w:ascii="宋体" w:hAnsi="宋体" w:cs="宋体"/>
                <w:b w:val="0"/>
                <w:bCs/>
                <w:color w:val="000000"/>
                <w:kern w:val="0"/>
                <w:sz w:val="24"/>
              </w:rPr>
              <w:t>本年</w:t>
            </w:r>
            <w:r>
              <w:rPr>
                <w:rFonts w:hint="eastAsia" w:ascii="宋体" w:hAnsi="宋体" w:cs="宋体"/>
                <w:b w:val="0"/>
                <w:bCs/>
                <w:color w:val="000000"/>
                <w:kern w:val="0"/>
                <w:sz w:val="24"/>
                <w:lang w:val="en-US" w:eastAsia="zh-CN"/>
              </w:rPr>
              <w:t>废止件数</w:t>
            </w:r>
          </w:p>
        </w:tc>
        <w:tc>
          <w:tcPr>
            <w:tcW w:w="193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rFonts w:hint="default" w:ascii="宋体" w:hAnsi="宋体" w:eastAsia="宋体" w:cs="宋体"/>
                <w:b w:val="0"/>
                <w:bCs/>
                <w:color w:val="000000"/>
                <w:kern w:val="0"/>
                <w:sz w:val="24"/>
                <w:lang w:val="en-US" w:eastAsia="zh-CN"/>
              </w:rPr>
            </w:pPr>
            <w:r>
              <w:rPr>
                <w:rFonts w:hint="eastAsia" w:ascii="宋体" w:hAnsi="宋体" w:cs="宋体"/>
                <w:b w:val="0"/>
                <w:bCs/>
                <w:color w:val="000000"/>
                <w:kern w:val="0"/>
                <w:sz w:val="24"/>
                <w:lang w:val="en-US" w:eastAsia="zh-CN"/>
              </w:rPr>
              <w:t>现行有效件数</w:t>
            </w:r>
          </w:p>
        </w:tc>
      </w:tr>
      <w:tr>
        <w:tblPrEx>
          <w:tblCellMar>
            <w:top w:w="0" w:type="dxa"/>
            <w:left w:w="0" w:type="dxa"/>
            <w:bottom w:w="0" w:type="dxa"/>
            <w:right w:w="0" w:type="dxa"/>
          </w:tblCellMar>
        </w:tblPrEx>
        <w:trPr>
          <w:trHeight w:val="489" w:hRule="atLeast"/>
          <w:jc w:val="center"/>
        </w:trPr>
        <w:tc>
          <w:tcPr>
            <w:tcW w:w="307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rFonts w:ascii="宋体" w:hAnsi="宋体" w:cs="宋体"/>
                <w:b w:val="0"/>
                <w:bCs/>
                <w:color w:val="000000"/>
                <w:kern w:val="0"/>
                <w:sz w:val="24"/>
              </w:rPr>
            </w:pPr>
            <w:r>
              <w:rPr>
                <w:rFonts w:hint="eastAsia" w:ascii="宋体" w:hAnsi="宋体" w:cs="宋体"/>
                <w:b w:val="0"/>
                <w:bCs/>
                <w:color w:val="000000"/>
                <w:kern w:val="0"/>
                <w:sz w:val="24"/>
              </w:rPr>
              <w:t>规章</w:t>
            </w:r>
          </w:p>
        </w:tc>
        <w:tc>
          <w:tcPr>
            <w:tcW w:w="1664"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center"/>
              <w:textAlignment w:val="auto"/>
              <w:rPr>
                <w:rFonts w:ascii="宋体" w:hAnsi="宋体" w:cs="宋体"/>
                <w:b w:val="0"/>
                <w:bCs/>
                <w:color w:val="000000"/>
                <w:kern w:val="0"/>
                <w:sz w:val="24"/>
              </w:rPr>
            </w:pPr>
            <w:r>
              <w:rPr>
                <w:rFonts w:hint="eastAsia" w:ascii="宋体" w:hAnsi="宋体" w:cs="宋体"/>
                <w:b w:val="0"/>
                <w:bCs/>
                <w:color w:val="000000"/>
                <w:kern w:val="0"/>
                <w:sz w:val="24"/>
              </w:rPr>
              <w:t>0</w:t>
            </w:r>
          </w:p>
        </w:tc>
        <w:tc>
          <w:tcPr>
            <w:tcW w:w="20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center"/>
              <w:textAlignment w:val="auto"/>
              <w:rPr>
                <w:rFonts w:hint="eastAsia" w:ascii="宋体" w:hAnsi="宋体" w:cs="宋体"/>
                <w:b w:val="0"/>
                <w:bCs/>
                <w:color w:val="000000"/>
                <w:kern w:val="0"/>
                <w:sz w:val="24"/>
              </w:rPr>
            </w:pPr>
            <w:r>
              <w:rPr>
                <w:rFonts w:hint="eastAsia" w:ascii="宋体" w:hAnsi="宋体" w:cs="宋体"/>
                <w:b w:val="0"/>
                <w:bCs/>
                <w:color w:val="000000"/>
                <w:kern w:val="0"/>
                <w:sz w:val="24"/>
              </w:rPr>
              <w:t>0</w:t>
            </w:r>
          </w:p>
        </w:tc>
        <w:tc>
          <w:tcPr>
            <w:tcW w:w="193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center"/>
              <w:textAlignment w:val="auto"/>
              <w:rPr>
                <w:rFonts w:hint="eastAsia" w:ascii="宋体" w:hAnsi="宋体" w:cs="宋体"/>
                <w:b w:val="0"/>
                <w:bCs/>
                <w:color w:val="000000"/>
                <w:kern w:val="0"/>
                <w:sz w:val="24"/>
              </w:rPr>
            </w:pPr>
            <w:r>
              <w:rPr>
                <w:rFonts w:hint="eastAsia" w:ascii="宋体" w:hAnsi="宋体" w:cs="宋体"/>
                <w:b w:val="0"/>
                <w:bCs/>
                <w:color w:val="000000"/>
                <w:kern w:val="0"/>
                <w:sz w:val="24"/>
              </w:rPr>
              <w:t>0</w:t>
            </w:r>
          </w:p>
        </w:tc>
      </w:tr>
      <w:tr>
        <w:tblPrEx>
          <w:tblCellMar>
            <w:top w:w="0" w:type="dxa"/>
            <w:left w:w="0" w:type="dxa"/>
            <w:bottom w:w="0" w:type="dxa"/>
            <w:right w:w="0" w:type="dxa"/>
          </w:tblCellMar>
        </w:tblPrEx>
        <w:trPr>
          <w:trHeight w:val="494" w:hRule="atLeast"/>
          <w:jc w:val="center"/>
        </w:trPr>
        <w:tc>
          <w:tcPr>
            <w:tcW w:w="307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rFonts w:ascii="宋体" w:hAnsi="宋体" w:cs="宋体"/>
                <w:b w:val="0"/>
                <w:bCs/>
                <w:color w:val="000000"/>
                <w:kern w:val="0"/>
                <w:sz w:val="24"/>
              </w:rPr>
            </w:pPr>
            <w:r>
              <w:rPr>
                <w:rFonts w:hint="eastAsia" w:ascii="宋体" w:hAnsi="宋体" w:cs="宋体"/>
                <w:b w:val="0"/>
                <w:bCs/>
                <w:color w:val="000000"/>
                <w:kern w:val="0"/>
                <w:sz w:val="24"/>
              </w:rPr>
              <w:t>规范性文件</w:t>
            </w:r>
          </w:p>
        </w:tc>
        <w:tc>
          <w:tcPr>
            <w:tcW w:w="1664"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center"/>
              <w:textAlignment w:val="auto"/>
              <w:rPr>
                <w:rFonts w:hint="eastAsia" w:ascii="宋体" w:hAnsi="宋体" w:cs="宋体"/>
                <w:b w:val="0"/>
                <w:bCs/>
                <w:color w:val="000000"/>
                <w:kern w:val="0"/>
                <w:sz w:val="24"/>
              </w:rPr>
            </w:pPr>
            <w:r>
              <w:rPr>
                <w:rFonts w:hint="eastAsia" w:ascii="宋体" w:hAnsi="宋体" w:cs="宋体"/>
                <w:b w:val="0"/>
                <w:bCs/>
                <w:color w:val="000000"/>
                <w:kern w:val="0"/>
                <w:sz w:val="24"/>
              </w:rPr>
              <w:t>0</w:t>
            </w:r>
          </w:p>
        </w:tc>
        <w:tc>
          <w:tcPr>
            <w:tcW w:w="20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center"/>
              <w:textAlignment w:val="auto"/>
              <w:rPr>
                <w:rFonts w:hint="eastAsia" w:ascii="宋体" w:hAnsi="宋体" w:cs="宋体"/>
                <w:b w:val="0"/>
                <w:bCs/>
                <w:color w:val="000000"/>
                <w:kern w:val="0"/>
                <w:sz w:val="24"/>
              </w:rPr>
            </w:pPr>
            <w:r>
              <w:rPr>
                <w:rFonts w:hint="eastAsia" w:ascii="宋体" w:hAnsi="宋体" w:cs="宋体"/>
                <w:b w:val="0"/>
                <w:bCs/>
                <w:color w:val="000000"/>
                <w:kern w:val="0"/>
                <w:sz w:val="24"/>
              </w:rPr>
              <w:t>0</w:t>
            </w:r>
          </w:p>
        </w:tc>
        <w:tc>
          <w:tcPr>
            <w:tcW w:w="193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center"/>
              <w:textAlignment w:val="auto"/>
              <w:rPr>
                <w:rFonts w:ascii="宋体" w:hAnsi="宋体" w:cs="宋体"/>
                <w:b w:val="0"/>
                <w:bCs/>
                <w:color w:val="000000"/>
                <w:kern w:val="0"/>
                <w:sz w:val="24"/>
              </w:rPr>
            </w:pPr>
            <w:r>
              <w:rPr>
                <w:rFonts w:hint="eastAsia" w:ascii="宋体" w:hAnsi="宋体" w:cs="宋体"/>
                <w:b w:val="0"/>
                <w:bCs/>
                <w:color w:val="000000"/>
                <w:kern w:val="0"/>
                <w:sz w:val="24"/>
              </w:rPr>
              <w:t>0</w:t>
            </w:r>
          </w:p>
        </w:tc>
      </w:tr>
      <w:tr>
        <w:tblPrEx>
          <w:tblCellMar>
            <w:top w:w="0" w:type="dxa"/>
            <w:left w:w="0" w:type="dxa"/>
            <w:bottom w:w="0" w:type="dxa"/>
            <w:right w:w="0" w:type="dxa"/>
          </w:tblCellMar>
        </w:tblPrEx>
        <w:trPr>
          <w:trHeight w:val="480" w:hRule="atLeast"/>
          <w:jc w:val="center"/>
        </w:trPr>
        <w:tc>
          <w:tcPr>
            <w:tcW w:w="8708" w:type="dxa"/>
            <w:gridSpan w:val="5"/>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rFonts w:ascii="宋体" w:hAnsi="宋体" w:cs="宋体"/>
                <w:b w:val="0"/>
                <w:bCs/>
                <w:color w:val="000000"/>
                <w:kern w:val="0"/>
                <w:sz w:val="24"/>
              </w:rPr>
            </w:pPr>
            <w:r>
              <w:rPr>
                <w:rFonts w:hint="eastAsia" w:ascii="宋体" w:hAnsi="宋体" w:cs="宋体"/>
                <w:b w:val="0"/>
                <w:bCs/>
                <w:color w:val="000000"/>
                <w:kern w:val="0"/>
                <w:sz w:val="24"/>
              </w:rPr>
              <w:t>第二十条第（五）项</w:t>
            </w:r>
          </w:p>
        </w:tc>
      </w:tr>
      <w:tr>
        <w:tblPrEx>
          <w:tblCellMar>
            <w:top w:w="0" w:type="dxa"/>
            <w:left w:w="0" w:type="dxa"/>
            <w:bottom w:w="0" w:type="dxa"/>
            <w:right w:w="0" w:type="dxa"/>
          </w:tblCellMar>
        </w:tblPrEx>
        <w:trPr>
          <w:trHeight w:val="606" w:hRule="atLeast"/>
          <w:jc w:val="center"/>
        </w:trPr>
        <w:tc>
          <w:tcPr>
            <w:tcW w:w="307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rFonts w:ascii="宋体" w:hAnsi="宋体" w:cs="宋体"/>
                <w:b w:val="0"/>
                <w:bCs/>
                <w:color w:val="000000"/>
                <w:kern w:val="0"/>
                <w:sz w:val="24"/>
              </w:rPr>
            </w:pPr>
            <w:r>
              <w:rPr>
                <w:rFonts w:hint="eastAsia" w:ascii="宋体" w:hAnsi="宋体" w:cs="宋体"/>
                <w:b w:val="0"/>
                <w:bCs/>
                <w:color w:val="000000"/>
                <w:kern w:val="0"/>
                <w:sz w:val="24"/>
              </w:rPr>
              <w:t>信息内容</w:t>
            </w:r>
          </w:p>
        </w:tc>
        <w:tc>
          <w:tcPr>
            <w:tcW w:w="5635" w:type="dxa"/>
            <w:gridSpan w:val="4"/>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rFonts w:ascii="宋体" w:hAnsi="宋体" w:cs="宋体"/>
                <w:b w:val="0"/>
                <w:bCs/>
                <w:color w:val="000000"/>
                <w:kern w:val="0"/>
                <w:sz w:val="24"/>
              </w:rPr>
            </w:pPr>
          </w:p>
          <w:p>
            <w:pPr>
              <w:keepNext w:val="0"/>
              <w:keepLines w:val="0"/>
              <w:pageBreakBefore w:val="0"/>
              <w:widowControl/>
              <w:kinsoku/>
              <w:overflowPunct/>
              <w:topLinePunct w:val="0"/>
              <w:autoSpaceDE/>
              <w:autoSpaceDN/>
              <w:bidi w:val="0"/>
              <w:adjustRightInd/>
              <w:jc w:val="both"/>
              <w:textAlignment w:val="auto"/>
              <w:rPr>
                <w:rFonts w:ascii="宋体" w:hAnsi="宋体" w:cs="宋体"/>
                <w:b w:val="0"/>
                <w:bCs/>
                <w:color w:val="000000"/>
                <w:kern w:val="0"/>
                <w:sz w:val="24"/>
              </w:rPr>
            </w:pPr>
            <w:r>
              <w:rPr>
                <w:rFonts w:hint="eastAsia" w:ascii="宋体" w:hAnsi="宋体" w:cs="宋体"/>
                <w:b w:val="0"/>
                <w:bCs/>
                <w:color w:val="000000"/>
                <w:kern w:val="0"/>
                <w:sz w:val="24"/>
                <w:lang w:val="en-US" w:eastAsia="zh-CN"/>
              </w:rPr>
              <w:t>本年</w:t>
            </w:r>
            <w:r>
              <w:rPr>
                <w:rFonts w:hint="eastAsia" w:ascii="宋体" w:hAnsi="宋体" w:cs="宋体"/>
                <w:b w:val="0"/>
                <w:bCs/>
                <w:color w:val="000000"/>
                <w:kern w:val="0"/>
                <w:sz w:val="24"/>
              </w:rPr>
              <w:t>处理决定数量</w:t>
            </w:r>
          </w:p>
        </w:tc>
      </w:tr>
      <w:tr>
        <w:tblPrEx>
          <w:tblCellMar>
            <w:top w:w="0" w:type="dxa"/>
            <w:left w:w="0" w:type="dxa"/>
            <w:bottom w:w="0" w:type="dxa"/>
            <w:right w:w="0" w:type="dxa"/>
          </w:tblCellMar>
        </w:tblPrEx>
        <w:trPr>
          <w:trHeight w:val="455" w:hRule="atLeast"/>
          <w:jc w:val="center"/>
        </w:trPr>
        <w:tc>
          <w:tcPr>
            <w:tcW w:w="307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rFonts w:ascii="宋体" w:hAnsi="宋体" w:cs="宋体"/>
                <w:b w:val="0"/>
                <w:bCs/>
                <w:color w:val="000000"/>
                <w:kern w:val="0"/>
                <w:sz w:val="24"/>
              </w:rPr>
            </w:pPr>
            <w:r>
              <w:rPr>
                <w:rFonts w:hint="eastAsia" w:ascii="宋体" w:hAnsi="宋体" w:cs="宋体"/>
                <w:b w:val="0"/>
                <w:bCs/>
                <w:color w:val="000000"/>
                <w:kern w:val="0"/>
                <w:sz w:val="24"/>
              </w:rPr>
              <w:t>行政许可</w:t>
            </w:r>
          </w:p>
        </w:tc>
        <w:tc>
          <w:tcPr>
            <w:tcW w:w="5635" w:type="dxa"/>
            <w:gridSpan w:val="4"/>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center"/>
              <w:textAlignment w:val="auto"/>
              <w:rPr>
                <w:rFonts w:hint="default" w:ascii="宋体" w:hAnsi="宋体" w:eastAsia="宋体" w:cs="宋体"/>
                <w:b w:val="0"/>
                <w:bCs/>
                <w:color w:val="000000"/>
                <w:kern w:val="0"/>
                <w:sz w:val="24"/>
                <w:lang w:val="en-US" w:eastAsia="zh-CN"/>
              </w:rPr>
            </w:pPr>
            <w:r>
              <w:rPr>
                <w:rFonts w:hint="eastAsia" w:ascii="宋体" w:hAnsi="宋体" w:cs="宋体"/>
                <w:b w:val="0"/>
                <w:bCs/>
                <w:color w:val="000000"/>
                <w:kern w:val="0"/>
                <w:sz w:val="24"/>
                <w:lang w:val="en-US" w:eastAsia="zh-CN"/>
              </w:rPr>
              <w:t>0</w:t>
            </w:r>
          </w:p>
        </w:tc>
      </w:tr>
      <w:tr>
        <w:tblPrEx>
          <w:tblCellMar>
            <w:top w:w="0" w:type="dxa"/>
            <w:left w:w="0" w:type="dxa"/>
            <w:bottom w:w="0" w:type="dxa"/>
            <w:right w:w="0" w:type="dxa"/>
          </w:tblCellMar>
        </w:tblPrEx>
        <w:trPr>
          <w:trHeight w:val="497" w:hRule="atLeast"/>
          <w:jc w:val="center"/>
        </w:trPr>
        <w:tc>
          <w:tcPr>
            <w:tcW w:w="8708" w:type="dxa"/>
            <w:gridSpan w:val="5"/>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rFonts w:ascii="宋体" w:hAnsi="宋体" w:cs="宋体"/>
                <w:b w:val="0"/>
                <w:bCs/>
                <w:color w:val="000000"/>
                <w:kern w:val="0"/>
                <w:sz w:val="24"/>
              </w:rPr>
            </w:pPr>
            <w:r>
              <w:rPr>
                <w:rFonts w:hint="eastAsia" w:ascii="宋体" w:hAnsi="宋体" w:cs="宋体"/>
                <w:b w:val="0"/>
                <w:bCs/>
                <w:color w:val="000000"/>
                <w:kern w:val="0"/>
                <w:sz w:val="24"/>
              </w:rPr>
              <w:t>第二十条第（六）项</w:t>
            </w:r>
          </w:p>
        </w:tc>
      </w:tr>
      <w:tr>
        <w:tblPrEx>
          <w:tblCellMar>
            <w:top w:w="0" w:type="dxa"/>
            <w:left w:w="0" w:type="dxa"/>
            <w:bottom w:w="0" w:type="dxa"/>
            <w:right w:w="0" w:type="dxa"/>
          </w:tblCellMar>
        </w:tblPrEx>
        <w:trPr>
          <w:trHeight w:val="562" w:hRule="atLeast"/>
          <w:jc w:val="center"/>
        </w:trPr>
        <w:tc>
          <w:tcPr>
            <w:tcW w:w="307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rFonts w:ascii="宋体" w:hAnsi="宋体" w:cs="宋体"/>
                <w:b w:val="0"/>
                <w:bCs/>
                <w:color w:val="000000"/>
                <w:kern w:val="0"/>
                <w:sz w:val="24"/>
              </w:rPr>
            </w:pPr>
            <w:r>
              <w:rPr>
                <w:rFonts w:hint="eastAsia" w:ascii="宋体" w:hAnsi="宋体" w:cs="宋体"/>
                <w:b w:val="0"/>
                <w:bCs/>
                <w:color w:val="000000"/>
                <w:kern w:val="0"/>
                <w:sz w:val="24"/>
              </w:rPr>
              <w:t>信息内容</w:t>
            </w:r>
          </w:p>
        </w:tc>
        <w:tc>
          <w:tcPr>
            <w:tcW w:w="5635" w:type="dxa"/>
            <w:gridSpan w:val="4"/>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rFonts w:ascii="宋体" w:hAnsi="宋体" w:cs="宋体"/>
                <w:b w:val="0"/>
                <w:bCs/>
                <w:color w:val="000000"/>
                <w:kern w:val="0"/>
                <w:sz w:val="24"/>
              </w:rPr>
            </w:pPr>
          </w:p>
          <w:p>
            <w:pPr>
              <w:keepNext w:val="0"/>
              <w:keepLines w:val="0"/>
              <w:pageBreakBefore w:val="0"/>
              <w:widowControl/>
              <w:kinsoku/>
              <w:overflowPunct/>
              <w:topLinePunct w:val="0"/>
              <w:autoSpaceDE/>
              <w:autoSpaceDN/>
              <w:bidi w:val="0"/>
              <w:adjustRightInd/>
              <w:jc w:val="both"/>
              <w:textAlignment w:val="auto"/>
              <w:rPr>
                <w:rFonts w:ascii="宋体" w:hAnsi="宋体" w:cs="宋体"/>
                <w:b w:val="0"/>
                <w:bCs/>
                <w:color w:val="000000"/>
                <w:kern w:val="0"/>
                <w:sz w:val="24"/>
              </w:rPr>
            </w:pPr>
            <w:r>
              <w:rPr>
                <w:rFonts w:hint="eastAsia" w:ascii="宋体" w:hAnsi="宋体" w:cs="宋体"/>
                <w:b w:val="0"/>
                <w:bCs/>
                <w:color w:val="000000"/>
                <w:kern w:val="0"/>
                <w:sz w:val="24"/>
                <w:lang w:val="en-US" w:eastAsia="zh-CN"/>
              </w:rPr>
              <w:t>本年度</w:t>
            </w:r>
            <w:r>
              <w:rPr>
                <w:rFonts w:hint="eastAsia" w:ascii="宋体" w:hAnsi="宋体" w:cs="宋体"/>
                <w:b w:val="0"/>
                <w:bCs/>
                <w:color w:val="000000"/>
                <w:kern w:val="0"/>
                <w:sz w:val="24"/>
              </w:rPr>
              <w:t>处理决定数量</w:t>
            </w:r>
          </w:p>
        </w:tc>
      </w:tr>
      <w:tr>
        <w:tblPrEx>
          <w:tblCellMar>
            <w:top w:w="0" w:type="dxa"/>
            <w:left w:w="0" w:type="dxa"/>
            <w:bottom w:w="0" w:type="dxa"/>
            <w:right w:w="0" w:type="dxa"/>
          </w:tblCellMar>
        </w:tblPrEx>
        <w:trPr>
          <w:trHeight w:val="580" w:hRule="atLeast"/>
          <w:jc w:val="center"/>
        </w:trPr>
        <w:tc>
          <w:tcPr>
            <w:tcW w:w="307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rFonts w:ascii="宋体" w:hAnsi="宋体" w:cs="宋体"/>
                <w:b w:val="0"/>
                <w:bCs/>
                <w:color w:val="000000"/>
                <w:kern w:val="0"/>
                <w:sz w:val="24"/>
              </w:rPr>
            </w:pPr>
            <w:r>
              <w:rPr>
                <w:rFonts w:hint="eastAsia" w:ascii="宋体" w:hAnsi="宋体" w:cs="宋体"/>
                <w:b w:val="0"/>
                <w:bCs/>
                <w:color w:val="000000"/>
                <w:kern w:val="0"/>
                <w:sz w:val="24"/>
              </w:rPr>
              <w:t>行政处罚</w:t>
            </w:r>
          </w:p>
        </w:tc>
        <w:tc>
          <w:tcPr>
            <w:tcW w:w="5635" w:type="dxa"/>
            <w:gridSpan w:val="4"/>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center"/>
              <w:textAlignment w:val="auto"/>
              <w:rPr>
                <w:rFonts w:ascii="宋体" w:hAnsi="宋体" w:cs="宋体"/>
                <w:b w:val="0"/>
                <w:bCs/>
                <w:color w:val="000000"/>
                <w:kern w:val="0"/>
                <w:sz w:val="24"/>
              </w:rPr>
            </w:pPr>
            <w:r>
              <w:rPr>
                <w:rFonts w:hint="eastAsia" w:ascii="宋体" w:hAnsi="宋体" w:cs="宋体"/>
                <w:b w:val="0"/>
                <w:bCs/>
                <w:color w:val="000000"/>
                <w:kern w:val="0"/>
                <w:sz w:val="24"/>
              </w:rPr>
              <w:t>0</w:t>
            </w:r>
          </w:p>
        </w:tc>
      </w:tr>
      <w:tr>
        <w:tblPrEx>
          <w:tblCellMar>
            <w:top w:w="0" w:type="dxa"/>
            <w:left w:w="0" w:type="dxa"/>
            <w:bottom w:w="0" w:type="dxa"/>
            <w:right w:w="0" w:type="dxa"/>
          </w:tblCellMar>
        </w:tblPrEx>
        <w:trPr>
          <w:trHeight w:val="499" w:hRule="atLeast"/>
          <w:jc w:val="center"/>
        </w:trPr>
        <w:tc>
          <w:tcPr>
            <w:tcW w:w="307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rFonts w:ascii="宋体" w:hAnsi="宋体" w:cs="宋体"/>
                <w:b w:val="0"/>
                <w:bCs/>
                <w:color w:val="000000"/>
                <w:kern w:val="0"/>
                <w:sz w:val="24"/>
              </w:rPr>
            </w:pPr>
            <w:r>
              <w:rPr>
                <w:rFonts w:hint="eastAsia" w:ascii="宋体" w:hAnsi="宋体" w:cs="宋体"/>
                <w:b w:val="0"/>
                <w:bCs/>
                <w:color w:val="000000"/>
                <w:kern w:val="0"/>
                <w:sz w:val="24"/>
              </w:rPr>
              <w:t>行政强制</w:t>
            </w:r>
          </w:p>
        </w:tc>
        <w:tc>
          <w:tcPr>
            <w:tcW w:w="5635" w:type="dxa"/>
            <w:gridSpan w:val="4"/>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center"/>
              <w:textAlignment w:val="auto"/>
              <w:rPr>
                <w:rFonts w:hint="eastAsia" w:ascii="宋体" w:hAnsi="宋体" w:cs="宋体"/>
                <w:b w:val="0"/>
                <w:bCs/>
                <w:color w:val="000000"/>
                <w:kern w:val="0"/>
                <w:sz w:val="24"/>
              </w:rPr>
            </w:pPr>
            <w:r>
              <w:rPr>
                <w:rFonts w:hint="eastAsia" w:ascii="宋体" w:hAnsi="宋体" w:cs="宋体"/>
                <w:b w:val="0"/>
                <w:bCs/>
                <w:color w:val="000000"/>
                <w:kern w:val="0"/>
                <w:sz w:val="24"/>
                <w:lang w:val="en-US" w:eastAsia="zh-CN"/>
              </w:rPr>
              <w:t>0</w:t>
            </w:r>
          </w:p>
        </w:tc>
      </w:tr>
      <w:tr>
        <w:tblPrEx>
          <w:tblCellMar>
            <w:top w:w="0" w:type="dxa"/>
            <w:left w:w="0" w:type="dxa"/>
            <w:bottom w:w="0" w:type="dxa"/>
            <w:right w:w="0" w:type="dxa"/>
          </w:tblCellMar>
        </w:tblPrEx>
        <w:trPr>
          <w:trHeight w:val="579" w:hRule="atLeast"/>
          <w:jc w:val="center"/>
        </w:trPr>
        <w:tc>
          <w:tcPr>
            <w:tcW w:w="8708" w:type="dxa"/>
            <w:gridSpan w:val="5"/>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rFonts w:ascii="宋体" w:hAnsi="宋体" w:cs="宋体"/>
                <w:b w:val="0"/>
                <w:bCs/>
                <w:color w:val="000000"/>
                <w:kern w:val="0"/>
                <w:sz w:val="24"/>
              </w:rPr>
            </w:pPr>
            <w:r>
              <w:rPr>
                <w:rFonts w:hint="eastAsia" w:ascii="宋体" w:hAnsi="宋体" w:cs="宋体"/>
                <w:b w:val="0"/>
                <w:bCs/>
                <w:color w:val="000000"/>
                <w:kern w:val="0"/>
                <w:sz w:val="24"/>
              </w:rPr>
              <w:t>第二十条第（八）项</w:t>
            </w:r>
          </w:p>
        </w:tc>
      </w:tr>
      <w:tr>
        <w:tblPrEx>
          <w:tblCellMar>
            <w:top w:w="0" w:type="dxa"/>
            <w:left w:w="0" w:type="dxa"/>
            <w:bottom w:w="0" w:type="dxa"/>
            <w:right w:w="0" w:type="dxa"/>
          </w:tblCellMar>
        </w:tblPrEx>
        <w:trPr>
          <w:trHeight w:val="772" w:hRule="atLeast"/>
          <w:jc w:val="center"/>
        </w:trPr>
        <w:tc>
          <w:tcPr>
            <w:tcW w:w="3090" w:type="dxa"/>
            <w:gridSpan w:val="2"/>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rFonts w:ascii="宋体" w:hAnsi="宋体" w:cs="宋体"/>
                <w:b w:val="0"/>
                <w:bCs/>
                <w:color w:val="000000"/>
                <w:kern w:val="0"/>
                <w:sz w:val="24"/>
              </w:rPr>
            </w:pPr>
            <w:r>
              <w:rPr>
                <w:rFonts w:hint="eastAsia" w:ascii="宋体" w:hAnsi="宋体" w:cs="宋体"/>
                <w:b w:val="0"/>
                <w:bCs/>
                <w:color w:val="000000"/>
                <w:kern w:val="0"/>
                <w:sz w:val="24"/>
              </w:rPr>
              <w:t>信息内容</w:t>
            </w:r>
          </w:p>
        </w:tc>
        <w:tc>
          <w:tcPr>
            <w:tcW w:w="5618" w:type="dxa"/>
            <w:gridSpan w:val="3"/>
            <w:tcBorders>
              <w:top w:val="nil"/>
              <w:left w:val="nil"/>
              <w:bottom w:val="single" w:color="auto" w:sz="8" w:space="0"/>
              <w:right w:val="single" w:color="000000"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rFonts w:hint="eastAsia" w:ascii="宋体" w:hAnsi="宋体" w:eastAsia="宋体" w:cs="宋体"/>
                <w:b w:val="0"/>
                <w:bCs/>
                <w:color w:val="000000"/>
                <w:kern w:val="0"/>
                <w:sz w:val="24"/>
                <w:lang w:eastAsia="zh-CN"/>
              </w:rPr>
            </w:pPr>
            <w:r>
              <w:rPr>
                <w:rFonts w:hint="eastAsia" w:ascii="宋体" w:hAnsi="宋体" w:cs="宋体"/>
                <w:b w:val="0"/>
                <w:bCs/>
                <w:color w:val="000000"/>
                <w:kern w:val="0"/>
                <w:sz w:val="24"/>
                <w:lang w:val="en-US" w:eastAsia="zh-CN"/>
              </w:rPr>
              <w:t>本年收费</w:t>
            </w:r>
            <w:r>
              <w:rPr>
                <w:rFonts w:hint="eastAsia" w:ascii="宋体" w:hAnsi="宋体" w:cs="宋体"/>
                <w:b w:val="0"/>
                <w:bCs/>
                <w:color w:val="000000"/>
                <w:kern w:val="0"/>
                <w:sz w:val="24"/>
              </w:rPr>
              <w:t>金额</w:t>
            </w:r>
            <w:r>
              <w:rPr>
                <w:rFonts w:hint="eastAsia" w:ascii="宋体" w:hAnsi="宋体" w:cs="宋体"/>
                <w:b w:val="0"/>
                <w:bCs/>
                <w:color w:val="000000"/>
                <w:kern w:val="0"/>
                <w:sz w:val="24"/>
                <w:lang w:eastAsia="zh-CN"/>
              </w:rPr>
              <w:t>（</w:t>
            </w:r>
            <w:r>
              <w:rPr>
                <w:rFonts w:hint="eastAsia" w:ascii="宋体" w:hAnsi="宋体" w:cs="宋体"/>
                <w:b w:val="0"/>
                <w:bCs/>
                <w:color w:val="000000"/>
                <w:kern w:val="0"/>
                <w:sz w:val="24"/>
                <w:lang w:val="en-US" w:eastAsia="zh-CN"/>
              </w:rPr>
              <w:t>单位：万元</w:t>
            </w:r>
            <w:r>
              <w:rPr>
                <w:rFonts w:hint="eastAsia" w:ascii="宋体" w:hAnsi="宋体" w:cs="宋体"/>
                <w:b w:val="0"/>
                <w:bCs/>
                <w:color w:val="000000"/>
                <w:kern w:val="0"/>
                <w:sz w:val="24"/>
                <w:lang w:eastAsia="zh-CN"/>
              </w:rPr>
              <w:t>）</w:t>
            </w:r>
          </w:p>
        </w:tc>
      </w:tr>
      <w:tr>
        <w:tblPrEx>
          <w:tblCellMar>
            <w:top w:w="0" w:type="dxa"/>
            <w:left w:w="0" w:type="dxa"/>
            <w:bottom w:w="0" w:type="dxa"/>
            <w:right w:w="0" w:type="dxa"/>
          </w:tblCellMar>
        </w:tblPrEx>
        <w:trPr>
          <w:trHeight w:val="609" w:hRule="atLeast"/>
          <w:jc w:val="center"/>
        </w:trPr>
        <w:tc>
          <w:tcPr>
            <w:tcW w:w="3090" w:type="dxa"/>
            <w:gridSpan w:val="2"/>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rFonts w:hint="default" w:ascii="宋体" w:hAnsi="宋体" w:eastAsia="宋体" w:cs="宋体"/>
                <w:b w:val="0"/>
                <w:bCs/>
                <w:color w:val="000000"/>
                <w:kern w:val="0"/>
                <w:sz w:val="24"/>
                <w:lang w:val="en-US" w:eastAsia="zh-CN"/>
              </w:rPr>
            </w:pPr>
            <w:r>
              <w:rPr>
                <w:rFonts w:hint="eastAsia" w:ascii="宋体" w:hAnsi="宋体" w:cs="宋体"/>
                <w:b w:val="0"/>
                <w:bCs/>
                <w:color w:val="000000"/>
                <w:kern w:val="0"/>
                <w:sz w:val="24"/>
                <w:lang w:val="en-US" w:eastAsia="zh-CN"/>
              </w:rPr>
              <w:t>行政事业性收费</w:t>
            </w:r>
          </w:p>
        </w:tc>
        <w:tc>
          <w:tcPr>
            <w:tcW w:w="5618" w:type="dxa"/>
            <w:gridSpan w:val="3"/>
            <w:tcBorders>
              <w:top w:val="nil"/>
              <w:left w:val="nil"/>
              <w:bottom w:val="single" w:color="auto" w:sz="8" w:space="0"/>
              <w:right w:val="single" w:color="000000"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center"/>
              <w:textAlignment w:val="auto"/>
              <w:rPr>
                <w:rFonts w:hint="eastAsia" w:ascii="宋体" w:hAnsi="宋体" w:cs="宋体"/>
                <w:b w:val="0"/>
                <w:bCs/>
                <w:color w:val="000000"/>
                <w:kern w:val="0"/>
                <w:sz w:val="24"/>
              </w:rPr>
            </w:pPr>
            <w:r>
              <w:rPr>
                <w:rFonts w:hint="eastAsia" w:ascii="宋体" w:hAnsi="宋体" w:cs="宋体"/>
                <w:b w:val="0"/>
                <w:bCs/>
                <w:color w:val="000000"/>
                <w:kern w:val="0"/>
                <w:sz w:val="24"/>
              </w:rPr>
              <w:t>0</w:t>
            </w:r>
          </w:p>
        </w:tc>
      </w:tr>
    </w:tbl>
    <w:p>
      <w:pPr>
        <w:numPr>
          <w:ilvl w:val="0"/>
          <w:numId w:val="0"/>
        </w:num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三、行政机关收到和处理政府信息公开</w:t>
      </w:r>
      <w:r>
        <w:rPr>
          <w:rFonts w:hint="eastAsia" w:ascii="黑体" w:hAnsi="黑体" w:eastAsia="黑体" w:cs="黑体"/>
          <w:b w:val="0"/>
          <w:bCs/>
          <w:sz w:val="32"/>
          <w:szCs w:val="32"/>
        </w:rPr>
        <w:t>申请情况</w:t>
      </w:r>
    </w:p>
    <w:tbl>
      <w:tblPr>
        <w:tblStyle w:val="3"/>
        <w:tblW w:w="876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25"/>
        <w:gridCol w:w="1418"/>
        <w:gridCol w:w="2835"/>
        <w:gridCol w:w="679"/>
        <w:gridCol w:w="540"/>
        <w:gridCol w:w="570"/>
        <w:gridCol w:w="615"/>
        <w:gridCol w:w="570"/>
        <w:gridCol w:w="495"/>
        <w:gridCol w:w="52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3" w:hRule="atLeast"/>
          <w:jc w:val="center"/>
        </w:trPr>
        <w:tc>
          <w:tcPr>
            <w:tcW w:w="4778" w:type="dxa"/>
            <w:gridSpan w:val="3"/>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rFonts w:hint="eastAsia" w:ascii="宋体" w:hAnsi="宋体" w:cs="宋体"/>
                <w:b w:val="0"/>
                <w:bCs/>
                <w:kern w:val="0"/>
                <w:sz w:val="20"/>
                <w:szCs w:val="20"/>
              </w:rPr>
            </w:pPr>
            <w:r>
              <w:rPr>
                <w:rFonts w:hint="eastAsia" w:ascii="宋体" w:hAnsi="宋体" w:cs="宋体"/>
                <w:b w:val="0"/>
                <w:bCs/>
                <w:kern w:val="0"/>
                <w:sz w:val="20"/>
                <w:szCs w:val="20"/>
              </w:rPr>
              <w:t>（本列数据的勾稽关系为：第一项加第二项之和，</w:t>
            </w:r>
          </w:p>
          <w:p>
            <w:pPr>
              <w:keepNext w:val="0"/>
              <w:keepLines w:val="0"/>
              <w:pageBreakBefore w:val="0"/>
              <w:widowControl/>
              <w:kinsoku/>
              <w:overflowPunct/>
              <w:topLinePunct w:val="0"/>
              <w:autoSpaceDE/>
              <w:autoSpaceDN/>
              <w:bidi w:val="0"/>
              <w:adjustRightInd/>
              <w:jc w:val="both"/>
              <w:textAlignment w:val="auto"/>
              <w:rPr>
                <w:b w:val="0"/>
                <w:bCs/>
              </w:rPr>
            </w:pPr>
            <w:r>
              <w:rPr>
                <w:rFonts w:hint="eastAsia" w:ascii="宋体" w:hAnsi="宋体" w:cs="宋体"/>
                <w:b w:val="0"/>
                <w:bCs/>
                <w:kern w:val="0"/>
                <w:sz w:val="20"/>
                <w:szCs w:val="20"/>
              </w:rPr>
              <w:t>等于第三项加第四项之和）</w:t>
            </w:r>
          </w:p>
        </w:tc>
        <w:tc>
          <w:tcPr>
            <w:tcW w:w="3990" w:type="dxa"/>
            <w:gridSpan w:val="7"/>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320" w:lineRule="exact"/>
              <w:jc w:val="both"/>
              <w:textAlignment w:val="auto"/>
              <w:rPr>
                <w:b w:val="0"/>
                <w:bCs/>
              </w:rPr>
            </w:pPr>
            <w:r>
              <w:rPr>
                <w:rFonts w:hint="eastAsia" w:ascii="宋体" w:hAnsi="宋体" w:cs="宋体"/>
                <w:b w:val="0"/>
                <w:bCs/>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679" w:type="dxa"/>
            <w:vMerge w:val="restart"/>
            <w:tcBorders>
              <w:top w:val="single" w:color="auto" w:sz="4"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b w:val="0"/>
                <w:bCs/>
              </w:rPr>
            </w:pPr>
            <w:r>
              <w:rPr>
                <w:rFonts w:hint="eastAsia" w:ascii="宋体" w:hAnsi="宋体" w:cs="宋体"/>
                <w:b w:val="0"/>
                <w:bCs/>
                <w:kern w:val="0"/>
                <w:sz w:val="20"/>
                <w:szCs w:val="20"/>
              </w:rPr>
              <w:t>自然人</w:t>
            </w:r>
          </w:p>
        </w:tc>
        <w:tc>
          <w:tcPr>
            <w:tcW w:w="279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320" w:lineRule="exact"/>
              <w:jc w:val="both"/>
              <w:textAlignment w:val="auto"/>
              <w:rPr>
                <w:b w:val="0"/>
                <w:bCs/>
              </w:rPr>
            </w:pPr>
            <w:r>
              <w:rPr>
                <w:rFonts w:hint="eastAsia" w:ascii="宋体" w:hAnsi="宋体" w:cs="宋体"/>
                <w:b w:val="0"/>
                <w:bCs/>
                <w:kern w:val="0"/>
                <w:sz w:val="20"/>
                <w:szCs w:val="20"/>
              </w:rPr>
              <w:t>法人或其他组织</w:t>
            </w:r>
          </w:p>
        </w:tc>
        <w:tc>
          <w:tcPr>
            <w:tcW w:w="521"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b w:val="0"/>
                <w:bCs/>
              </w:rPr>
            </w:pPr>
            <w:r>
              <w:rPr>
                <w:rFonts w:hint="eastAsia" w:ascii="宋体" w:hAnsi="宋体" w:cs="宋体"/>
                <w:b w:val="0"/>
                <w:bCs/>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27"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679"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320" w:lineRule="exact"/>
              <w:ind w:left="-106" w:leftChars="-51" w:right="-107" w:rightChars="-51" w:hanging="1"/>
              <w:jc w:val="both"/>
              <w:textAlignment w:val="auto"/>
              <w:rPr>
                <w:b w:val="0"/>
                <w:bCs/>
              </w:rPr>
            </w:pPr>
            <w:r>
              <w:rPr>
                <w:rFonts w:hint="eastAsia" w:ascii="宋体" w:hAnsi="宋体" w:cs="宋体"/>
                <w:b w:val="0"/>
                <w:bCs/>
                <w:kern w:val="0"/>
                <w:sz w:val="20"/>
                <w:szCs w:val="20"/>
              </w:rPr>
              <w:t>商业企业</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320" w:lineRule="exact"/>
              <w:ind w:left="-107" w:leftChars="-51" w:right="-107" w:rightChars="-51"/>
              <w:jc w:val="both"/>
              <w:textAlignment w:val="auto"/>
              <w:rPr>
                <w:b w:val="0"/>
                <w:bCs/>
              </w:rPr>
            </w:pPr>
            <w:r>
              <w:rPr>
                <w:rFonts w:hint="eastAsia" w:ascii="宋体" w:hAnsi="宋体" w:cs="宋体"/>
                <w:b w:val="0"/>
                <w:bCs/>
                <w:kern w:val="0"/>
                <w:sz w:val="20"/>
                <w:szCs w:val="20"/>
              </w:rPr>
              <w:t>科研机构</w:t>
            </w:r>
          </w:p>
        </w:tc>
        <w:tc>
          <w:tcPr>
            <w:tcW w:w="61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320" w:lineRule="exact"/>
              <w:ind w:left="-107" w:leftChars="-51" w:right="-107" w:rightChars="-51"/>
              <w:jc w:val="both"/>
              <w:textAlignment w:val="auto"/>
              <w:rPr>
                <w:b w:val="0"/>
                <w:bCs/>
              </w:rPr>
            </w:pPr>
            <w:r>
              <w:rPr>
                <w:rFonts w:hint="eastAsia" w:ascii="宋体" w:hAnsi="宋体" w:cs="宋体"/>
                <w:b w:val="0"/>
                <w:bCs/>
                <w:kern w:val="0"/>
                <w:sz w:val="20"/>
                <w:szCs w:val="20"/>
              </w:rPr>
              <w:t>社会公益组织</w:t>
            </w:r>
          </w:p>
        </w:tc>
        <w:tc>
          <w:tcPr>
            <w:tcW w:w="570"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320" w:lineRule="exact"/>
              <w:ind w:left="-106" w:leftChars="-51" w:right="-107" w:rightChars="-51" w:hanging="1"/>
              <w:jc w:val="both"/>
              <w:textAlignment w:val="auto"/>
              <w:rPr>
                <w:b w:val="0"/>
                <w:bCs/>
              </w:rPr>
            </w:pPr>
            <w:r>
              <w:rPr>
                <w:rFonts w:hint="eastAsia" w:ascii="宋体" w:hAnsi="宋体" w:cs="宋体"/>
                <w:b w:val="0"/>
                <w:bCs/>
                <w:kern w:val="0"/>
                <w:sz w:val="20"/>
                <w:szCs w:val="20"/>
              </w:rPr>
              <w:t>法律服务机构</w:t>
            </w:r>
          </w:p>
        </w:tc>
        <w:tc>
          <w:tcPr>
            <w:tcW w:w="49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360" w:lineRule="exact"/>
              <w:ind w:left="-63" w:leftChars="-30" w:right="-134" w:rightChars="-64"/>
              <w:jc w:val="both"/>
              <w:textAlignment w:val="auto"/>
              <w:rPr>
                <w:b w:val="0"/>
                <w:bCs/>
              </w:rPr>
            </w:pPr>
            <w:r>
              <w:rPr>
                <w:rFonts w:hint="eastAsia" w:ascii="宋体" w:hAnsi="宋体" w:cs="宋体"/>
                <w:b w:val="0"/>
                <w:bCs/>
                <w:kern w:val="0"/>
                <w:sz w:val="20"/>
                <w:szCs w:val="20"/>
              </w:rPr>
              <w:t>其他</w:t>
            </w:r>
          </w:p>
        </w:tc>
        <w:tc>
          <w:tcPr>
            <w:tcW w:w="521"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b w:val="0"/>
                <w:bCs/>
              </w:rPr>
            </w:pPr>
            <w:r>
              <w:rPr>
                <w:rFonts w:hint="eastAsia" w:ascii="宋体" w:hAnsi="宋体" w:cs="宋体"/>
                <w:b w:val="0"/>
                <w:bCs/>
                <w:kern w:val="0"/>
                <w:sz w:val="20"/>
                <w:szCs w:val="20"/>
              </w:rPr>
              <w:t>一、本年新收政府信息公开申请数量</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52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b w:val="0"/>
                <w:bCs/>
              </w:rPr>
            </w:pPr>
            <w:r>
              <w:rPr>
                <w:rFonts w:hint="eastAsia" w:ascii="宋体" w:hAnsi="宋体" w:cs="宋体"/>
                <w:b w:val="0"/>
                <w:bCs/>
                <w:kern w:val="0"/>
                <w:sz w:val="20"/>
                <w:szCs w:val="20"/>
              </w:rPr>
              <w:t>二、上年结转政府信息公开申请数量</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52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ascii="宋体" w:hAnsi="宋体" w:cs="宋体"/>
                <w:b w:val="0"/>
                <w:bCs/>
                <w:kern w:val="0"/>
                <w:sz w:val="20"/>
                <w:szCs w:val="20"/>
              </w:rPr>
              <w:t>三、本年度办理结果</w:t>
            </w:r>
          </w:p>
        </w:tc>
        <w:tc>
          <w:tcPr>
            <w:tcW w:w="4253"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b w:val="0"/>
                <w:bCs/>
              </w:rPr>
            </w:pPr>
            <w:r>
              <w:rPr>
                <w:rFonts w:ascii="楷体" w:hAnsi="楷体" w:eastAsia="楷体" w:cs="楷体"/>
                <w:b w:val="0"/>
                <w:bCs/>
                <w:kern w:val="0"/>
                <w:sz w:val="20"/>
                <w:szCs w:val="20"/>
              </w:rPr>
              <w:t>（一）予以公开</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521"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4253"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b w:val="0"/>
                <w:bCs/>
              </w:rPr>
            </w:pPr>
            <w:r>
              <w:rPr>
                <w:rFonts w:hint="eastAsia" w:ascii="楷体" w:hAnsi="楷体" w:eastAsia="楷体" w:cs="楷体"/>
                <w:b w:val="0"/>
                <w:bCs/>
                <w:kern w:val="0"/>
                <w:sz w:val="20"/>
                <w:szCs w:val="20"/>
              </w:rPr>
              <w:t>（二）部分公开（区分处理的，只计这一情形，不计其他情形）</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52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1418"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200" w:lineRule="exact"/>
              <w:ind w:left="-107" w:leftChars="-51"/>
              <w:jc w:val="both"/>
              <w:textAlignment w:val="auto"/>
              <w:rPr>
                <w:b w:val="0"/>
                <w:bCs/>
              </w:rPr>
            </w:pPr>
            <w:r>
              <w:rPr>
                <w:rFonts w:hint="eastAsia" w:ascii="楷体" w:hAnsi="楷体" w:eastAsia="楷体" w:cs="楷体"/>
                <w:b w:val="0"/>
                <w:bCs/>
                <w:kern w:val="0"/>
                <w:sz w:val="20"/>
                <w:szCs w:val="20"/>
              </w:rPr>
              <w:t>（三）不予公开</w:t>
            </w: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200" w:lineRule="exact"/>
              <w:jc w:val="both"/>
              <w:textAlignment w:val="auto"/>
              <w:rPr>
                <w:rFonts w:ascii="楷体" w:hAnsi="楷体" w:eastAsia="楷体" w:cs="楷体"/>
                <w:b w:val="0"/>
                <w:bCs/>
                <w:kern w:val="0"/>
                <w:sz w:val="20"/>
                <w:szCs w:val="20"/>
              </w:rPr>
            </w:pPr>
            <w:r>
              <w:rPr>
                <w:rFonts w:hint="eastAsia" w:ascii="楷体" w:hAnsi="楷体" w:eastAsia="楷体" w:cs="楷体"/>
                <w:b w:val="0"/>
                <w:bCs/>
                <w:kern w:val="0"/>
                <w:sz w:val="20"/>
                <w:szCs w:val="20"/>
              </w:rPr>
              <w:t>1.属于国家秘密</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rFonts w:hint="eastAsia" w:eastAsia="宋体"/>
                <w:b w:val="0"/>
                <w:bCs/>
                <w:lang w:val="en-US" w:eastAsia="zh-CN"/>
              </w:rPr>
            </w:pPr>
            <w:r>
              <w:rPr>
                <w:rFonts w:hint="eastAsia"/>
                <w:b w:val="0"/>
                <w:bCs/>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rFonts w:hint="eastAsia" w:eastAsia="宋体"/>
                <w:b w:val="0"/>
                <w:bCs/>
                <w:lang w:val="en-US" w:eastAsia="zh-CN"/>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521"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pacing w:line="200" w:lineRule="exact"/>
              <w:jc w:val="both"/>
              <w:textAlignment w:val="auto"/>
              <w:rPr>
                <w:rFonts w:ascii="宋体"/>
                <w:b w:val="0"/>
                <w:bCs/>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200" w:lineRule="exact"/>
              <w:jc w:val="both"/>
              <w:textAlignment w:val="auto"/>
              <w:rPr>
                <w:rFonts w:ascii="楷体" w:hAnsi="楷体" w:eastAsia="楷体" w:cs="楷体"/>
                <w:b w:val="0"/>
                <w:bCs/>
                <w:kern w:val="0"/>
                <w:sz w:val="20"/>
                <w:szCs w:val="20"/>
              </w:rPr>
            </w:pPr>
            <w:r>
              <w:rPr>
                <w:rFonts w:hint="eastAsia" w:ascii="楷体" w:hAnsi="楷体" w:eastAsia="楷体" w:cs="楷体"/>
                <w:b w:val="0"/>
                <w:bCs/>
                <w:kern w:val="0"/>
                <w:sz w:val="20"/>
                <w:szCs w:val="20"/>
              </w:rPr>
              <w:t>2.其他法律行政法规禁止公开</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rFonts w:hint="eastAsia" w:eastAsia="宋体"/>
                <w:b w:val="0"/>
                <w:bCs/>
                <w:lang w:val="en-US" w:eastAsia="zh-CN"/>
              </w:rPr>
            </w:pPr>
            <w:r>
              <w:rPr>
                <w:rFonts w:hint="eastAsia"/>
                <w:b w:val="0"/>
                <w:bCs/>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rFonts w:hint="eastAsia" w:eastAsia="宋体"/>
                <w:b w:val="0"/>
                <w:bCs/>
                <w:lang w:val="en-US" w:eastAsia="zh-CN"/>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52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pacing w:line="200" w:lineRule="exact"/>
              <w:jc w:val="both"/>
              <w:textAlignment w:val="auto"/>
              <w:rPr>
                <w:rFonts w:ascii="宋体"/>
                <w:b w:val="0"/>
                <w:bCs/>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200" w:lineRule="exact"/>
              <w:jc w:val="both"/>
              <w:textAlignment w:val="auto"/>
              <w:rPr>
                <w:rFonts w:ascii="楷体" w:hAnsi="楷体" w:eastAsia="楷体" w:cs="楷体"/>
                <w:b w:val="0"/>
                <w:bCs/>
                <w:kern w:val="0"/>
                <w:sz w:val="20"/>
                <w:szCs w:val="20"/>
              </w:rPr>
            </w:pPr>
            <w:r>
              <w:rPr>
                <w:rFonts w:hint="eastAsia" w:ascii="楷体" w:hAnsi="楷体" w:eastAsia="楷体" w:cs="楷体"/>
                <w:b w:val="0"/>
                <w:bCs/>
                <w:kern w:val="0"/>
                <w:sz w:val="20"/>
                <w:szCs w:val="20"/>
              </w:rPr>
              <w:t>3.危及“三安全一稳定”</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rFonts w:hint="eastAsia" w:eastAsia="宋体"/>
                <w:b w:val="0"/>
                <w:bCs/>
                <w:lang w:val="en-US" w:eastAsia="zh-CN"/>
              </w:rPr>
            </w:pPr>
            <w:r>
              <w:rPr>
                <w:rFonts w:hint="eastAsia"/>
                <w:b w:val="0"/>
                <w:bCs/>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rFonts w:hint="eastAsia" w:eastAsia="宋体"/>
                <w:b w:val="0"/>
                <w:bCs/>
                <w:lang w:val="en-US" w:eastAsia="zh-CN"/>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52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pacing w:line="200" w:lineRule="exact"/>
              <w:jc w:val="both"/>
              <w:textAlignment w:val="auto"/>
              <w:rPr>
                <w:rFonts w:ascii="宋体"/>
                <w:b w:val="0"/>
                <w:bCs/>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200" w:lineRule="exact"/>
              <w:jc w:val="both"/>
              <w:textAlignment w:val="auto"/>
              <w:rPr>
                <w:rFonts w:ascii="楷体" w:hAnsi="楷体" w:eastAsia="楷体" w:cs="楷体"/>
                <w:b w:val="0"/>
                <w:bCs/>
                <w:kern w:val="0"/>
                <w:sz w:val="20"/>
                <w:szCs w:val="20"/>
              </w:rPr>
            </w:pPr>
            <w:r>
              <w:rPr>
                <w:rFonts w:hint="eastAsia" w:ascii="楷体" w:hAnsi="楷体" w:eastAsia="楷体" w:cs="楷体"/>
                <w:b w:val="0"/>
                <w:bCs/>
                <w:kern w:val="0"/>
                <w:sz w:val="20"/>
                <w:szCs w:val="20"/>
              </w:rPr>
              <w:t>4.保护第三方合法权益</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rFonts w:hint="eastAsia" w:eastAsia="宋体"/>
                <w:b w:val="0"/>
                <w:bCs/>
                <w:lang w:val="en-US" w:eastAsia="zh-CN"/>
              </w:rPr>
            </w:pPr>
            <w:r>
              <w:rPr>
                <w:rFonts w:hint="eastAsia"/>
                <w:b w:val="0"/>
                <w:bCs/>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rFonts w:hint="eastAsia" w:eastAsia="宋体"/>
                <w:b w:val="0"/>
                <w:bCs/>
                <w:lang w:val="en-US" w:eastAsia="zh-CN"/>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52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pacing w:line="200" w:lineRule="exact"/>
              <w:jc w:val="both"/>
              <w:textAlignment w:val="auto"/>
              <w:rPr>
                <w:rFonts w:ascii="宋体"/>
                <w:b w:val="0"/>
                <w:bCs/>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200" w:lineRule="exact"/>
              <w:jc w:val="both"/>
              <w:textAlignment w:val="auto"/>
              <w:rPr>
                <w:rFonts w:ascii="楷体" w:hAnsi="楷体" w:eastAsia="楷体" w:cs="楷体"/>
                <w:b w:val="0"/>
                <w:bCs/>
                <w:kern w:val="0"/>
                <w:sz w:val="20"/>
                <w:szCs w:val="20"/>
              </w:rPr>
            </w:pPr>
            <w:r>
              <w:rPr>
                <w:rFonts w:hint="eastAsia" w:ascii="楷体" w:hAnsi="楷体" w:eastAsia="楷体" w:cs="楷体"/>
                <w:b w:val="0"/>
                <w:bCs/>
                <w:kern w:val="0"/>
                <w:sz w:val="20"/>
                <w:szCs w:val="20"/>
              </w:rPr>
              <w:t>5.属于三类内部事务信息</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rFonts w:hint="eastAsia" w:eastAsia="宋体"/>
                <w:b w:val="0"/>
                <w:bCs/>
                <w:lang w:val="en-US" w:eastAsia="zh-CN"/>
              </w:rPr>
            </w:pPr>
            <w:r>
              <w:rPr>
                <w:rFonts w:hint="eastAsia"/>
                <w:b w:val="0"/>
                <w:bCs/>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rFonts w:hint="eastAsia" w:eastAsia="宋体"/>
                <w:b w:val="0"/>
                <w:bCs/>
                <w:lang w:val="en-US" w:eastAsia="zh-CN"/>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2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pacing w:line="200" w:lineRule="exact"/>
              <w:jc w:val="both"/>
              <w:textAlignment w:val="auto"/>
              <w:rPr>
                <w:rFonts w:ascii="宋体"/>
                <w:b w:val="0"/>
                <w:bCs/>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200" w:lineRule="exact"/>
              <w:jc w:val="both"/>
              <w:textAlignment w:val="auto"/>
              <w:rPr>
                <w:rFonts w:ascii="楷体" w:hAnsi="楷体" w:eastAsia="楷体" w:cs="楷体"/>
                <w:b w:val="0"/>
                <w:bCs/>
                <w:kern w:val="0"/>
                <w:sz w:val="20"/>
                <w:szCs w:val="20"/>
              </w:rPr>
            </w:pPr>
            <w:r>
              <w:rPr>
                <w:rFonts w:hint="eastAsia" w:ascii="楷体" w:hAnsi="楷体" w:eastAsia="楷体" w:cs="楷体"/>
                <w:b w:val="0"/>
                <w:bCs/>
                <w:kern w:val="0"/>
                <w:sz w:val="20"/>
                <w:szCs w:val="20"/>
              </w:rPr>
              <w:t>6.属于四类过程性信息</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b w:val="0"/>
                <w:bCs/>
              </w:rPr>
            </w:pPr>
            <w:r>
              <w:rPr>
                <w:rFonts w:hint="eastAsia"/>
                <w:b w:val="0"/>
                <w:bCs/>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2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pacing w:line="200" w:lineRule="exact"/>
              <w:jc w:val="both"/>
              <w:textAlignment w:val="auto"/>
              <w:rPr>
                <w:rFonts w:ascii="宋体"/>
                <w:b w:val="0"/>
                <w:bCs/>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200" w:lineRule="exact"/>
              <w:jc w:val="both"/>
              <w:textAlignment w:val="auto"/>
              <w:rPr>
                <w:rFonts w:ascii="楷体" w:hAnsi="楷体" w:eastAsia="楷体" w:cs="楷体"/>
                <w:b w:val="0"/>
                <w:bCs/>
                <w:kern w:val="0"/>
                <w:sz w:val="20"/>
                <w:szCs w:val="20"/>
              </w:rPr>
            </w:pPr>
            <w:r>
              <w:rPr>
                <w:rFonts w:hint="eastAsia" w:ascii="楷体" w:hAnsi="楷体" w:eastAsia="楷体" w:cs="楷体"/>
                <w:b w:val="0"/>
                <w:bCs/>
                <w:kern w:val="0"/>
                <w:sz w:val="20"/>
                <w:szCs w:val="20"/>
              </w:rPr>
              <w:t>7.属于行政执法案卷</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b w:val="0"/>
                <w:bCs/>
              </w:rPr>
            </w:pPr>
            <w:r>
              <w:rPr>
                <w:rFonts w:hint="eastAsia"/>
                <w:b w:val="0"/>
                <w:bCs/>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2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pacing w:line="200" w:lineRule="exact"/>
              <w:jc w:val="both"/>
              <w:textAlignment w:val="auto"/>
              <w:rPr>
                <w:rFonts w:ascii="宋体"/>
                <w:b w:val="0"/>
                <w:bCs/>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200" w:lineRule="exact"/>
              <w:jc w:val="both"/>
              <w:textAlignment w:val="auto"/>
              <w:rPr>
                <w:rFonts w:ascii="楷体" w:hAnsi="楷体" w:eastAsia="楷体" w:cs="楷体"/>
                <w:b w:val="0"/>
                <w:bCs/>
                <w:kern w:val="0"/>
                <w:sz w:val="20"/>
                <w:szCs w:val="20"/>
              </w:rPr>
            </w:pPr>
            <w:r>
              <w:rPr>
                <w:rFonts w:hint="eastAsia" w:ascii="楷体" w:hAnsi="楷体" w:eastAsia="楷体" w:cs="楷体"/>
                <w:b w:val="0"/>
                <w:bCs/>
                <w:kern w:val="0"/>
                <w:sz w:val="20"/>
                <w:szCs w:val="20"/>
              </w:rPr>
              <w:t>8.属于行政查询事项</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b w:val="0"/>
                <w:bCs/>
              </w:rPr>
            </w:pPr>
            <w:r>
              <w:rPr>
                <w:rFonts w:hint="eastAsia"/>
                <w:b w:val="0"/>
                <w:bCs/>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2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1418"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200" w:lineRule="exact"/>
              <w:ind w:left="-107" w:leftChars="-51"/>
              <w:jc w:val="both"/>
              <w:textAlignment w:val="auto"/>
              <w:rPr>
                <w:b w:val="0"/>
                <w:bCs/>
              </w:rPr>
            </w:pPr>
            <w:r>
              <w:rPr>
                <w:rFonts w:hint="eastAsia" w:ascii="楷体" w:hAnsi="楷体" w:eastAsia="楷体" w:cs="楷体"/>
                <w:b w:val="0"/>
                <w:bCs/>
                <w:kern w:val="0"/>
                <w:sz w:val="20"/>
                <w:szCs w:val="20"/>
              </w:rPr>
              <w:t>（四）无法提供</w:t>
            </w: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200" w:lineRule="exact"/>
              <w:jc w:val="both"/>
              <w:textAlignment w:val="auto"/>
              <w:rPr>
                <w:rFonts w:ascii="楷体" w:hAnsi="楷体" w:eastAsia="楷体" w:cs="楷体"/>
                <w:b w:val="0"/>
                <w:bCs/>
                <w:kern w:val="0"/>
                <w:sz w:val="20"/>
                <w:szCs w:val="20"/>
              </w:rPr>
            </w:pPr>
            <w:r>
              <w:rPr>
                <w:rFonts w:hint="eastAsia" w:ascii="楷体" w:hAnsi="楷体" w:eastAsia="楷体" w:cs="楷体"/>
                <w:b w:val="0"/>
                <w:bCs/>
                <w:kern w:val="0"/>
                <w:sz w:val="20"/>
                <w:szCs w:val="20"/>
              </w:rPr>
              <w:t>1.本机关不掌握相关政府信息</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b w:val="0"/>
                <w:bCs/>
              </w:rPr>
            </w:pPr>
            <w:r>
              <w:rPr>
                <w:rFonts w:hint="eastAsia"/>
                <w:b w:val="0"/>
                <w:bCs/>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2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pacing w:line="200" w:lineRule="exact"/>
              <w:ind w:left="-107" w:leftChars="-51"/>
              <w:jc w:val="both"/>
              <w:textAlignment w:val="auto"/>
              <w:rPr>
                <w:rFonts w:ascii="宋体"/>
                <w:b w:val="0"/>
                <w:bCs/>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200" w:lineRule="exact"/>
              <w:jc w:val="both"/>
              <w:textAlignment w:val="auto"/>
              <w:rPr>
                <w:rFonts w:ascii="楷体" w:hAnsi="楷体" w:eastAsia="楷体" w:cs="楷体"/>
                <w:b w:val="0"/>
                <w:bCs/>
                <w:kern w:val="0"/>
                <w:sz w:val="20"/>
                <w:szCs w:val="20"/>
              </w:rPr>
            </w:pPr>
            <w:r>
              <w:rPr>
                <w:rFonts w:hint="eastAsia" w:ascii="楷体" w:hAnsi="楷体" w:eastAsia="楷体" w:cs="楷体"/>
                <w:b w:val="0"/>
                <w:bCs/>
                <w:kern w:val="0"/>
                <w:sz w:val="20"/>
                <w:szCs w:val="20"/>
              </w:rPr>
              <w:t>2.没有现成信息需要另行制作</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b w:val="0"/>
                <w:bCs/>
              </w:rPr>
            </w:pPr>
            <w:r>
              <w:rPr>
                <w:rFonts w:hint="eastAsia"/>
                <w:b w:val="0"/>
                <w:bCs/>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2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pacing w:line="200" w:lineRule="exact"/>
              <w:ind w:left="-107" w:leftChars="-51"/>
              <w:jc w:val="both"/>
              <w:textAlignment w:val="auto"/>
              <w:rPr>
                <w:rFonts w:ascii="宋体"/>
                <w:b w:val="0"/>
                <w:bCs/>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200" w:lineRule="exact"/>
              <w:jc w:val="both"/>
              <w:textAlignment w:val="auto"/>
              <w:rPr>
                <w:rFonts w:ascii="楷体" w:hAnsi="楷体" w:eastAsia="楷体" w:cs="楷体"/>
                <w:b w:val="0"/>
                <w:bCs/>
                <w:kern w:val="0"/>
                <w:sz w:val="20"/>
                <w:szCs w:val="20"/>
              </w:rPr>
            </w:pPr>
            <w:r>
              <w:rPr>
                <w:rFonts w:hint="eastAsia" w:ascii="楷体" w:hAnsi="楷体" w:eastAsia="楷体" w:cs="楷体"/>
                <w:b w:val="0"/>
                <w:bCs/>
                <w:kern w:val="0"/>
                <w:sz w:val="20"/>
                <w:szCs w:val="20"/>
              </w:rPr>
              <w:t>3.补正后申请内容仍不明确</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b w:val="0"/>
                <w:bCs/>
              </w:rPr>
            </w:pPr>
            <w:r>
              <w:rPr>
                <w:rFonts w:hint="eastAsia"/>
                <w:b w:val="0"/>
                <w:bCs/>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2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1418"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200" w:lineRule="exact"/>
              <w:ind w:left="-107" w:leftChars="-51"/>
              <w:jc w:val="both"/>
              <w:textAlignment w:val="auto"/>
              <w:rPr>
                <w:b w:val="0"/>
                <w:bCs/>
              </w:rPr>
            </w:pPr>
            <w:r>
              <w:rPr>
                <w:rFonts w:hint="eastAsia" w:ascii="楷体" w:hAnsi="楷体" w:eastAsia="楷体" w:cs="楷体"/>
                <w:b w:val="0"/>
                <w:bCs/>
                <w:kern w:val="0"/>
                <w:sz w:val="20"/>
                <w:szCs w:val="20"/>
              </w:rPr>
              <w:t>（五）不予处理</w:t>
            </w: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200" w:lineRule="exact"/>
              <w:jc w:val="both"/>
              <w:textAlignment w:val="auto"/>
              <w:rPr>
                <w:rFonts w:ascii="楷体" w:hAnsi="楷体" w:eastAsia="楷体" w:cs="楷体"/>
                <w:b w:val="0"/>
                <w:bCs/>
                <w:kern w:val="0"/>
                <w:sz w:val="20"/>
                <w:szCs w:val="20"/>
              </w:rPr>
            </w:pPr>
            <w:r>
              <w:rPr>
                <w:rFonts w:hint="eastAsia" w:ascii="楷体" w:hAnsi="楷体" w:eastAsia="楷体" w:cs="楷体"/>
                <w:b w:val="0"/>
                <w:bCs/>
                <w:kern w:val="0"/>
                <w:sz w:val="20"/>
                <w:szCs w:val="20"/>
              </w:rPr>
              <w:t>1.信访举报投诉类申请</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b w:val="0"/>
                <w:bCs/>
              </w:rPr>
            </w:pPr>
            <w:r>
              <w:rPr>
                <w:rFonts w:hint="eastAsia"/>
                <w:b w:val="0"/>
                <w:bCs/>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2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pacing w:line="200" w:lineRule="exact"/>
              <w:jc w:val="both"/>
              <w:textAlignment w:val="auto"/>
              <w:rPr>
                <w:rFonts w:ascii="宋体"/>
                <w:b w:val="0"/>
                <w:bCs/>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200" w:lineRule="exact"/>
              <w:jc w:val="both"/>
              <w:textAlignment w:val="auto"/>
              <w:rPr>
                <w:rFonts w:ascii="楷体" w:hAnsi="楷体" w:eastAsia="楷体" w:cs="楷体"/>
                <w:b w:val="0"/>
                <w:bCs/>
                <w:kern w:val="0"/>
                <w:sz w:val="20"/>
                <w:szCs w:val="20"/>
              </w:rPr>
            </w:pPr>
            <w:r>
              <w:rPr>
                <w:rFonts w:hint="eastAsia" w:ascii="楷体" w:hAnsi="楷体" w:eastAsia="楷体" w:cs="楷体"/>
                <w:b w:val="0"/>
                <w:bCs/>
                <w:kern w:val="0"/>
                <w:sz w:val="20"/>
                <w:szCs w:val="20"/>
              </w:rPr>
              <w:t>2.重复申请</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b w:val="0"/>
                <w:bCs/>
              </w:rPr>
            </w:pPr>
            <w:r>
              <w:rPr>
                <w:rFonts w:hint="eastAsia"/>
                <w:b w:val="0"/>
                <w:bCs/>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2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pacing w:line="200" w:lineRule="exact"/>
              <w:jc w:val="both"/>
              <w:textAlignment w:val="auto"/>
              <w:rPr>
                <w:rFonts w:ascii="宋体"/>
                <w:b w:val="0"/>
                <w:bCs/>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200" w:lineRule="exact"/>
              <w:jc w:val="both"/>
              <w:textAlignment w:val="auto"/>
              <w:rPr>
                <w:b w:val="0"/>
                <w:bCs/>
              </w:rPr>
            </w:pPr>
            <w:r>
              <w:rPr>
                <w:rFonts w:hint="eastAsia" w:ascii="楷体" w:hAnsi="楷体" w:eastAsia="楷体" w:cs="楷体"/>
                <w:b w:val="0"/>
                <w:bCs/>
                <w:kern w:val="0"/>
                <w:sz w:val="20"/>
                <w:szCs w:val="20"/>
              </w:rPr>
              <w:t>3.要求提供公开出版物</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b w:val="0"/>
                <w:bCs/>
              </w:rPr>
            </w:pPr>
            <w:r>
              <w:rPr>
                <w:rFonts w:hint="eastAsia"/>
                <w:b w:val="0"/>
                <w:bCs/>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2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pacing w:line="200" w:lineRule="exact"/>
              <w:jc w:val="both"/>
              <w:textAlignment w:val="auto"/>
              <w:rPr>
                <w:rFonts w:ascii="宋体"/>
                <w:b w:val="0"/>
                <w:bCs/>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200" w:lineRule="exact"/>
              <w:jc w:val="both"/>
              <w:textAlignment w:val="auto"/>
              <w:rPr>
                <w:b w:val="0"/>
                <w:bCs/>
              </w:rPr>
            </w:pPr>
            <w:r>
              <w:rPr>
                <w:rFonts w:hint="eastAsia" w:ascii="楷体" w:hAnsi="楷体" w:eastAsia="楷体" w:cs="楷体"/>
                <w:b w:val="0"/>
                <w:bCs/>
                <w:kern w:val="0"/>
                <w:sz w:val="20"/>
                <w:szCs w:val="20"/>
              </w:rPr>
              <w:t>4.无正当理由大量反复申请</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b w:val="0"/>
                <w:bCs/>
              </w:rPr>
            </w:pPr>
            <w:r>
              <w:rPr>
                <w:rFonts w:hint="eastAsia"/>
                <w:b w:val="0"/>
                <w:bCs/>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2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pacing w:line="200" w:lineRule="exact"/>
              <w:jc w:val="both"/>
              <w:textAlignment w:val="auto"/>
              <w:rPr>
                <w:rFonts w:ascii="宋体"/>
                <w:b w:val="0"/>
                <w:bCs/>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300" w:lineRule="exact"/>
              <w:jc w:val="both"/>
              <w:textAlignment w:val="auto"/>
              <w:rPr>
                <w:rFonts w:hint="eastAsia" w:ascii="楷体" w:hAnsi="楷体" w:eastAsia="楷体" w:cs="楷体"/>
                <w:b w:val="0"/>
                <w:bCs/>
                <w:kern w:val="0"/>
                <w:sz w:val="20"/>
                <w:szCs w:val="20"/>
              </w:rPr>
            </w:pPr>
            <w:r>
              <w:rPr>
                <w:rFonts w:hint="eastAsia" w:ascii="楷体" w:hAnsi="楷体" w:eastAsia="楷体" w:cs="楷体"/>
                <w:b w:val="0"/>
                <w:bCs/>
                <w:kern w:val="0"/>
                <w:sz w:val="20"/>
                <w:szCs w:val="20"/>
              </w:rPr>
              <w:t>5.要求行政机关确认或重新</w:t>
            </w:r>
          </w:p>
          <w:p>
            <w:pPr>
              <w:keepNext w:val="0"/>
              <w:keepLines w:val="0"/>
              <w:pageBreakBefore w:val="0"/>
              <w:widowControl/>
              <w:kinsoku/>
              <w:overflowPunct/>
              <w:topLinePunct w:val="0"/>
              <w:autoSpaceDE/>
              <w:autoSpaceDN/>
              <w:bidi w:val="0"/>
              <w:adjustRightInd/>
              <w:spacing w:line="300" w:lineRule="exact"/>
              <w:ind w:firstLine="200" w:firstLineChars="100"/>
              <w:jc w:val="both"/>
              <w:textAlignment w:val="auto"/>
              <w:rPr>
                <w:b w:val="0"/>
                <w:bCs/>
              </w:rPr>
            </w:pPr>
            <w:r>
              <w:rPr>
                <w:rFonts w:hint="eastAsia" w:ascii="楷体" w:hAnsi="楷体" w:eastAsia="楷体" w:cs="楷体"/>
                <w:b w:val="0"/>
                <w:bCs/>
                <w:kern w:val="0"/>
                <w:sz w:val="20"/>
                <w:szCs w:val="20"/>
              </w:rPr>
              <w:t>出具已获取信息</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b w:val="0"/>
                <w:bCs/>
              </w:rPr>
            </w:pPr>
            <w:r>
              <w:rPr>
                <w:rFonts w:hint="eastAsia"/>
                <w:b w:val="0"/>
                <w:bCs/>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2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4253"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200" w:lineRule="exact"/>
              <w:jc w:val="both"/>
              <w:textAlignment w:val="auto"/>
              <w:rPr>
                <w:b w:val="0"/>
                <w:bCs/>
              </w:rPr>
            </w:pPr>
            <w:r>
              <w:rPr>
                <w:rFonts w:hint="eastAsia" w:ascii="楷体" w:hAnsi="楷体" w:eastAsia="楷体" w:cs="楷体"/>
                <w:b w:val="0"/>
                <w:bCs/>
                <w:kern w:val="0"/>
                <w:sz w:val="20"/>
                <w:szCs w:val="20"/>
              </w:rPr>
              <w:t>（六）其他处理</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rFonts w:hint="eastAsia" w:eastAsia="宋体"/>
                <w:b w:val="0"/>
                <w:bCs/>
                <w:lang w:val="en-US" w:eastAsia="zh-CN"/>
              </w:rPr>
            </w:pPr>
            <w:r>
              <w:rPr>
                <w:rFonts w:hint="eastAsia"/>
                <w:b w:val="0"/>
                <w:bCs/>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2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4253"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200" w:lineRule="exact"/>
              <w:jc w:val="both"/>
              <w:textAlignment w:val="auto"/>
              <w:rPr>
                <w:b w:val="0"/>
                <w:bCs/>
              </w:rPr>
            </w:pPr>
            <w:r>
              <w:rPr>
                <w:rFonts w:hint="eastAsia" w:ascii="楷体" w:hAnsi="楷体" w:eastAsia="楷体" w:cs="楷体"/>
                <w:b w:val="0"/>
                <w:bCs/>
                <w:kern w:val="0"/>
                <w:sz w:val="20"/>
                <w:szCs w:val="20"/>
              </w:rPr>
              <w:t>（七）总计</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52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b w:val="0"/>
                <w:bCs/>
              </w:rPr>
            </w:pPr>
            <w:r>
              <w:rPr>
                <w:rFonts w:hint="eastAsia" w:ascii="宋体" w:hAnsi="宋体" w:cs="宋体"/>
                <w:b w:val="0"/>
                <w:bCs/>
                <w:kern w:val="0"/>
                <w:sz w:val="20"/>
                <w:szCs w:val="20"/>
              </w:rPr>
              <w:t>四、结转下年度继续办理</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52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r>
    </w:tbl>
    <w:p>
      <w:pPr>
        <w:numPr>
          <w:ilvl w:val="0"/>
          <w:numId w:val="0"/>
        </w:num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四、公开行政复议、行政诉讼情况</w:t>
      </w:r>
    </w:p>
    <w:tbl>
      <w:tblPr>
        <w:tblStyle w:val="3"/>
        <w:tblW w:w="889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92"/>
        <w:gridCol w:w="592"/>
        <w:gridCol w:w="592"/>
        <w:gridCol w:w="592"/>
        <w:gridCol w:w="648"/>
        <w:gridCol w:w="539"/>
        <w:gridCol w:w="593"/>
        <w:gridCol w:w="593"/>
        <w:gridCol w:w="593"/>
        <w:gridCol w:w="596"/>
        <w:gridCol w:w="593"/>
        <w:gridCol w:w="593"/>
        <w:gridCol w:w="593"/>
        <w:gridCol w:w="594"/>
        <w:gridCol w:w="5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9" w:hRule="atLeast"/>
          <w:jc w:val="center"/>
        </w:trPr>
        <w:tc>
          <w:tcPr>
            <w:tcW w:w="3016"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b w:val="0"/>
                <w:bCs/>
              </w:rPr>
            </w:pPr>
            <w:r>
              <w:rPr>
                <w:rFonts w:hint="eastAsia" w:ascii="宋体" w:hAnsi="宋体" w:cs="宋体"/>
                <w:b w:val="0"/>
                <w:bCs/>
                <w:kern w:val="0"/>
                <w:sz w:val="20"/>
                <w:szCs w:val="20"/>
              </w:rPr>
              <w:t>行政复议</w:t>
            </w:r>
          </w:p>
        </w:tc>
        <w:tc>
          <w:tcPr>
            <w:tcW w:w="5883"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b w:val="0"/>
                <w:bCs/>
              </w:rPr>
            </w:pPr>
            <w:r>
              <w:rPr>
                <w:rFonts w:hint="eastAsia" w:ascii="宋体" w:hAnsi="宋体" w:cs="宋体"/>
                <w:b w:val="0"/>
                <w:bCs/>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0" w:hRule="atLeast"/>
          <w:jc w:val="center"/>
        </w:trPr>
        <w:tc>
          <w:tcPr>
            <w:tcW w:w="59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ind w:left="-149" w:leftChars="-71" w:right="-170" w:rightChars="-81"/>
              <w:jc w:val="both"/>
              <w:textAlignment w:val="auto"/>
              <w:rPr>
                <w:rFonts w:hint="eastAsia" w:ascii="宋体" w:hAnsi="宋体" w:eastAsia="宋体" w:cs="宋体"/>
                <w:b w:val="0"/>
                <w:bCs/>
                <w:kern w:val="0"/>
                <w:sz w:val="20"/>
                <w:szCs w:val="20"/>
                <w:lang w:val="en-US" w:eastAsia="zh-CN"/>
              </w:rPr>
            </w:pPr>
            <w:r>
              <w:rPr>
                <w:rFonts w:hint="eastAsia" w:ascii="宋体" w:hAnsi="宋体" w:cs="宋体"/>
                <w:b w:val="0"/>
                <w:bCs/>
                <w:kern w:val="0"/>
                <w:sz w:val="20"/>
                <w:szCs w:val="20"/>
              </w:rPr>
              <w:t>结果</w:t>
            </w:r>
          </w:p>
          <w:p>
            <w:pPr>
              <w:keepNext w:val="0"/>
              <w:keepLines w:val="0"/>
              <w:pageBreakBefore w:val="0"/>
              <w:widowControl/>
              <w:kinsoku/>
              <w:overflowPunct/>
              <w:topLinePunct w:val="0"/>
              <w:autoSpaceDE/>
              <w:autoSpaceDN/>
              <w:bidi w:val="0"/>
              <w:adjustRightInd/>
              <w:ind w:left="-149" w:leftChars="-71" w:right="-170" w:rightChars="-81"/>
              <w:jc w:val="both"/>
              <w:textAlignment w:val="auto"/>
              <w:rPr>
                <w:b w:val="0"/>
                <w:bCs/>
              </w:rPr>
            </w:pPr>
            <w:r>
              <w:rPr>
                <w:rFonts w:hint="eastAsia" w:ascii="宋体" w:hAnsi="宋体" w:cs="宋体"/>
                <w:b w:val="0"/>
                <w:bCs/>
                <w:kern w:val="0"/>
                <w:sz w:val="20"/>
                <w:szCs w:val="20"/>
              </w:rPr>
              <w:t>维持</w:t>
            </w:r>
          </w:p>
        </w:tc>
        <w:tc>
          <w:tcPr>
            <w:tcW w:w="592"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ind w:left="-43" w:leftChars="-21" w:right="-132" w:rightChars="-63" w:hanging="1"/>
              <w:jc w:val="both"/>
              <w:textAlignment w:val="auto"/>
              <w:rPr>
                <w:b w:val="0"/>
                <w:bCs/>
              </w:rPr>
            </w:pPr>
            <w:r>
              <w:rPr>
                <w:rFonts w:hint="eastAsia" w:ascii="宋体" w:hAnsi="宋体" w:cs="宋体"/>
                <w:b w:val="0"/>
                <w:bCs/>
                <w:kern w:val="0"/>
                <w:sz w:val="20"/>
                <w:szCs w:val="20"/>
              </w:rPr>
              <w:t>结果纠正</w:t>
            </w:r>
          </w:p>
        </w:tc>
        <w:tc>
          <w:tcPr>
            <w:tcW w:w="592"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ind w:left="-82" w:leftChars="-39" w:right="-97" w:rightChars="-46"/>
              <w:jc w:val="both"/>
              <w:textAlignment w:val="auto"/>
              <w:rPr>
                <w:b w:val="0"/>
                <w:bCs/>
              </w:rPr>
            </w:pPr>
            <w:r>
              <w:rPr>
                <w:rFonts w:hint="eastAsia" w:ascii="宋体" w:hAnsi="宋体" w:cs="宋体"/>
                <w:b w:val="0"/>
                <w:bCs/>
                <w:kern w:val="0"/>
                <w:sz w:val="20"/>
                <w:szCs w:val="20"/>
              </w:rPr>
              <w:t>其他结果</w:t>
            </w:r>
          </w:p>
        </w:tc>
        <w:tc>
          <w:tcPr>
            <w:tcW w:w="592"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ind w:left="-118" w:leftChars="-56" w:right="-118" w:rightChars="-56"/>
              <w:jc w:val="both"/>
              <w:textAlignment w:val="auto"/>
              <w:rPr>
                <w:rFonts w:hint="eastAsia" w:ascii="宋体" w:hAnsi="宋体" w:cs="宋体"/>
                <w:b w:val="0"/>
                <w:bCs/>
                <w:kern w:val="0"/>
                <w:sz w:val="20"/>
                <w:szCs w:val="20"/>
              </w:rPr>
            </w:pPr>
            <w:r>
              <w:rPr>
                <w:rFonts w:hint="eastAsia" w:ascii="宋体" w:hAnsi="宋体" w:cs="宋体"/>
                <w:b w:val="0"/>
                <w:bCs/>
                <w:kern w:val="0"/>
                <w:sz w:val="20"/>
                <w:szCs w:val="20"/>
              </w:rPr>
              <w:t>尚未</w:t>
            </w:r>
          </w:p>
          <w:p>
            <w:pPr>
              <w:keepNext w:val="0"/>
              <w:keepLines w:val="0"/>
              <w:pageBreakBefore w:val="0"/>
              <w:widowControl/>
              <w:kinsoku/>
              <w:overflowPunct/>
              <w:topLinePunct w:val="0"/>
              <w:autoSpaceDE/>
              <w:autoSpaceDN/>
              <w:bidi w:val="0"/>
              <w:adjustRightInd/>
              <w:ind w:left="-118" w:leftChars="-56" w:right="-118" w:rightChars="-56"/>
              <w:jc w:val="both"/>
              <w:textAlignment w:val="auto"/>
              <w:rPr>
                <w:b w:val="0"/>
                <w:bCs/>
              </w:rPr>
            </w:pPr>
            <w:r>
              <w:rPr>
                <w:rFonts w:hint="eastAsia" w:ascii="宋体" w:hAnsi="宋体" w:cs="宋体"/>
                <w:b w:val="0"/>
                <w:bCs/>
                <w:kern w:val="0"/>
                <w:sz w:val="20"/>
                <w:szCs w:val="20"/>
              </w:rPr>
              <w:t>审结</w:t>
            </w:r>
          </w:p>
        </w:tc>
        <w:tc>
          <w:tcPr>
            <w:tcW w:w="64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320" w:lineRule="exact"/>
              <w:jc w:val="both"/>
              <w:textAlignment w:val="auto"/>
              <w:rPr>
                <w:rFonts w:hint="eastAsia" w:ascii="宋体" w:hAnsi="宋体" w:cs="宋体"/>
                <w:b w:val="0"/>
                <w:bCs/>
                <w:kern w:val="0"/>
                <w:sz w:val="20"/>
                <w:szCs w:val="20"/>
              </w:rPr>
            </w:pPr>
            <w:r>
              <w:rPr>
                <w:rFonts w:hint="eastAsia" w:ascii="宋体" w:hAnsi="宋体" w:cs="宋体"/>
                <w:b w:val="0"/>
                <w:bCs/>
                <w:kern w:val="0"/>
                <w:sz w:val="20"/>
                <w:szCs w:val="20"/>
              </w:rPr>
              <w:t>总</w:t>
            </w:r>
          </w:p>
          <w:p>
            <w:pPr>
              <w:keepNext w:val="0"/>
              <w:keepLines w:val="0"/>
              <w:pageBreakBefore w:val="0"/>
              <w:widowControl/>
              <w:kinsoku/>
              <w:overflowPunct/>
              <w:topLinePunct w:val="0"/>
              <w:autoSpaceDE/>
              <w:autoSpaceDN/>
              <w:bidi w:val="0"/>
              <w:adjustRightInd/>
              <w:spacing w:line="320" w:lineRule="exact"/>
              <w:jc w:val="both"/>
              <w:textAlignment w:val="auto"/>
              <w:rPr>
                <w:b w:val="0"/>
                <w:bCs/>
              </w:rPr>
            </w:pPr>
            <w:r>
              <w:rPr>
                <w:rFonts w:hint="eastAsia" w:ascii="宋体" w:hAnsi="宋体" w:cs="宋体"/>
                <w:b w:val="0"/>
                <w:bCs/>
                <w:kern w:val="0"/>
                <w:sz w:val="20"/>
                <w:szCs w:val="20"/>
              </w:rPr>
              <w:t>计</w:t>
            </w:r>
          </w:p>
        </w:tc>
        <w:tc>
          <w:tcPr>
            <w:tcW w:w="2914"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b w:val="0"/>
                <w:bCs/>
              </w:rPr>
            </w:pPr>
            <w:r>
              <w:rPr>
                <w:rFonts w:hint="eastAsia" w:ascii="宋体" w:hAnsi="宋体" w:cs="宋体"/>
                <w:b w:val="0"/>
                <w:bCs/>
                <w:kern w:val="0"/>
                <w:sz w:val="20"/>
                <w:szCs w:val="20"/>
              </w:rPr>
              <w:t>未经复议直接起诉</w:t>
            </w:r>
          </w:p>
        </w:tc>
        <w:tc>
          <w:tcPr>
            <w:tcW w:w="2969"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b w:val="0"/>
                <w:bCs/>
              </w:rPr>
            </w:pPr>
            <w:r>
              <w:rPr>
                <w:rFonts w:hint="eastAsia" w:ascii="宋体" w:hAnsi="宋体" w:cs="宋体"/>
                <w:b w:val="0"/>
                <w:bCs/>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47" w:hRule="atLeast"/>
          <w:jc w:val="center"/>
        </w:trPr>
        <w:tc>
          <w:tcPr>
            <w:tcW w:w="59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592"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592"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592"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64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53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ind w:left="-105" w:leftChars="-50" w:right="-126" w:rightChars="-60"/>
              <w:jc w:val="both"/>
              <w:textAlignment w:val="auto"/>
              <w:rPr>
                <w:b w:val="0"/>
                <w:bCs/>
              </w:rPr>
            </w:pPr>
            <w:r>
              <w:rPr>
                <w:rFonts w:hint="eastAsia" w:ascii="宋体" w:hAnsi="宋体" w:cs="宋体"/>
                <w:b w:val="0"/>
                <w:bCs/>
                <w:kern w:val="0"/>
                <w:sz w:val="20"/>
                <w:szCs w:val="20"/>
              </w:rPr>
              <w:t>结果维持</w:t>
            </w:r>
          </w:p>
        </w:tc>
        <w:tc>
          <w:tcPr>
            <w:tcW w:w="59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ind w:left="-86" w:leftChars="-41" w:right="-88" w:rightChars="-42"/>
              <w:jc w:val="both"/>
              <w:textAlignment w:val="auto"/>
              <w:rPr>
                <w:b w:val="0"/>
                <w:bCs/>
              </w:rPr>
            </w:pPr>
            <w:r>
              <w:rPr>
                <w:rFonts w:hint="eastAsia" w:ascii="宋体" w:hAnsi="宋体" w:cs="宋体"/>
                <w:b w:val="0"/>
                <w:bCs/>
                <w:kern w:val="0"/>
                <w:sz w:val="20"/>
                <w:szCs w:val="20"/>
              </w:rPr>
              <w:t>结果纠正</w:t>
            </w:r>
          </w:p>
        </w:tc>
        <w:tc>
          <w:tcPr>
            <w:tcW w:w="593"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ind w:left="-126" w:leftChars="-60" w:right="-136" w:rightChars="-65"/>
              <w:jc w:val="both"/>
              <w:textAlignment w:val="auto"/>
              <w:rPr>
                <w:rFonts w:hint="eastAsia" w:ascii="宋体" w:hAnsi="宋体" w:cs="宋体"/>
                <w:b w:val="0"/>
                <w:bCs/>
                <w:kern w:val="0"/>
                <w:sz w:val="20"/>
                <w:szCs w:val="20"/>
              </w:rPr>
            </w:pPr>
            <w:r>
              <w:rPr>
                <w:rFonts w:hint="eastAsia" w:ascii="宋体" w:hAnsi="宋体" w:cs="宋体"/>
                <w:b w:val="0"/>
                <w:bCs/>
                <w:kern w:val="0"/>
                <w:sz w:val="20"/>
                <w:szCs w:val="20"/>
              </w:rPr>
              <w:t>其他</w:t>
            </w:r>
          </w:p>
          <w:p>
            <w:pPr>
              <w:keepNext w:val="0"/>
              <w:keepLines w:val="0"/>
              <w:pageBreakBefore w:val="0"/>
              <w:widowControl/>
              <w:kinsoku/>
              <w:overflowPunct/>
              <w:topLinePunct w:val="0"/>
              <w:autoSpaceDE/>
              <w:autoSpaceDN/>
              <w:bidi w:val="0"/>
              <w:adjustRightInd/>
              <w:ind w:left="-126" w:leftChars="-60" w:right="-136" w:rightChars="-65"/>
              <w:jc w:val="both"/>
              <w:textAlignment w:val="auto"/>
              <w:rPr>
                <w:b w:val="0"/>
                <w:bCs/>
              </w:rPr>
            </w:pPr>
            <w:r>
              <w:rPr>
                <w:rFonts w:hint="eastAsia" w:ascii="宋体" w:hAnsi="宋体" w:cs="宋体"/>
                <w:b w:val="0"/>
                <w:bCs/>
                <w:kern w:val="0"/>
                <w:sz w:val="20"/>
                <w:szCs w:val="20"/>
              </w:rPr>
              <w:t>结果</w:t>
            </w:r>
          </w:p>
        </w:tc>
        <w:tc>
          <w:tcPr>
            <w:tcW w:w="593"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ind w:left="-164" w:leftChars="-78" w:right="-153" w:rightChars="-73"/>
              <w:jc w:val="both"/>
              <w:textAlignment w:val="auto"/>
              <w:rPr>
                <w:rFonts w:hint="eastAsia" w:ascii="宋体" w:hAnsi="宋体" w:cs="宋体"/>
                <w:b w:val="0"/>
                <w:bCs/>
                <w:kern w:val="0"/>
                <w:sz w:val="20"/>
                <w:szCs w:val="20"/>
              </w:rPr>
            </w:pPr>
            <w:r>
              <w:rPr>
                <w:rFonts w:hint="eastAsia" w:ascii="宋体" w:hAnsi="宋体" w:cs="宋体"/>
                <w:b w:val="0"/>
                <w:bCs/>
                <w:kern w:val="0"/>
                <w:sz w:val="20"/>
                <w:szCs w:val="20"/>
              </w:rPr>
              <w:t>尚未</w:t>
            </w:r>
          </w:p>
          <w:p>
            <w:pPr>
              <w:keepNext w:val="0"/>
              <w:keepLines w:val="0"/>
              <w:pageBreakBefore w:val="0"/>
              <w:widowControl/>
              <w:kinsoku/>
              <w:overflowPunct/>
              <w:topLinePunct w:val="0"/>
              <w:autoSpaceDE/>
              <w:autoSpaceDN/>
              <w:bidi w:val="0"/>
              <w:adjustRightInd/>
              <w:ind w:left="-164" w:leftChars="-78" w:right="-153" w:rightChars="-73"/>
              <w:jc w:val="both"/>
              <w:textAlignment w:val="auto"/>
              <w:rPr>
                <w:b w:val="0"/>
                <w:bCs/>
              </w:rPr>
            </w:pPr>
            <w:r>
              <w:rPr>
                <w:rFonts w:hint="eastAsia" w:ascii="宋体" w:hAnsi="宋体" w:cs="宋体"/>
                <w:b w:val="0"/>
                <w:bCs/>
                <w:kern w:val="0"/>
                <w:sz w:val="20"/>
                <w:szCs w:val="20"/>
              </w:rPr>
              <w:t>审结</w:t>
            </w:r>
          </w:p>
        </w:tc>
        <w:tc>
          <w:tcPr>
            <w:tcW w:w="59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b w:val="0"/>
                <w:bCs/>
              </w:rPr>
            </w:pPr>
            <w:r>
              <w:rPr>
                <w:rFonts w:hint="eastAsia" w:ascii="宋体" w:hAnsi="宋体" w:cs="宋体"/>
                <w:b w:val="0"/>
                <w:bCs/>
                <w:color w:val="000000"/>
                <w:kern w:val="0"/>
                <w:sz w:val="20"/>
                <w:szCs w:val="20"/>
              </w:rPr>
              <w:t>总计</w:t>
            </w:r>
          </w:p>
        </w:tc>
        <w:tc>
          <w:tcPr>
            <w:tcW w:w="593"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ind w:left="-99" w:leftChars="-47" w:right="-78" w:rightChars="-37"/>
              <w:jc w:val="both"/>
              <w:textAlignment w:val="auto"/>
              <w:rPr>
                <w:b w:val="0"/>
                <w:bCs/>
              </w:rPr>
            </w:pPr>
            <w:r>
              <w:rPr>
                <w:rFonts w:hint="eastAsia" w:ascii="宋体" w:hAnsi="宋体" w:cs="宋体"/>
                <w:b w:val="0"/>
                <w:bCs/>
                <w:kern w:val="0"/>
                <w:sz w:val="20"/>
                <w:szCs w:val="20"/>
              </w:rPr>
              <w:t>结果维持</w:t>
            </w:r>
          </w:p>
        </w:tc>
        <w:tc>
          <w:tcPr>
            <w:tcW w:w="593"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ind w:left="-136" w:leftChars="-65" w:right="-124" w:rightChars="-59"/>
              <w:jc w:val="both"/>
              <w:textAlignment w:val="auto"/>
              <w:rPr>
                <w:rFonts w:hint="eastAsia" w:ascii="宋体" w:hAnsi="宋体" w:cs="宋体"/>
                <w:b w:val="0"/>
                <w:bCs/>
                <w:kern w:val="0"/>
                <w:sz w:val="20"/>
                <w:szCs w:val="20"/>
              </w:rPr>
            </w:pPr>
            <w:r>
              <w:rPr>
                <w:rFonts w:hint="eastAsia" w:ascii="宋体" w:hAnsi="宋体" w:cs="宋体"/>
                <w:b w:val="0"/>
                <w:bCs/>
                <w:kern w:val="0"/>
                <w:sz w:val="20"/>
                <w:szCs w:val="20"/>
              </w:rPr>
              <w:t>结果</w:t>
            </w:r>
          </w:p>
          <w:p>
            <w:pPr>
              <w:keepNext w:val="0"/>
              <w:keepLines w:val="0"/>
              <w:pageBreakBefore w:val="0"/>
              <w:widowControl/>
              <w:kinsoku/>
              <w:overflowPunct/>
              <w:topLinePunct w:val="0"/>
              <w:autoSpaceDE/>
              <w:autoSpaceDN/>
              <w:bidi w:val="0"/>
              <w:adjustRightInd/>
              <w:ind w:left="-136" w:leftChars="-65" w:right="-124" w:rightChars="-59"/>
              <w:jc w:val="both"/>
              <w:textAlignment w:val="auto"/>
              <w:rPr>
                <w:b w:val="0"/>
                <w:bCs/>
              </w:rPr>
            </w:pPr>
            <w:r>
              <w:rPr>
                <w:rFonts w:hint="eastAsia" w:ascii="宋体" w:hAnsi="宋体" w:cs="宋体"/>
                <w:b w:val="0"/>
                <w:bCs/>
                <w:kern w:val="0"/>
                <w:sz w:val="20"/>
                <w:szCs w:val="20"/>
              </w:rPr>
              <w:t>纠正</w:t>
            </w:r>
          </w:p>
        </w:tc>
        <w:tc>
          <w:tcPr>
            <w:tcW w:w="593"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ind w:left="-173" w:leftChars="-83" w:right="-134" w:rightChars="-64" w:hanging="1"/>
              <w:jc w:val="both"/>
              <w:textAlignment w:val="auto"/>
              <w:rPr>
                <w:rFonts w:hint="eastAsia" w:ascii="宋体" w:hAnsi="宋体" w:cs="宋体"/>
                <w:b w:val="0"/>
                <w:bCs/>
                <w:color w:val="000000"/>
                <w:kern w:val="0"/>
                <w:sz w:val="20"/>
                <w:szCs w:val="20"/>
              </w:rPr>
            </w:pPr>
            <w:r>
              <w:rPr>
                <w:rFonts w:hint="eastAsia" w:ascii="宋体" w:hAnsi="宋体" w:cs="宋体"/>
                <w:b w:val="0"/>
                <w:bCs/>
                <w:color w:val="000000"/>
                <w:kern w:val="0"/>
                <w:sz w:val="20"/>
                <w:szCs w:val="20"/>
              </w:rPr>
              <w:t>其他</w:t>
            </w:r>
          </w:p>
          <w:p>
            <w:pPr>
              <w:keepNext w:val="0"/>
              <w:keepLines w:val="0"/>
              <w:pageBreakBefore w:val="0"/>
              <w:widowControl/>
              <w:kinsoku/>
              <w:overflowPunct/>
              <w:topLinePunct w:val="0"/>
              <w:autoSpaceDE/>
              <w:autoSpaceDN/>
              <w:bidi w:val="0"/>
              <w:adjustRightInd/>
              <w:ind w:left="-173" w:leftChars="-83" w:right="-134" w:rightChars="-64" w:hanging="1"/>
              <w:jc w:val="both"/>
              <w:textAlignment w:val="auto"/>
              <w:rPr>
                <w:b w:val="0"/>
                <w:bCs/>
              </w:rPr>
            </w:pPr>
            <w:r>
              <w:rPr>
                <w:rFonts w:hint="eastAsia" w:ascii="宋体" w:hAnsi="宋体" w:cs="宋体"/>
                <w:b w:val="0"/>
                <w:bCs/>
                <w:color w:val="000000"/>
                <w:kern w:val="0"/>
                <w:sz w:val="20"/>
                <w:szCs w:val="20"/>
              </w:rPr>
              <w:t>结果</w:t>
            </w:r>
          </w:p>
        </w:tc>
        <w:tc>
          <w:tcPr>
            <w:tcW w:w="594"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ind w:left="-67" w:leftChars="-33" w:right="-105" w:rightChars="-50" w:hanging="2" w:hangingChars="1"/>
              <w:jc w:val="both"/>
              <w:textAlignment w:val="auto"/>
              <w:rPr>
                <w:b w:val="0"/>
                <w:bCs/>
              </w:rPr>
            </w:pPr>
            <w:r>
              <w:rPr>
                <w:rFonts w:hint="eastAsia" w:ascii="宋体" w:hAnsi="宋体" w:cs="宋体"/>
                <w:b w:val="0"/>
                <w:bCs/>
                <w:kern w:val="0"/>
                <w:sz w:val="20"/>
                <w:szCs w:val="20"/>
              </w:rPr>
              <w:t>尚未审结</w:t>
            </w:r>
          </w:p>
        </w:tc>
        <w:tc>
          <w:tcPr>
            <w:tcW w:w="59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b w:val="0"/>
                <w:bCs/>
              </w:rPr>
            </w:pPr>
            <w:r>
              <w:rPr>
                <w:rFonts w:hint="eastAsia" w:ascii="宋体" w:hAnsi="宋体" w:cs="宋体"/>
                <w:b w:val="0"/>
                <w:bCs/>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4" w:hRule="atLeast"/>
          <w:jc w:val="center"/>
        </w:trPr>
        <w:tc>
          <w:tcPr>
            <w:tcW w:w="59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 0</w:t>
            </w:r>
          </w:p>
        </w:tc>
        <w:tc>
          <w:tcPr>
            <w:tcW w:w="59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 0</w:t>
            </w:r>
          </w:p>
        </w:tc>
        <w:tc>
          <w:tcPr>
            <w:tcW w:w="59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0 </w:t>
            </w:r>
          </w:p>
        </w:tc>
        <w:tc>
          <w:tcPr>
            <w:tcW w:w="59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64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0 </w:t>
            </w:r>
          </w:p>
        </w:tc>
        <w:tc>
          <w:tcPr>
            <w:tcW w:w="53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 0</w:t>
            </w:r>
          </w:p>
        </w:tc>
        <w:tc>
          <w:tcPr>
            <w:tcW w:w="59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 0</w:t>
            </w:r>
          </w:p>
        </w:tc>
        <w:tc>
          <w:tcPr>
            <w:tcW w:w="59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 0</w:t>
            </w:r>
          </w:p>
        </w:tc>
        <w:tc>
          <w:tcPr>
            <w:tcW w:w="59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0 </w:t>
            </w:r>
          </w:p>
        </w:tc>
        <w:tc>
          <w:tcPr>
            <w:tcW w:w="59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59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 0</w:t>
            </w:r>
          </w:p>
        </w:tc>
        <w:tc>
          <w:tcPr>
            <w:tcW w:w="59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59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59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0 </w:t>
            </w:r>
          </w:p>
        </w:tc>
        <w:tc>
          <w:tcPr>
            <w:tcW w:w="59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r>
    </w:tbl>
    <w:p>
      <w:pPr>
        <w:pStyle w:val="2"/>
        <w:keepNext w:val="0"/>
        <w:keepLines w:val="0"/>
        <w:pageBreakBefore w:val="0"/>
        <w:numPr>
          <w:ilvl w:val="0"/>
          <w:numId w:val="0"/>
        </w:numPr>
        <w:kinsoku/>
        <w:overflowPunct/>
        <w:topLinePunct w:val="0"/>
        <w:autoSpaceDE/>
        <w:autoSpaceDN/>
        <w:bidi w:val="0"/>
        <w:adjustRightInd/>
        <w:spacing w:before="0" w:beforeAutospacing="0" w:after="0" w:afterAutospacing="0" w:line="360" w:lineRule="auto"/>
        <w:ind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五、公开工作存在的主要问题及改进情况</w:t>
      </w:r>
    </w:p>
    <w:p>
      <w:pPr>
        <w:pStyle w:val="2"/>
        <w:keepNext w:val="0"/>
        <w:keepLines w:val="0"/>
        <w:pageBreakBefore w:val="0"/>
        <w:kinsoku/>
        <w:overflowPunct/>
        <w:topLinePunct w:val="0"/>
        <w:autoSpaceDE/>
        <w:autoSpaceDN/>
        <w:bidi w:val="0"/>
        <w:adjustRightInd/>
        <w:spacing w:before="0" w:beforeAutospacing="0" w:after="0" w:afterAutospacing="0" w:line="360" w:lineRule="auto"/>
        <w:ind w:firstLine="645"/>
        <w:jc w:val="both"/>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一</w:t>
      </w: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2021</w:t>
      </w:r>
      <w:bookmarkStart w:id="0" w:name="_GoBack"/>
      <w:bookmarkEnd w:id="0"/>
      <w:r>
        <w:rPr>
          <w:rFonts w:hint="eastAsia" w:ascii="楷体_GB2312" w:hAnsi="楷体_GB2312" w:eastAsia="楷体_GB2312" w:cs="楷体_GB2312"/>
          <w:b w:val="0"/>
          <w:bCs/>
          <w:sz w:val="32"/>
          <w:szCs w:val="32"/>
          <w:lang w:val="en-US" w:eastAsia="zh-CN"/>
        </w:rPr>
        <w:t>年问题整改情况</w:t>
      </w:r>
    </w:p>
    <w:p>
      <w:pPr>
        <w:pStyle w:val="2"/>
        <w:keepNext w:val="0"/>
        <w:keepLines w:val="0"/>
        <w:pageBreakBefore w:val="0"/>
        <w:kinsoku/>
        <w:overflowPunct/>
        <w:topLinePunct w:val="0"/>
        <w:autoSpaceDE/>
        <w:autoSpaceDN/>
        <w:bidi w:val="0"/>
        <w:adjustRightInd/>
        <w:spacing w:before="0" w:beforeAutospacing="0" w:after="0" w:afterAutospacing="0" w:line="360" w:lineRule="auto"/>
        <w:ind w:firstLine="645"/>
        <w:jc w:val="both"/>
        <w:textAlignment w:val="auto"/>
        <w:rPr>
          <w:rFonts w:hint="eastAsia" w:ascii="仿宋_GB2312" w:hAnsi="微软雅黑" w:eastAsia="仿宋_GB2312"/>
          <w:b w:val="0"/>
          <w:bCs/>
          <w:sz w:val="32"/>
          <w:szCs w:val="32"/>
          <w:lang w:val="en-US" w:eastAsia="zh-CN"/>
        </w:rPr>
      </w:pPr>
      <w:r>
        <w:rPr>
          <w:rFonts w:hint="eastAsia" w:ascii="仿宋_GB2312" w:eastAsia="仿宋_GB2312"/>
          <w:b w:val="0"/>
          <w:bCs/>
          <w:sz w:val="32"/>
          <w:szCs w:val="32"/>
          <w:lang w:val="en-US" w:eastAsia="zh-CN"/>
        </w:rPr>
        <w:t>组织干部职工对修订的《政府信息公开条例》进行了学习解读，并将政府信息公开纳入全局绩效考核，调动各个科室单位的积极性。</w:t>
      </w:r>
      <w:r>
        <w:rPr>
          <w:rFonts w:hint="eastAsia" w:ascii="仿宋_GB2312" w:hAnsi="微软雅黑" w:eastAsia="仿宋_GB2312"/>
          <w:b w:val="0"/>
          <w:bCs/>
          <w:sz w:val="32"/>
          <w:szCs w:val="32"/>
          <w:lang w:val="en-US" w:eastAsia="zh-CN"/>
        </w:rPr>
        <w:t>结合内部科室调整情况，及时调整局系统政务公开领导小组，重新确定分管负责人，办公室为信息公开工作机构，并安排专人具体负责，全面做好局机关政府信息公开管理工作。</w:t>
      </w:r>
    </w:p>
    <w:p>
      <w:pPr>
        <w:pStyle w:val="2"/>
        <w:keepNext w:val="0"/>
        <w:keepLines w:val="0"/>
        <w:pageBreakBefore w:val="0"/>
        <w:kinsoku/>
        <w:overflowPunct/>
        <w:topLinePunct w:val="0"/>
        <w:autoSpaceDE/>
        <w:autoSpaceDN/>
        <w:bidi w:val="0"/>
        <w:adjustRightInd/>
        <w:spacing w:before="0" w:beforeAutospacing="0" w:after="0" w:afterAutospacing="0" w:line="360" w:lineRule="auto"/>
        <w:ind w:firstLine="645"/>
        <w:jc w:val="both"/>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（二）2022年存在的主要问题</w:t>
      </w:r>
    </w:p>
    <w:p>
      <w:pPr>
        <w:pStyle w:val="2"/>
        <w:keepNext w:val="0"/>
        <w:keepLines w:val="0"/>
        <w:pageBreakBefore w:val="0"/>
        <w:kinsoku/>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eastAsia="zh-CN"/>
        </w:rPr>
        <w:t>2022</w:t>
      </w:r>
      <w:r>
        <w:rPr>
          <w:rFonts w:hint="eastAsia" w:ascii="仿宋_GB2312" w:eastAsia="仿宋_GB2312"/>
          <w:b w:val="0"/>
          <w:bCs/>
          <w:color w:val="auto"/>
          <w:sz w:val="32"/>
          <w:szCs w:val="32"/>
        </w:rPr>
        <w:t>年，我局政府信息公开工作取得了新的进展，但同时也存在一些不足，如信息更新不及时、推动政务公开和政府信息公开的力度不够、信息报送质量有待提高、信息公开内容与公众需求存在一定差距等。</w:t>
      </w:r>
    </w:p>
    <w:p>
      <w:pPr>
        <w:pStyle w:val="2"/>
        <w:keepNext w:val="0"/>
        <w:keepLines w:val="0"/>
        <w:pageBreakBefore w:val="0"/>
        <w:kinsoku/>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仿宋_GB2312" w:eastAsia="仿宋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（三）改进措施</w:t>
      </w:r>
    </w:p>
    <w:p>
      <w:pPr>
        <w:pStyle w:val="2"/>
        <w:keepNext w:val="0"/>
        <w:keepLines w:val="0"/>
        <w:pageBreakBefore w:val="0"/>
        <w:kinsoku/>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rPr>
        <w:t>进一步健全和完善政务公开制度，规范公开内容，提高公开质量</w:t>
      </w: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rPr>
        <w:t>对涉及人民群众关心的重大问题，重大决策及时公开。</w:t>
      </w:r>
      <w:r>
        <w:rPr>
          <w:rFonts w:hint="eastAsia" w:ascii="仿宋_GB2312" w:eastAsia="仿宋_GB2312"/>
          <w:b w:val="0"/>
          <w:bCs/>
          <w:color w:val="auto"/>
          <w:sz w:val="32"/>
          <w:szCs w:val="32"/>
          <w:lang w:val="en-US" w:eastAsia="zh-CN"/>
        </w:rPr>
        <w:t>同时，</w:t>
      </w:r>
      <w:r>
        <w:rPr>
          <w:rFonts w:hint="eastAsia" w:ascii="仿宋_GB2312" w:eastAsia="仿宋_GB2312"/>
          <w:b w:val="0"/>
          <w:bCs/>
          <w:color w:val="auto"/>
          <w:sz w:val="32"/>
          <w:szCs w:val="32"/>
        </w:rPr>
        <w:t>明确职责分工，规范工作流程，使我局政府信息公开工作有序、有力、有效地推进，保障公民的知情权、参与权、表达权、监督权，发挥政务信息、政务公开的服务作用。</w:t>
      </w:r>
    </w:p>
    <w:p>
      <w:pPr>
        <w:pStyle w:val="2"/>
        <w:keepNext w:val="0"/>
        <w:keepLines w:val="0"/>
        <w:pageBreakBefore w:val="0"/>
        <w:kinsoku/>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黑体" w:eastAsia="黑体"/>
          <w:b w:val="0"/>
          <w:bCs/>
          <w:sz w:val="32"/>
          <w:szCs w:val="32"/>
        </w:rPr>
      </w:pPr>
      <w:r>
        <w:rPr>
          <w:rFonts w:hint="eastAsia" w:ascii="黑体" w:eastAsia="黑体"/>
          <w:b w:val="0"/>
          <w:bCs/>
          <w:sz w:val="32"/>
          <w:szCs w:val="32"/>
          <w:lang w:val="en-US" w:eastAsia="zh-CN"/>
        </w:rPr>
        <w:t>六、</w:t>
      </w:r>
      <w:r>
        <w:rPr>
          <w:rFonts w:hint="eastAsia" w:ascii="黑体" w:eastAsia="黑体"/>
          <w:b w:val="0"/>
          <w:bCs/>
          <w:sz w:val="32"/>
          <w:szCs w:val="32"/>
        </w:rPr>
        <w:t>其他需要报告的事项</w:t>
      </w:r>
    </w:p>
    <w:p>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仿宋_GB2312" w:hAnsi="微软雅黑" w:eastAsia="仿宋_GB2312" w:cs="Times New Roman"/>
          <w:b w:val="0"/>
          <w:bCs/>
          <w:kern w:val="2"/>
          <w:sz w:val="32"/>
          <w:szCs w:val="32"/>
          <w:lang w:val="en-US" w:eastAsia="zh-CN" w:bidi="ar-SA"/>
        </w:rPr>
      </w:pPr>
      <w:r>
        <w:rPr>
          <w:rFonts w:hint="eastAsia" w:ascii="仿宋_GB2312" w:hAnsi="微软雅黑" w:eastAsia="仿宋_GB2312" w:cs="Times New Roman"/>
          <w:b w:val="0"/>
          <w:bCs/>
          <w:kern w:val="2"/>
          <w:sz w:val="32"/>
          <w:szCs w:val="32"/>
          <w:lang w:val="en-US" w:eastAsia="zh-CN" w:bidi="ar-SA"/>
        </w:rPr>
        <w:t>（一）收取信息处理费情况。县农业农村局2022年未收取信息处理费情况。</w:t>
      </w:r>
    </w:p>
    <w:p>
      <w:pPr>
        <w:keepNext w:val="0"/>
        <w:keepLines w:val="0"/>
        <w:pageBreakBefore w:val="0"/>
        <w:kinsoku/>
        <w:wordWrap/>
        <w:overflowPunct/>
        <w:topLinePunct w:val="0"/>
        <w:autoSpaceDE/>
        <w:autoSpaceDN/>
        <w:bidi w:val="0"/>
        <w:adjustRightInd/>
        <w:snapToGrid/>
        <w:ind w:firstLine="640" w:firstLineChars="200"/>
        <w:textAlignment w:val="auto"/>
        <w:rPr>
          <w:rFonts w:hint="default" w:ascii="仿宋_GB2312" w:hAnsi="微软雅黑" w:eastAsia="仿宋_GB2312" w:cs="Times New Roman"/>
          <w:b w:val="0"/>
          <w:bCs/>
          <w:kern w:val="2"/>
          <w:sz w:val="32"/>
          <w:szCs w:val="32"/>
          <w:lang w:val="en-US" w:eastAsia="zh-CN" w:bidi="ar-SA"/>
        </w:rPr>
      </w:pPr>
      <w:r>
        <w:rPr>
          <w:rFonts w:hint="eastAsia" w:ascii="仿宋_GB2312" w:hAnsi="微软雅黑" w:eastAsia="仿宋_GB2312"/>
          <w:b w:val="0"/>
          <w:bCs/>
          <w:sz w:val="32"/>
          <w:szCs w:val="32"/>
          <w:lang w:eastAsia="zh-CN"/>
        </w:rPr>
        <w:t>（</w:t>
      </w:r>
      <w:r>
        <w:rPr>
          <w:rFonts w:hint="eastAsia" w:ascii="仿宋_GB2312" w:hAnsi="微软雅黑" w:eastAsia="仿宋_GB2312"/>
          <w:b w:val="0"/>
          <w:bCs/>
          <w:sz w:val="32"/>
          <w:szCs w:val="32"/>
          <w:lang w:val="en-US" w:eastAsia="zh-CN"/>
        </w:rPr>
        <w:t>二</w:t>
      </w:r>
      <w:r>
        <w:rPr>
          <w:rFonts w:hint="eastAsia" w:ascii="仿宋_GB2312" w:hAnsi="微软雅黑" w:eastAsia="仿宋_GB2312"/>
          <w:b w:val="0"/>
          <w:bCs/>
          <w:sz w:val="32"/>
          <w:szCs w:val="32"/>
          <w:lang w:eastAsia="zh-CN"/>
        </w:rPr>
        <w:t>）</w:t>
      </w:r>
      <w:r>
        <w:rPr>
          <w:rFonts w:hint="eastAsia" w:ascii="仿宋_GB2312" w:hAnsi="微软雅黑" w:eastAsia="仿宋_GB2312" w:cs="Times New Roman"/>
          <w:b w:val="0"/>
          <w:bCs/>
          <w:kern w:val="2"/>
          <w:sz w:val="32"/>
          <w:szCs w:val="32"/>
          <w:lang w:val="en-US" w:eastAsia="zh-CN" w:bidi="ar-SA"/>
        </w:rPr>
        <w:t>上级年度政务公开工作要点落实情况。根据《2022年昌乐县政务公开重点工作任务分工》安排，结合我局实际，按照政务公开相关文件以及县政府的规范要求，抓好政务公开工作各项制度的落实。目前，县农业农村局涉及责任事项已全部落实到位。</w:t>
      </w:r>
    </w:p>
    <w:p>
      <w:pPr>
        <w:keepNext w:val="0"/>
        <w:keepLines w:val="0"/>
        <w:pageBreakBefore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微软雅黑" w:eastAsia="仿宋_GB2312" w:cs="Times New Roman"/>
          <w:b w:val="0"/>
          <w:bCs/>
          <w:kern w:val="2"/>
          <w:sz w:val="32"/>
          <w:szCs w:val="32"/>
          <w:lang w:val="en-US" w:eastAsia="zh-CN" w:bidi="ar-SA"/>
        </w:rPr>
      </w:pPr>
      <w:r>
        <w:rPr>
          <w:rFonts w:hint="eastAsia" w:ascii="仿宋_GB2312" w:hAnsi="微软雅黑" w:eastAsia="仿宋_GB2312" w:cs="Times New Roman"/>
          <w:b w:val="0"/>
          <w:bCs/>
          <w:kern w:val="2"/>
          <w:sz w:val="32"/>
          <w:szCs w:val="32"/>
          <w:lang w:val="en-US" w:eastAsia="zh-CN" w:bidi="ar-SA"/>
        </w:rPr>
        <w:t>人大代表建议和政协提案办理情况。2022年共办理人大代表建议7件，政协委员提案8件，均按照要求将人大代表建议、政协委员提案办理情况主动进行公开。</w:t>
      </w:r>
    </w:p>
    <w:p>
      <w:pPr>
        <w:keepNext w:val="0"/>
        <w:keepLines w:val="0"/>
        <w:pageBreakBefore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微软雅黑" w:eastAsia="仿宋_GB2312" w:cs="Times New Roman"/>
          <w:b w:val="0"/>
          <w:bCs/>
          <w:kern w:val="2"/>
          <w:sz w:val="32"/>
          <w:szCs w:val="32"/>
          <w:lang w:val="en-US" w:eastAsia="zh-CN" w:bidi="ar-SA"/>
        </w:rPr>
      </w:pPr>
      <w:r>
        <w:rPr>
          <w:rFonts w:hint="eastAsia" w:ascii="仿宋_GB2312" w:hAnsi="微软雅黑" w:eastAsia="仿宋_GB2312" w:cs="Times New Roman"/>
          <w:b w:val="0"/>
          <w:bCs/>
          <w:kern w:val="2"/>
          <w:sz w:val="32"/>
          <w:szCs w:val="32"/>
          <w:lang w:val="en-US" w:eastAsia="zh-CN" w:bidi="ar-SA"/>
        </w:rPr>
        <w:t>年度政务公开工作创新情况。组织开展以加强农产品质量监管,守护老百姓“舌尖上的安全”为主题的“政府开放月”活动,邀请群众代表现场参观西瓜科技示范园，县农业农村局向参观群众介绍全县农产品质量安全监管工作情况和西甜瓜特色产业发展有关情况，同时认真听取群众代表关于农产品质量安全监管和产业发展的意见建议，并及时做好答复，进一步向广大人民群众普及了农产品质量安全知识，树立了政府“公开、透明、高效、为民”的形象。</w:t>
      </w:r>
    </w:p>
    <w:p>
      <w:pPr>
        <w:keepNext w:val="0"/>
        <w:keepLines w:val="0"/>
        <w:pageBreakBefore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微软雅黑" w:eastAsia="仿宋_GB2312"/>
          <w:b w:val="0"/>
          <w:bCs/>
          <w:sz w:val="32"/>
          <w:szCs w:val="32"/>
        </w:rPr>
      </w:pPr>
      <w:r>
        <w:rPr>
          <w:rFonts w:hint="eastAsia" w:ascii="仿宋_GB2312" w:hAnsi="微软雅黑" w:eastAsia="仿宋_GB2312"/>
          <w:b w:val="0"/>
          <w:bCs/>
          <w:sz w:val="32"/>
          <w:szCs w:val="32"/>
          <w:lang w:val="en-US" w:eastAsia="zh-CN"/>
        </w:rPr>
        <w:t>报告数据统计说明。本报告所列数据统计期限为2022年1月1日至2022年12月31日。</w:t>
      </w:r>
    </w:p>
    <w:p>
      <w:pPr>
        <w:keepNext w:val="0"/>
        <w:keepLines w:val="0"/>
        <w:pageBreakBefore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微软雅黑" w:eastAsia="仿宋_GB2312"/>
          <w:b w:val="0"/>
          <w:bCs/>
          <w:sz w:val="32"/>
          <w:szCs w:val="32"/>
        </w:rPr>
      </w:pPr>
      <w:r>
        <w:rPr>
          <w:rFonts w:hint="eastAsia" w:ascii="仿宋_GB2312" w:hAnsi="微软雅黑" w:eastAsia="仿宋_GB2312"/>
          <w:b w:val="0"/>
          <w:bCs/>
          <w:sz w:val="32"/>
          <w:szCs w:val="32"/>
          <w:lang w:val="en-US" w:eastAsia="zh-CN"/>
        </w:rPr>
        <w:t>本行政机关认为需要报告的其他事项。无</w:t>
      </w:r>
    </w:p>
    <w:p>
      <w:pPr>
        <w:keepNext w:val="0"/>
        <w:keepLines w:val="0"/>
        <w:pageBreakBefore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微软雅黑" w:eastAsia="仿宋_GB2312"/>
          <w:b w:val="0"/>
          <w:bCs/>
          <w:sz w:val="32"/>
          <w:szCs w:val="32"/>
        </w:rPr>
      </w:pPr>
      <w:r>
        <w:rPr>
          <w:rFonts w:hint="eastAsia" w:ascii="仿宋_GB2312" w:hAnsi="微软雅黑" w:eastAsia="仿宋_GB2312"/>
          <w:b w:val="0"/>
          <w:bCs/>
          <w:sz w:val="32"/>
          <w:szCs w:val="32"/>
          <w:lang w:val="en-US" w:eastAsia="zh-CN"/>
        </w:rPr>
        <w:t>其他有关文件专门要求报告的事项。无</w:t>
      </w:r>
    </w:p>
    <w:p>
      <w:pPr>
        <w:numPr>
          <w:ilvl w:val="0"/>
          <w:numId w:val="0"/>
        </w:numPr>
        <w:ind w:firstLine="640" w:firstLineChars="200"/>
        <w:rPr>
          <w:rFonts w:hint="eastAsia" w:ascii="仿宋_GB2312" w:eastAsia="仿宋_GB2312"/>
          <w:b w:val="0"/>
          <w:bCs/>
          <w:sz w:val="32"/>
          <w:szCs w:val="32"/>
          <w:lang w:val="en-US" w:eastAsia="zh-CN"/>
        </w:rPr>
      </w:pPr>
    </w:p>
    <w:p>
      <w:pPr>
        <w:numPr>
          <w:ilvl w:val="0"/>
          <w:numId w:val="0"/>
        </w:numPr>
        <w:ind w:firstLine="640" w:firstLineChars="200"/>
        <w:rPr>
          <w:rFonts w:hint="eastAsia" w:ascii="仿宋_GB2312" w:eastAsia="仿宋_GB2312"/>
          <w:b w:val="0"/>
          <w:bCs/>
          <w:sz w:val="32"/>
          <w:szCs w:val="32"/>
          <w:lang w:val="en-US" w:eastAsia="zh-CN"/>
        </w:rPr>
      </w:pPr>
    </w:p>
    <w:p>
      <w:pPr>
        <w:numPr>
          <w:ilvl w:val="0"/>
          <w:numId w:val="0"/>
        </w:numPr>
        <w:ind w:firstLine="5120" w:firstLineChars="1600"/>
        <w:rPr>
          <w:rFonts w:hint="eastAsia" w:ascii="仿宋_GB2312" w:eastAsia="仿宋_GB2312"/>
          <w:b w:val="0"/>
          <w:bCs/>
          <w:sz w:val="32"/>
          <w:szCs w:val="32"/>
          <w:lang w:val="en-US" w:eastAsia="zh-CN"/>
        </w:rPr>
      </w:pPr>
      <w:r>
        <w:rPr>
          <w:rFonts w:hint="eastAsia" w:ascii="仿宋_GB2312" w:eastAsia="仿宋_GB2312"/>
          <w:b w:val="0"/>
          <w:bCs/>
          <w:sz w:val="32"/>
          <w:szCs w:val="32"/>
          <w:lang w:val="en-US" w:eastAsia="zh-CN"/>
        </w:rPr>
        <w:t>昌乐县农业农村局</w:t>
      </w:r>
    </w:p>
    <w:p>
      <w:pPr>
        <w:numPr>
          <w:ilvl w:val="0"/>
          <w:numId w:val="0"/>
        </w:numPr>
        <w:ind w:firstLine="5120" w:firstLineChars="1600"/>
        <w:rPr>
          <w:rFonts w:hint="default" w:ascii="仿宋_GB2312" w:eastAsia="仿宋_GB2312"/>
          <w:b w:val="0"/>
          <w:bCs/>
          <w:sz w:val="32"/>
          <w:szCs w:val="32"/>
          <w:lang w:val="en-US" w:eastAsia="zh-CN"/>
        </w:rPr>
      </w:pPr>
      <w:r>
        <w:rPr>
          <w:rFonts w:hint="eastAsia" w:ascii="仿宋_GB2312" w:eastAsia="仿宋_GB2312"/>
          <w:b w:val="0"/>
          <w:bCs/>
          <w:sz w:val="32"/>
          <w:szCs w:val="32"/>
          <w:lang w:val="en-US" w:eastAsia="zh-CN"/>
        </w:rPr>
        <w:t>2023年1月31日</w:t>
      </w:r>
    </w:p>
    <w:sectPr>
      <w:pgSz w:w="11906" w:h="16838"/>
      <w:pgMar w:top="2098" w:right="1417" w:bottom="1984" w:left="1417" w:header="851" w:footer="130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标宋">
    <w:panose1 w:val="02010604000101010101"/>
    <w:charset w:val="86"/>
    <w:family w:val="auto"/>
    <w:pitch w:val="default"/>
    <w:sig w:usb0="00000001"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32809"/>
    <w:multiLevelType w:val="singleLevel"/>
    <w:tmpl w:val="9553280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iY2FjNzlkZDdlYTZjYTU3YmM5MDQwM2RjZTdmZDgifQ=="/>
  </w:docVars>
  <w:rsids>
    <w:rsidRoot w:val="11BA4B12"/>
    <w:rsid w:val="01A5231E"/>
    <w:rsid w:val="08420F48"/>
    <w:rsid w:val="0B8843F6"/>
    <w:rsid w:val="11827A8C"/>
    <w:rsid w:val="11BA4B12"/>
    <w:rsid w:val="136C1F42"/>
    <w:rsid w:val="18193C60"/>
    <w:rsid w:val="1F9E1D71"/>
    <w:rsid w:val="1FC41DC8"/>
    <w:rsid w:val="210C7C4D"/>
    <w:rsid w:val="21D342CD"/>
    <w:rsid w:val="29341AF5"/>
    <w:rsid w:val="2B683CD8"/>
    <w:rsid w:val="2C3348C6"/>
    <w:rsid w:val="2CAE7639"/>
    <w:rsid w:val="31A97496"/>
    <w:rsid w:val="354956C7"/>
    <w:rsid w:val="38CA33B5"/>
    <w:rsid w:val="39160157"/>
    <w:rsid w:val="3B3B35AF"/>
    <w:rsid w:val="3C3F2833"/>
    <w:rsid w:val="3F0934B0"/>
    <w:rsid w:val="41733113"/>
    <w:rsid w:val="41782EC7"/>
    <w:rsid w:val="443F60C9"/>
    <w:rsid w:val="45F10992"/>
    <w:rsid w:val="4773016A"/>
    <w:rsid w:val="52AB243B"/>
    <w:rsid w:val="52C34309"/>
    <w:rsid w:val="5B946566"/>
    <w:rsid w:val="5DB65664"/>
    <w:rsid w:val="5DC87E6E"/>
    <w:rsid w:val="60B92304"/>
    <w:rsid w:val="673A3BF6"/>
    <w:rsid w:val="6A015DD8"/>
    <w:rsid w:val="6A7A48E2"/>
    <w:rsid w:val="6FAA79E8"/>
    <w:rsid w:val="70CA396B"/>
    <w:rsid w:val="74E4104E"/>
    <w:rsid w:val="76220E79"/>
    <w:rsid w:val="780363CB"/>
    <w:rsid w:val="783E5864"/>
    <w:rsid w:val="790C1C95"/>
    <w:rsid w:val="79F32BD3"/>
    <w:rsid w:val="7A881E57"/>
    <w:rsid w:val="7BC267DD"/>
    <w:rsid w:val="7D754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2563</Words>
  <Characters>2660</Characters>
  <Lines>0</Lines>
  <Paragraphs>0</Paragraphs>
  <TotalTime>22</TotalTime>
  <ScaleCrop>false</ScaleCrop>
  <LinksUpToDate>false</LinksUpToDate>
  <CharactersWithSpaces>2671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2022-01-17T01:51:00Z</dcterms:created>
  <dc:creator>吴^o^y㊣</dc:creator>
  <cp:lastModifiedBy>李国</cp:lastModifiedBy>
  <dcterms:modified xsi:type="dcterms:W3CDTF">2023-01-31T07:17:43Z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0FA931E806AB4130A8CA28A595F63613</vt:lpwstr>
  </property>
</Properties>
</file>