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spacing w:line="600" w:lineRule="exact"/>
        <w:jc w:val="center"/>
        <w:rPr>
          <w:rFonts w:hint="eastAsia" w:ascii="文星标宋" w:hAnsi="文星标宋" w:eastAsia="文星标宋" w:cs="文星标宋"/>
          <w:b w:val="0"/>
          <w:bCs/>
          <w:sz w:val="44"/>
          <w:szCs w:val="44"/>
          <w:shd w:val="clear" w:color="auto" w:fill="FFFFFF"/>
        </w:rPr>
      </w:pPr>
      <w:bookmarkStart w:id="0" w:name="_GoBack"/>
      <w:r>
        <w:rPr>
          <w:rFonts w:hint="eastAsia" w:ascii="文星标宋" w:hAnsi="文星标宋" w:eastAsia="文星标宋" w:cs="文星标宋"/>
          <w:b w:val="0"/>
          <w:bCs/>
          <w:sz w:val="44"/>
          <w:szCs w:val="44"/>
          <w:shd w:val="clear" w:color="auto" w:fill="FFFFFF"/>
        </w:rPr>
        <w:t>昌乐县市场监督管理局</w:t>
      </w:r>
    </w:p>
    <w:p>
      <w:pPr>
        <w:pStyle w:val="6"/>
        <w:shd w:val="clear" w:color="auto"/>
        <w:spacing w:line="600" w:lineRule="exact"/>
        <w:jc w:val="center"/>
        <w:rPr>
          <w:rFonts w:ascii="宋体" w:hAnsi="宋体" w:cs="宋体"/>
          <w:b/>
        </w:rPr>
      </w:pPr>
      <w:r>
        <w:rPr>
          <w:rFonts w:hint="eastAsia" w:ascii="文星标宋" w:hAnsi="文星标宋" w:eastAsia="文星标宋" w:cs="文星标宋"/>
          <w:b w:val="0"/>
          <w:bCs/>
          <w:sz w:val="44"/>
          <w:szCs w:val="44"/>
          <w:shd w:val="clear" w:color="auto" w:fill="FFFFFF"/>
        </w:rPr>
        <w:t>2020年政府信息公开工作年度报告</w:t>
      </w:r>
      <w:bookmarkEnd w:id="0"/>
    </w:p>
    <w:p>
      <w:pPr>
        <w:pStyle w:val="6"/>
        <w:shd w:val="clear" w:color="auto"/>
        <w:ind w:firstLine="640"/>
        <w:jc w:val="both"/>
        <w:rPr>
          <w:rFonts w:ascii="仿宋_GB2312" w:hAnsi="黑体" w:eastAsia="仿宋_GB2312" w:cs="黑体"/>
          <w:sz w:val="32"/>
          <w:szCs w:val="32"/>
          <w:shd w:val="clear" w:color="auto" w:fill="FFFFFF"/>
        </w:rPr>
      </w:pPr>
    </w:p>
    <w:p>
      <w:pPr>
        <w:pStyle w:val="6"/>
        <w:shd w:val="clear" w:color="auto"/>
        <w:ind w:firstLine="640"/>
        <w:jc w:val="both"/>
        <w:rPr>
          <w:rFonts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根据《中华人民共和国政府信息公开条例》《山东省政府信息公开办法》《潍坊市人民政府关于做好2020年政府信息公开工作年度报告编制发布和报送工作的通知》要求，结合我局实际，编制并向社会公布昌乐县市场监督管理局2020年政府信息公开工作年度报告。本年度报告中所列数据的统计期限自2020年1月1日起，至2020年12月31日止。如对本报告有疑问，请联系昌乐县市场监督管理局办公室，联系电话0536-6236336。</w:t>
      </w:r>
    </w:p>
    <w:p>
      <w:pPr>
        <w:pStyle w:val="6"/>
        <w:shd w:val="clear" w:color="auto"/>
        <w:ind w:firstLine="640"/>
        <w:jc w:val="both"/>
        <w:rPr>
          <w:rFonts w:ascii="黑体" w:hAnsi="黑体" w:eastAsia="黑体" w:cs="黑体"/>
          <w:sz w:val="32"/>
          <w:szCs w:val="32"/>
        </w:rPr>
      </w:pPr>
      <w:r>
        <w:rPr>
          <w:rFonts w:hint="eastAsia" w:ascii="黑体" w:hAnsi="黑体" w:eastAsia="黑体" w:cs="黑体"/>
          <w:sz w:val="32"/>
          <w:szCs w:val="32"/>
          <w:shd w:val="clear" w:color="auto" w:fill="FFFFFF"/>
        </w:rPr>
        <w:t>一、总体情况</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2020年，昌乐县市场监管局认真贯彻落实党中央、国务院和省、市、县关于政府信息公开工作部署要求，不断扩大公开渠道，丰富公开形式，及时回应社会关切，不断提升政府信息公开工作实效，政府信息公开水平实现新提升。</w:t>
      </w:r>
    </w:p>
    <w:p>
      <w:pPr>
        <w:numPr>
          <w:ilvl w:val="0"/>
          <w:numId w:val="1"/>
        </w:numPr>
        <w:spacing w:line="578" w:lineRule="atLeast"/>
        <w:ind w:firstLine="643"/>
        <w:rPr>
          <w:rFonts w:hint="eastAsia" w:ascii="仿宋_GB2312" w:hAnsi="宋体" w:eastAsia="仿宋_GB2312" w:cs="宋体"/>
          <w:sz w:val="32"/>
          <w:szCs w:val="32"/>
        </w:rPr>
      </w:pPr>
      <w:r>
        <w:rPr>
          <w:rFonts w:hint="eastAsia" w:ascii="楷体_GB2312" w:hAnsi="宋体" w:eastAsia="楷体_GB2312" w:cs="宋体"/>
          <w:b/>
          <w:sz w:val="32"/>
          <w:szCs w:val="32"/>
        </w:rPr>
        <w:t>主动公开情况。</w:t>
      </w:r>
      <w:r>
        <w:rPr>
          <w:rFonts w:hint="eastAsia" w:ascii="仿宋_GB2312" w:hAnsi="宋体" w:eastAsia="仿宋_GB2312" w:cs="宋体"/>
          <w:sz w:val="32"/>
          <w:szCs w:val="32"/>
        </w:rPr>
        <w:t>规范程序，丰富内容，严格遵循依法公开、真实公正、注重实效、有利监督四个原则，保证有价值的信息能及时向社会大众公开。全年通过门户网站公开</w:t>
      </w:r>
      <w:r>
        <w:rPr>
          <w:rFonts w:hint="eastAsia" w:ascii="仿宋_GB2312" w:hAnsi="Arial" w:eastAsia="仿宋_GB2312" w:cs="Arial"/>
          <w:sz w:val="32"/>
          <w:szCs w:val="32"/>
        </w:rPr>
        <w:t>97</w:t>
      </w:r>
      <w:r>
        <w:rPr>
          <w:rFonts w:hint="eastAsia" w:ascii="仿宋_GB2312" w:hAnsi="宋体" w:eastAsia="仿宋_GB2312" w:cs="宋体"/>
          <w:sz w:val="32"/>
          <w:szCs w:val="32"/>
        </w:rPr>
        <w:t>条。</w:t>
      </w:r>
    </w:p>
    <w:p>
      <w:pPr>
        <w:numPr>
          <w:ilvl w:val="0"/>
          <w:numId w:val="0"/>
        </w:numPr>
        <w:spacing w:line="578" w:lineRule="atLeast"/>
        <w:rPr>
          <w:rFonts w:hint="eastAsia" w:ascii="仿宋_GB2312" w:hAnsi="宋体" w:eastAsia="仿宋_GB2312" w:cs="宋体"/>
          <w:sz w:val="32"/>
          <w:szCs w:val="32"/>
        </w:rPr>
      </w:pPr>
    </w:p>
    <w:p>
      <w:pPr>
        <w:numPr>
          <w:ilvl w:val="0"/>
          <w:numId w:val="0"/>
        </w:numPr>
        <w:spacing w:line="578" w:lineRule="atLeast"/>
        <w:rPr>
          <w:rFonts w:hint="eastAsia" w:ascii="仿宋_GB2312" w:hAnsi="宋体" w:eastAsia="仿宋_GB2312" w:cs="宋体"/>
          <w:sz w:val="32"/>
          <w:szCs w:val="32"/>
        </w:rPr>
      </w:pPr>
    </w:p>
    <w:p>
      <w:pPr>
        <w:numPr>
          <w:ilvl w:val="0"/>
          <w:numId w:val="0"/>
        </w:numPr>
        <w:spacing w:line="578" w:lineRule="atLeast"/>
        <w:rPr>
          <w:rFonts w:ascii="仿宋_GB2312" w:hAnsi="宋体" w:eastAsia="仿宋_GB2312" w:cs="宋体"/>
          <w:sz w:val="32"/>
          <w:szCs w:val="32"/>
        </w:rPr>
      </w:pPr>
      <w:r>
        <w:rPr>
          <w:rFonts w:ascii="楷体_GB2312" w:hAnsi="宋体" w:eastAsia="楷体_GB2312" w:cs="宋体"/>
          <w:b/>
          <w:sz w:val="32"/>
          <w:szCs w:val="32"/>
        </w:rPr>
        <w:drawing>
          <wp:anchor distT="0" distB="0" distL="0" distR="0" simplePos="0" relativeHeight="251658240" behindDoc="0" locked="0" layoutInCell="1" allowOverlap="1">
            <wp:simplePos x="0" y="0"/>
            <wp:positionH relativeFrom="column">
              <wp:posOffset>476250</wp:posOffset>
            </wp:positionH>
            <wp:positionV relativeFrom="paragraph">
              <wp:posOffset>200025</wp:posOffset>
            </wp:positionV>
            <wp:extent cx="4302760" cy="2931160"/>
            <wp:effectExtent l="0" t="0" r="2540" b="2540"/>
            <wp:wrapTopAndBottom/>
            <wp:docPr id="18" name="图片 8" descr="C:\Users\lenovo\Desktop\QQ浏览器截图20210125135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C:\Users\lenovo\Desktop\QQ浏览器截图20210125135842.png"/>
                    <pic:cNvPicPr>
                      <a:picLocks noChangeAspect="1" noChangeArrowheads="1"/>
                    </pic:cNvPicPr>
                  </pic:nvPicPr>
                  <pic:blipFill>
                    <a:blip r:embed="rId5"/>
                    <a:srcRect/>
                    <a:stretch>
                      <a:fillRect/>
                    </a:stretch>
                  </pic:blipFill>
                  <pic:spPr>
                    <a:xfrm>
                      <a:off x="0" y="0"/>
                      <a:ext cx="4302760" cy="2931160"/>
                    </a:xfrm>
                    <a:prstGeom prst="rect">
                      <a:avLst/>
                    </a:prstGeom>
                    <a:noFill/>
                    <a:ln w="9525">
                      <a:noFill/>
                      <a:miter lim="800000"/>
                      <a:headEnd/>
                      <a:tailEnd/>
                    </a:ln>
                  </pic:spPr>
                </pic:pic>
              </a:graphicData>
            </a:graphic>
          </wp:anchor>
        </w:drawing>
      </w:r>
      <w:r>
        <w:rPr>
          <w:rFonts w:hint="eastAsia" w:ascii="楷体_GB2312" w:hAnsi="宋体" w:eastAsia="楷体_GB2312" w:cs="宋体"/>
          <w:b/>
          <w:sz w:val="32"/>
          <w:szCs w:val="32"/>
          <w:lang w:val="en-US" w:eastAsia="zh-CN"/>
        </w:rPr>
        <w:t xml:space="preserve">    </w:t>
      </w:r>
      <w:r>
        <w:rPr>
          <w:rFonts w:hint="eastAsia" w:ascii="楷体_GB2312" w:hAnsi="宋体" w:eastAsia="楷体_GB2312" w:cs="宋体"/>
          <w:b/>
          <w:sz w:val="32"/>
          <w:szCs w:val="32"/>
        </w:rPr>
        <w:t>（二）依申请公开情况。</w:t>
      </w:r>
      <w:r>
        <w:rPr>
          <w:rFonts w:hint="eastAsia" w:ascii="仿宋_GB2312" w:hAnsi="宋体" w:eastAsia="仿宋_GB2312" w:cs="宋体"/>
          <w:sz w:val="32"/>
          <w:szCs w:val="32"/>
        </w:rPr>
        <w:t>2020年，我局共受理信息公开申请1件，为网上申请，并法依规按时予以答复。</w:t>
      </w:r>
    </w:p>
    <w:p>
      <w:pPr>
        <w:spacing w:line="600" w:lineRule="exact"/>
        <w:ind w:firstLine="643"/>
        <w:rPr>
          <w:rFonts w:ascii="仿宋_GB2312" w:hAnsi="宋体" w:eastAsia="仿宋_GB2312" w:cs="宋体"/>
          <w:sz w:val="32"/>
          <w:szCs w:val="32"/>
        </w:rPr>
      </w:pPr>
      <w:r>
        <w:rPr>
          <w:rFonts w:hint="eastAsia" w:ascii="楷体_GB2312" w:hAnsi="宋体" w:eastAsia="楷体_GB2312" w:cs="宋体"/>
          <w:b/>
          <w:sz w:val="32"/>
          <w:szCs w:val="32"/>
        </w:rPr>
        <w:t>（三）政府信息管理。</w:t>
      </w:r>
      <w:r>
        <w:rPr>
          <w:rFonts w:hint="eastAsia" w:ascii="仿宋_GB2312" w:hAnsi="宋体" w:eastAsia="仿宋_GB2312" w:cs="宋体"/>
          <w:sz w:val="32"/>
          <w:szCs w:val="32"/>
        </w:rPr>
        <w:t>建立健全政府信息公开制度，进一步完善政务信息常态化管理机制，落实专人负责管理，按照有关要求及时对相关政策、法规等进行解读和宣传，对信息及时进行更新。</w:t>
      </w:r>
    </w:p>
    <w:p>
      <w:pPr>
        <w:spacing w:line="600" w:lineRule="exact"/>
        <w:ind w:firstLine="643"/>
        <w:rPr>
          <w:rFonts w:ascii="仿宋_GB2312" w:hAnsi="宋体" w:eastAsia="仿宋_GB2312" w:cs="宋体"/>
          <w:sz w:val="32"/>
          <w:szCs w:val="32"/>
        </w:rPr>
      </w:pPr>
      <w:r>
        <w:rPr>
          <w:rFonts w:hint="eastAsia" w:ascii="楷体_GB2312" w:hAnsi="宋体" w:eastAsia="楷体_GB2312" w:cs="宋体"/>
          <w:b/>
          <w:sz w:val="32"/>
          <w:szCs w:val="32"/>
        </w:rPr>
        <w:t>（四）公开平台建设。</w:t>
      </w:r>
      <w:r>
        <w:rPr>
          <w:rFonts w:hint="eastAsia" w:ascii="仿宋_GB2312" w:hAnsi="宋体" w:eastAsia="仿宋_GB2312" w:cs="宋体"/>
          <w:sz w:val="32"/>
          <w:szCs w:val="32"/>
        </w:rPr>
        <w:t>我局开设了“昌乐市场监督管理局”微信订阅号，并落实专人管理，通过微信公众平台及时发布我局工作动态信息，2020年累计发布信息250余条。</w:t>
      </w:r>
    </w:p>
    <w:p>
      <w:pPr>
        <w:jc w:val="center"/>
      </w:pPr>
    </w:p>
    <w:p>
      <w:pPr>
        <w:jc w:val="center"/>
      </w:pPr>
      <w:r>
        <w:drawing>
          <wp:inline distT="0" distB="0" distL="0" distR="0">
            <wp:extent cx="3097530" cy="4581525"/>
            <wp:effectExtent l="19050" t="0" r="7373" b="0"/>
            <wp:docPr id="12" name="图片 5" descr="C:\Users\lenovo\AppData\Local\Temp\WeChat Files\a0ceaa13ca66acaff8a24aadc340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C:\Users\lenovo\AppData\Local\Temp\WeChat Files\a0ceaa13ca66acaff8a24aadc340833.jpg"/>
                    <pic:cNvPicPr>
                      <a:picLocks noChangeAspect="1" noChangeArrowheads="1"/>
                    </pic:cNvPicPr>
                  </pic:nvPicPr>
                  <pic:blipFill>
                    <a:blip r:embed="rId6"/>
                    <a:srcRect/>
                    <a:stretch>
                      <a:fillRect/>
                    </a:stretch>
                  </pic:blipFill>
                  <pic:spPr>
                    <a:xfrm>
                      <a:off x="0" y="0"/>
                      <a:ext cx="3099279" cy="4583746"/>
                    </a:xfrm>
                    <a:prstGeom prst="rect">
                      <a:avLst/>
                    </a:prstGeom>
                    <a:noFill/>
                    <a:ln w="9525">
                      <a:noFill/>
                      <a:miter lim="800000"/>
                      <a:headEnd/>
                      <a:tailEnd/>
                    </a:ln>
                  </pic:spPr>
                </pic:pic>
              </a:graphicData>
            </a:graphic>
          </wp:inline>
        </w:drawing>
      </w:r>
    </w:p>
    <w:p>
      <w:pPr>
        <w:spacing w:line="600" w:lineRule="exact"/>
        <w:ind w:firstLine="643"/>
        <w:rPr>
          <w:rFonts w:hint="eastAsia" w:ascii="楷体_GB2312" w:hAnsi="宋体" w:eastAsia="楷体_GB2312" w:cs="宋体"/>
          <w:b/>
          <w:sz w:val="32"/>
          <w:szCs w:val="32"/>
        </w:rPr>
      </w:pPr>
    </w:p>
    <w:p>
      <w:pPr>
        <w:spacing w:line="600" w:lineRule="exact"/>
        <w:ind w:firstLine="643"/>
        <w:rPr>
          <w:rFonts w:hint="eastAsia" w:ascii="楷体_GB2312" w:hAnsi="宋体" w:eastAsia="楷体_GB2312" w:cs="宋体"/>
          <w:sz w:val="32"/>
          <w:szCs w:val="32"/>
        </w:rPr>
      </w:pPr>
      <w:r>
        <w:rPr>
          <w:rFonts w:hint="eastAsia" w:ascii="楷体_GB2312" w:hAnsi="宋体" w:eastAsia="楷体_GB2312" w:cs="宋体"/>
          <w:b/>
          <w:sz w:val="32"/>
          <w:szCs w:val="32"/>
        </w:rPr>
        <w:t>（五）机构建设及人员编制情况。</w:t>
      </w:r>
      <w:r>
        <w:rPr>
          <w:rFonts w:hint="eastAsia" w:ascii="仿宋_GB2312" w:hAnsi="宋体" w:eastAsia="仿宋_GB2312" w:cs="宋体"/>
          <w:sz w:val="32"/>
          <w:szCs w:val="32"/>
        </w:rPr>
        <w:t>按照机构改革要求和三定方案，明确了政府信息公开机构，专人负责，各科室、中心、队所将信息公开工作作为日常性工作。</w:t>
      </w:r>
    </w:p>
    <w:p>
      <w:pPr>
        <w:spacing w:line="600" w:lineRule="exact"/>
        <w:ind w:firstLine="643"/>
        <w:rPr>
          <w:rFonts w:ascii="仿宋_GB2312" w:hAnsi="宋体" w:eastAsia="仿宋_GB2312" w:cs="宋体"/>
          <w:sz w:val="32"/>
          <w:szCs w:val="32"/>
        </w:rPr>
      </w:pPr>
      <w:r>
        <w:rPr>
          <w:rFonts w:hint="eastAsia" w:ascii="楷体_GB2312" w:hAnsi="宋体" w:eastAsia="楷体_GB2312" w:cs="宋体"/>
          <w:b/>
          <w:sz w:val="32"/>
          <w:szCs w:val="32"/>
        </w:rPr>
        <w:t>（六）监督保障。</w:t>
      </w:r>
      <w:r>
        <w:rPr>
          <w:rFonts w:hint="eastAsia" w:ascii="仿宋_GB2312" w:hAnsi="宋体" w:eastAsia="仿宋_GB2312" w:cs="宋体"/>
          <w:sz w:val="32"/>
          <w:szCs w:val="32"/>
        </w:rPr>
        <w:t>成立县市场监管局政务公开领导小组，明确职责分工，落实专人负责政务公开工作，同时建立政务公开常效管理机制，强化监督，进一步规范各项流程操作，确保公开到位，保障政务公开工作扎实有效地推进。</w:t>
      </w:r>
    </w:p>
    <w:p>
      <w:pPr>
        <w:spacing w:line="600" w:lineRule="exact"/>
        <w:ind w:firstLine="643"/>
        <w:rPr>
          <w:rFonts w:ascii="仿宋_GB2312" w:hAnsi="宋体" w:eastAsia="仿宋_GB2312" w:cs="宋体"/>
          <w:sz w:val="32"/>
          <w:szCs w:val="32"/>
        </w:rPr>
      </w:pPr>
      <w:r>
        <w:rPr>
          <w:rFonts w:hint="eastAsia" w:ascii="楷体_GB2312" w:hAnsi="宋体" w:eastAsia="楷体_GB2312" w:cs="宋体"/>
          <w:b/>
          <w:sz w:val="32"/>
          <w:szCs w:val="32"/>
        </w:rPr>
        <w:t>（七）</w:t>
      </w:r>
      <w:r>
        <w:rPr>
          <w:rFonts w:ascii="楷体_GB2312" w:hAnsi="宋体" w:eastAsia="楷体_GB2312" w:cs="宋体"/>
          <w:b/>
          <w:sz w:val="32"/>
          <w:szCs w:val="32"/>
        </w:rPr>
        <w:t>建议提案办理结果公开情况。</w:t>
      </w:r>
      <w:r>
        <w:rPr>
          <w:rFonts w:hint="eastAsia" w:ascii="仿宋_GB2312" w:hAnsi="宋体" w:eastAsia="仿宋_GB2312" w:cs="宋体"/>
          <w:sz w:val="32"/>
          <w:szCs w:val="32"/>
        </w:rPr>
        <w:t>2020年，我局</w:t>
      </w:r>
      <w:r>
        <w:rPr>
          <w:rFonts w:ascii="仿宋_GB2312" w:hAnsi="宋体" w:eastAsia="仿宋_GB2312" w:cs="宋体"/>
          <w:sz w:val="32"/>
          <w:szCs w:val="32"/>
        </w:rPr>
        <w:t>共承办人大建议、政协提案</w:t>
      </w:r>
      <w:r>
        <w:rPr>
          <w:rFonts w:hint="eastAsia" w:ascii="仿宋_GB2312" w:hAnsi="宋体" w:eastAsia="仿宋_GB2312" w:cs="宋体"/>
          <w:sz w:val="32"/>
          <w:szCs w:val="32"/>
        </w:rPr>
        <w:t>9</w:t>
      </w:r>
      <w:r>
        <w:rPr>
          <w:rFonts w:ascii="仿宋_GB2312" w:hAnsi="宋体" w:eastAsia="仿宋_GB2312" w:cs="宋体"/>
          <w:sz w:val="32"/>
          <w:szCs w:val="32"/>
        </w:rPr>
        <w:t>件，其中人大代表建议</w:t>
      </w:r>
      <w:r>
        <w:rPr>
          <w:rFonts w:hint="eastAsia" w:ascii="仿宋_GB2312" w:hAnsi="宋体" w:eastAsia="仿宋_GB2312" w:cs="宋体"/>
          <w:sz w:val="32"/>
          <w:szCs w:val="32"/>
        </w:rPr>
        <w:t>2</w:t>
      </w:r>
      <w:r>
        <w:rPr>
          <w:rFonts w:ascii="仿宋_GB2312" w:hAnsi="宋体" w:eastAsia="仿宋_GB2312" w:cs="宋体"/>
          <w:sz w:val="32"/>
          <w:szCs w:val="32"/>
        </w:rPr>
        <w:t>件，政协委员提案</w:t>
      </w:r>
      <w:r>
        <w:rPr>
          <w:rFonts w:hint="eastAsia" w:ascii="仿宋_GB2312" w:hAnsi="宋体" w:eastAsia="仿宋_GB2312" w:cs="宋体"/>
          <w:sz w:val="32"/>
          <w:szCs w:val="32"/>
        </w:rPr>
        <w:t>7</w:t>
      </w:r>
      <w:r>
        <w:rPr>
          <w:rFonts w:ascii="仿宋_GB2312" w:hAnsi="宋体" w:eastAsia="仿宋_GB2312" w:cs="宋体"/>
          <w:sz w:val="32"/>
          <w:szCs w:val="32"/>
        </w:rPr>
        <w:t>件，人大代表、政协委员满意率和见面答复率均为100%，建议提案办理情况均通过中国·昌乐门户网站向社会公开。</w:t>
      </w:r>
    </w:p>
    <w:p>
      <w:pPr>
        <w:pStyle w:val="6"/>
        <w:shd w:val="clear" w:color="auto"/>
        <w:spacing w:after="240"/>
        <w:ind w:firstLine="64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9"/>
        <w:tblW w:w="8708" w:type="dxa"/>
        <w:jc w:val="center"/>
        <w:tblInd w:w="0" w:type="dxa"/>
        <w:shd w:val="clear" w:color="auto" w:fill="auto"/>
        <w:tblLayout w:type="fixed"/>
        <w:tblCellMar>
          <w:top w:w="0" w:type="dxa"/>
          <w:left w:w="0" w:type="dxa"/>
          <w:bottom w:w="0" w:type="dxa"/>
          <w:right w:w="0" w:type="dxa"/>
        </w:tblCellMar>
      </w:tblPr>
      <w:tblGrid>
        <w:gridCol w:w="3073"/>
        <w:gridCol w:w="17"/>
        <w:gridCol w:w="2095"/>
        <w:gridCol w:w="1505"/>
        <w:gridCol w:w="2018"/>
      </w:tblGrid>
      <w:tr>
        <w:tblPrEx>
          <w:shd w:val="clear" w:color="auto" w:fill="auto"/>
          <w:tblLayout w:type="fixed"/>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sz w:val="24"/>
              </w:rPr>
            </w:pPr>
            <w:r>
              <w:rPr>
                <w:rFonts w:hint="eastAsia" w:asciiTheme="minorEastAsia" w:hAnsiTheme="minorEastAsia" w:cstheme="minorEastAsia"/>
                <w:color w:val="000000"/>
                <w:sz w:val="24"/>
              </w:rPr>
              <w:t>第二十条第（一）项</w:t>
            </w:r>
          </w:p>
        </w:tc>
      </w:tr>
      <w:tr>
        <w:tblPrEx>
          <w:tblLayout w:type="fixed"/>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本年新制作数量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本年新</w:t>
            </w:r>
            <w:r>
              <w:rPr>
                <w:rFonts w:hint="eastAsia" w:asciiTheme="minorEastAsia" w:hAnsiTheme="minorEastAsia" w:cstheme="minorEastAsia"/>
                <w:color w:val="000000"/>
                <w:sz w:val="24"/>
              </w:rPr>
              <w:br w:type="textWrapping"/>
            </w:r>
            <w:r>
              <w:rPr>
                <w:rFonts w:hint="eastAsia" w:asciiTheme="minorEastAsia" w:hAnsiTheme="minorEastAsia" w:cstheme="minorEastAsia"/>
                <w:color w:val="000000"/>
                <w:sz w:val="24"/>
              </w:rPr>
              <w:t>公开数量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对外公开</w:t>
            </w:r>
          </w:p>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总数量</w:t>
            </w:r>
          </w:p>
        </w:tc>
      </w:tr>
      <w:tr>
        <w:tblPrEx>
          <w:tblLayout w:type="fixed"/>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规章</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r>
      <w:tr>
        <w:tblPrEx>
          <w:tblLayout w:type="fixed"/>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规范性文件</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r>
      <w:tr>
        <w:tblPrEx>
          <w:tblLayout w:type="fixed"/>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第二十条第（五）项</w:t>
            </w:r>
          </w:p>
        </w:tc>
      </w:tr>
      <w:tr>
        <w:tblPrEx>
          <w:tblLayout w:type="fixed"/>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上一年项目数量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本年增/减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处理决定数量</w:t>
            </w:r>
          </w:p>
        </w:tc>
      </w:tr>
      <w:tr>
        <w:tblPrEx>
          <w:tblLayout w:type="fixed"/>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行政许可</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r>
      <w:tr>
        <w:tblPrEx>
          <w:tblLayout w:type="fixed"/>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其他对外管理服务事项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r>
      <w:tr>
        <w:tblPrEx>
          <w:tblLayout w:type="fixed"/>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第二十条第（六）项</w:t>
            </w:r>
          </w:p>
        </w:tc>
      </w:tr>
      <w:tr>
        <w:tblPrEx>
          <w:tblLayout w:type="fixed"/>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上一年项目数量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本年增/减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处理决定数量</w:t>
            </w:r>
          </w:p>
        </w:tc>
      </w:tr>
      <w:tr>
        <w:tblPrEx>
          <w:tblLayout w:type="fixed"/>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sz w:val="24"/>
              </w:rPr>
            </w:pPr>
            <w:r>
              <w:rPr>
                <w:rFonts w:hint="eastAsia" w:asciiTheme="minorEastAsia" w:hAnsiTheme="minorEastAsia" w:cstheme="minorEastAsia"/>
                <w:sz w:val="24"/>
              </w:rPr>
              <w:t>行政处罚</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sz w:val="24"/>
              </w:rPr>
            </w:pPr>
            <w:r>
              <w:rPr>
                <w:rFonts w:hint="eastAsia" w:asciiTheme="minorEastAsia" w:hAnsiTheme="minorEastAsia" w:cstheme="minorEastAsia"/>
                <w:sz w:val="24"/>
              </w:rPr>
              <w:t>20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sz w:val="24"/>
              </w:rPr>
            </w:pPr>
            <w:r>
              <w:rPr>
                <w:rFonts w:hint="eastAsia" w:asciiTheme="minorEastAsia" w:hAnsiTheme="minorEastAsia" w:cstheme="minorEastAsia"/>
                <w:sz w:val="24"/>
              </w:rPr>
              <w:t>-1</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sz w:val="24"/>
              </w:rPr>
            </w:pPr>
            <w:r>
              <w:rPr>
                <w:rFonts w:hint="eastAsia" w:asciiTheme="minorEastAsia" w:hAnsiTheme="minorEastAsia" w:cstheme="minorEastAsia"/>
                <w:sz w:val="24"/>
              </w:rPr>
              <w:t>470</w:t>
            </w:r>
          </w:p>
        </w:tc>
      </w:tr>
      <w:tr>
        <w:tblPrEx>
          <w:tblLayout w:type="fixed"/>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行政强制</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1</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1</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1</w:t>
            </w:r>
          </w:p>
        </w:tc>
      </w:tr>
      <w:tr>
        <w:tblPrEx>
          <w:tblLayout w:type="fixed"/>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第二十条第（八）项</w:t>
            </w:r>
          </w:p>
        </w:tc>
      </w:tr>
      <w:tr>
        <w:tblPrEx>
          <w:tblLayout w:type="fixed"/>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信息内容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本年增/减</w:t>
            </w:r>
          </w:p>
        </w:tc>
      </w:tr>
      <w:tr>
        <w:tblPrEx>
          <w:tblLayout w:type="fixed"/>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行政事业性收费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352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0 </w:t>
            </w:r>
          </w:p>
        </w:tc>
      </w:tr>
      <w:tr>
        <w:tblPrEx>
          <w:tblLayout w:type="fixed"/>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第二十条第（九）项</w:t>
            </w:r>
          </w:p>
        </w:tc>
      </w:tr>
      <w:tr>
        <w:tblPrEx>
          <w:tblLayout w:type="fixed"/>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信息内容</w:t>
            </w:r>
          </w:p>
        </w:tc>
        <w:tc>
          <w:tcPr>
            <w:tcW w:w="20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采购总金额</w:t>
            </w:r>
          </w:p>
        </w:tc>
      </w:tr>
      <w:tr>
        <w:tblPrEx>
          <w:tblLayout w:type="fixed"/>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heme="minorEastAsia" w:hAnsiTheme="minorEastAsia" w:cstheme="minorEastAsia"/>
                <w:color w:val="000000"/>
                <w:sz w:val="24"/>
              </w:rPr>
            </w:pPr>
            <w:r>
              <w:rPr>
                <w:rFonts w:hint="eastAsia" w:asciiTheme="minorEastAsia" w:hAnsiTheme="minorEastAsia" w:cstheme="minorEastAsia"/>
                <w:color w:val="000000"/>
                <w:sz w:val="24"/>
              </w:rPr>
              <w:t>政府集中采购</w:t>
            </w:r>
          </w:p>
        </w:tc>
        <w:tc>
          <w:tcPr>
            <w:tcW w:w="209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c>
          <w:tcPr>
            <w:tcW w:w="352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asciiTheme="minorEastAsia" w:hAnsiTheme="minorEastAsia" w:cstheme="minorEastAsia"/>
                <w:color w:val="000000"/>
                <w:sz w:val="24"/>
              </w:rPr>
            </w:pPr>
            <w:r>
              <w:rPr>
                <w:rFonts w:hint="eastAsia" w:asciiTheme="minorEastAsia" w:hAnsiTheme="minorEastAsia" w:cstheme="minorEastAsia"/>
                <w:color w:val="000000"/>
                <w:sz w:val="24"/>
              </w:rPr>
              <w:t>0</w:t>
            </w:r>
          </w:p>
        </w:tc>
      </w:tr>
    </w:tbl>
    <w:p>
      <w:pPr>
        <w:pStyle w:val="6"/>
        <w:shd w:val="clear" w:color="auto"/>
        <w:spacing w:after="240"/>
        <w:ind w:left="-199" w:firstLine="620"/>
        <w:jc w:val="both"/>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rPr>
        <w:t>三、收到和处理政府信息公开申请情况</w:t>
      </w:r>
    </w:p>
    <w:tbl>
      <w:tblPr>
        <w:tblStyle w:val="9"/>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cs="宋体"/>
              </w:rPr>
            </w:pPr>
            <w:r>
              <w:rPr>
                <w:rFonts w:hint="eastAsia" w:ascii="宋体" w:hAnsi="宋体" w:cs="宋体"/>
              </w:rPr>
              <w:t>（本列数据的勾稽关系为：第一项加第二项之和，</w:t>
            </w:r>
          </w:p>
          <w:p>
            <w:pPr>
              <w:jc w:val="center"/>
            </w:pPr>
            <w:r>
              <w:rPr>
                <w:rFonts w:hint="eastAsia" w:ascii="宋体" w:hAnsi="宋体" w:cs="宋体"/>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20" w:lineRule="exact"/>
              <w:jc w:val="center"/>
            </w:pPr>
            <w:r>
              <w:rPr>
                <w:rFonts w:hint="eastAsia" w:ascii="宋体" w:hAnsi="宋体" w:cs="宋体"/>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tc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20" w:lineRule="exact"/>
              <w:jc w:val="center"/>
            </w:pPr>
            <w:r>
              <w:rPr>
                <w:rFonts w:hint="eastAsia" w:ascii="宋体" w:hAnsi="宋体" w:cs="宋体"/>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tcPr>
          <w:p/>
        </w:tc>
        <w:tc>
          <w:tcPr>
            <w:tcW w:w="850" w:type="dxa"/>
            <w:vMerge w:val="continue"/>
            <w:tcBorders>
              <w:top w:val="nil"/>
              <w:left w:val="nil"/>
              <w:bottom w:val="single" w:color="auto" w:sz="8" w:space="0"/>
              <w:right w:val="single" w:color="auto" w:sz="8" w:space="0"/>
            </w:tcBorders>
            <w:tcMar>
              <w:left w:w="108" w:type="dxa"/>
              <w:right w:w="108" w:type="dxa"/>
            </w:tcMar>
          </w:tc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320" w:lineRule="exact"/>
              <w:ind w:left="-106" w:right="-107" w:hanging="1"/>
              <w:jc w:val="center"/>
            </w:pPr>
            <w:r>
              <w:rPr>
                <w:rFonts w:hint="eastAsia" w:ascii="宋体" w:hAnsi="宋体" w:cs="宋体"/>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320" w:lineRule="exact"/>
              <w:ind w:left="-107" w:right="-107"/>
              <w:jc w:val="center"/>
            </w:pPr>
            <w:r>
              <w:rPr>
                <w:rFonts w:hint="eastAsia" w:ascii="宋体" w:hAnsi="宋体" w:cs="宋体"/>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20" w:lineRule="exact"/>
              <w:ind w:left="-107" w:right="-107"/>
              <w:jc w:val="center"/>
            </w:pPr>
            <w:r>
              <w:rPr>
                <w:rFonts w:hint="eastAsia" w:ascii="宋体" w:hAnsi="宋体" w:cs="宋体"/>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20" w:lineRule="exact"/>
              <w:ind w:left="-106" w:right="-107" w:hanging="1"/>
              <w:jc w:val="center"/>
            </w:pPr>
            <w:r>
              <w:rPr>
                <w:rFonts w:hint="eastAsia" w:ascii="宋体" w:hAnsi="宋体" w:cs="宋体"/>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60" w:lineRule="exact"/>
              <w:ind w:left="-63" w:right="-134"/>
              <w:jc w:val="center"/>
            </w:pPr>
            <w:r>
              <w:rPr>
                <w:rFonts w:hint="eastAsia" w:ascii="宋体" w:hAnsi="宋体" w:cs="宋体"/>
              </w:rPr>
              <w:t>其他</w:t>
            </w:r>
          </w:p>
        </w:tc>
        <w:tc>
          <w:tcPr>
            <w:tcW w:w="635" w:type="dxa"/>
            <w:vMerge w:val="continue"/>
            <w:tcBorders>
              <w:top w:val="single" w:color="auto" w:sz="8" w:space="0"/>
              <w:left w:val="nil"/>
              <w:bottom w:val="single" w:color="auto" w:sz="8" w:space="0"/>
              <w:right w:val="single" w:color="auto" w:sz="8" w:space="0"/>
            </w:tcBorders>
            <w:tcMar>
              <w:left w:w="108" w:type="dxa"/>
              <w:right w:w="108" w:type="dxa"/>
            </w:tcMar>
          </w:tc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ascii="宋体" w:hAnsi="宋体" w:cs="宋体"/>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ascii="宋体" w:hAnsi="宋体" w:cs="宋体"/>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after="180"/>
            </w:pPr>
            <w:r>
              <w:rPr>
                <w:rFonts w:hint="eastAsia" w:ascii="宋体" w:hAnsi="宋体" w:cs="宋体"/>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r>
              <w:rPr>
                <w:rFonts w:ascii="楷体" w:hAnsi="楷体" w:eastAsia="楷体" w:cs="楷体"/>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r>
              <w:rPr>
                <w:rFonts w:hint="eastAsia" w:ascii="楷体" w:hAnsi="楷体" w:eastAsia="楷体" w:cs="楷体"/>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pPr>
            <w:r>
              <w:rPr>
                <w:rFonts w:hint="eastAsia" w:ascii="楷体" w:hAnsi="楷体" w:eastAsia="楷体" w:cs="楷体"/>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pPr>
            <w:r>
              <w:rPr>
                <w:rFonts w:hint="eastAsia" w:ascii="楷体" w:hAnsi="楷体" w:eastAsia="楷体" w:cs="楷体"/>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pPr>
            <w:r>
              <w:rPr>
                <w:rFonts w:hint="eastAsia" w:ascii="楷体" w:hAnsi="楷体" w:eastAsia="楷体" w:cs="楷体"/>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楷体" w:hAnsi="楷体" w:eastAsia="楷体" w:cs="楷体"/>
              </w:rPr>
            </w:pPr>
            <w:r>
              <w:rPr>
                <w:rFonts w:hint="eastAsia" w:ascii="楷体" w:hAnsi="楷体" w:eastAsia="楷体" w:cs="楷体"/>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pPr>
            <w:r>
              <w:rPr>
                <w:rFonts w:hint="eastAsia" w:ascii="楷体" w:hAnsi="楷体" w:eastAsia="楷体" w:cs="楷体"/>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pPr>
            <w:r>
              <w:rPr>
                <w:rFonts w:hint="eastAsia" w:ascii="楷体" w:hAnsi="楷体" w:eastAsia="楷体" w:cs="楷体"/>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1418" w:type="dxa"/>
            <w:vMerge w:val="continue"/>
            <w:tcBorders>
              <w:top w:val="nil"/>
              <w:left w:val="nil"/>
              <w:bottom w:val="single" w:color="auto" w:sz="8" w:space="0"/>
              <w:right w:val="single" w:color="auto" w:sz="8" w:space="0"/>
            </w:tcBorders>
            <w:tcMar>
              <w:left w:w="108" w:type="dxa"/>
              <w:right w:w="108" w:type="dxa"/>
            </w:tcMar>
          </w:tc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300" w:lineRule="exact"/>
              <w:rPr>
                <w:rFonts w:ascii="楷体" w:hAnsi="楷体" w:eastAsia="楷体" w:cs="楷体"/>
              </w:rPr>
            </w:pPr>
            <w:r>
              <w:rPr>
                <w:rFonts w:hint="eastAsia" w:ascii="楷体" w:hAnsi="楷体" w:eastAsia="楷体" w:cs="楷体"/>
              </w:rPr>
              <w:t>5.要求行政机关确认或重新</w:t>
            </w:r>
          </w:p>
          <w:p>
            <w:pPr>
              <w:spacing w:line="300" w:lineRule="exact"/>
              <w:ind w:firstLine="200"/>
            </w:pPr>
            <w:r>
              <w:rPr>
                <w:rFonts w:hint="eastAsia" w:ascii="楷体" w:hAnsi="楷体" w:eastAsia="楷体" w:cs="楷体"/>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pPr>
            <w:r>
              <w:rPr>
                <w:rFonts w:hint="eastAsia" w:ascii="楷体" w:hAnsi="楷体" w:eastAsia="楷体" w:cs="楷体"/>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tc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pPr>
            <w:r>
              <w:rPr>
                <w:rFonts w:hint="eastAsia" w:ascii="楷体" w:hAnsi="楷体" w:eastAsia="楷体" w:cs="楷体"/>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rPr>
                <w:rFonts w:hint="eastAsia" w:eastAsia="宋体"/>
                <w:lang w:eastAsia="zh-CN"/>
              </w:rPr>
            </w:pPr>
            <w:r>
              <w:rPr>
                <w:rFonts w:hint="eastAsia"/>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ascii="宋体" w:hAnsi="宋体" w:cs="宋体"/>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sz w:val="24"/>
              </w:rPr>
            </w:pPr>
            <w:r>
              <w:rPr>
                <w:rFonts w:hint="eastAsia" w:ascii="宋体"/>
                <w:sz w:val="24"/>
              </w:rPr>
              <w:t>0</w:t>
            </w:r>
          </w:p>
        </w:tc>
      </w:tr>
    </w:tbl>
    <w:p>
      <w:pPr>
        <w:pStyle w:val="6"/>
        <w:shd w:val="clear" w:color="auto"/>
        <w:ind w:firstLine="420"/>
        <w:jc w:val="both"/>
        <w:rPr>
          <w:rFonts w:ascii="宋体" w:hAnsi="宋体" w:cs="宋体"/>
          <w:color w:val="333333"/>
        </w:rPr>
      </w:pPr>
    </w:p>
    <w:p>
      <w:pPr>
        <w:pStyle w:val="6"/>
        <w:shd w:val="clear" w:color="auto"/>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四、政府信息公开行政复议、行政诉讼情况</w:t>
      </w:r>
    </w:p>
    <w:p>
      <w:pPr>
        <w:pStyle w:val="6"/>
        <w:shd w:val="clear" w:color="auto"/>
        <w:ind w:firstLine="420"/>
        <w:jc w:val="both"/>
        <w:rPr>
          <w:rFonts w:ascii="宋体" w:hAnsi="宋体" w:cs="宋体"/>
          <w:color w:val="333333"/>
        </w:rPr>
      </w:pPr>
    </w:p>
    <w:tbl>
      <w:tblPr>
        <w:tblStyle w:val="9"/>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ind w:left="-149" w:right="-170"/>
              <w:jc w:val="center"/>
              <w:rPr>
                <w:rFonts w:ascii="宋体" w:hAnsi="宋体" w:cs="宋体"/>
              </w:rPr>
            </w:pPr>
            <w:r>
              <w:rPr>
                <w:rFonts w:hint="eastAsia" w:ascii="宋体" w:hAnsi="宋体" w:cs="宋体"/>
              </w:rPr>
              <w:t>结果</w:t>
            </w:r>
          </w:p>
          <w:p>
            <w:pPr>
              <w:ind w:left="-149" w:right="-170"/>
              <w:jc w:val="center"/>
            </w:pPr>
            <w:r>
              <w:rPr>
                <w:rFonts w:hint="eastAsia" w:ascii="宋体" w:hAnsi="宋体" w:cs="宋体"/>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ind w:left="-43" w:right="-132" w:hanging="1"/>
              <w:jc w:val="center"/>
            </w:pPr>
            <w:r>
              <w:rPr>
                <w:rFonts w:hint="eastAsia" w:ascii="宋体" w:hAnsi="宋体" w:cs="宋体"/>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82" w:right="-97"/>
              <w:jc w:val="center"/>
            </w:pPr>
            <w:r>
              <w:rPr>
                <w:rFonts w:hint="eastAsia" w:ascii="宋体" w:hAnsi="宋体" w:cs="宋体"/>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118" w:right="-118"/>
              <w:jc w:val="center"/>
              <w:rPr>
                <w:rFonts w:ascii="宋体" w:hAnsi="宋体" w:cs="宋体"/>
              </w:rPr>
            </w:pPr>
            <w:r>
              <w:rPr>
                <w:rFonts w:hint="eastAsia" w:ascii="宋体" w:hAnsi="宋体" w:cs="宋体"/>
              </w:rPr>
              <w:t>尚未</w:t>
            </w:r>
          </w:p>
          <w:p>
            <w:pPr>
              <w:ind w:left="-118" w:right="-118"/>
              <w:jc w:val="center"/>
            </w:pPr>
            <w:r>
              <w:rPr>
                <w:rFonts w:hint="eastAsia" w:ascii="宋体" w:hAnsi="宋体" w:cs="宋体"/>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20" w:lineRule="exact"/>
              <w:jc w:val="center"/>
              <w:rPr>
                <w:rFonts w:ascii="宋体" w:hAnsi="宋体" w:cs="宋体"/>
              </w:rPr>
            </w:pPr>
            <w:r>
              <w:rPr>
                <w:rFonts w:hint="eastAsia" w:ascii="宋体" w:hAnsi="宋体" w:cs="宋体"/>
              </w:rPr>
              <w:t>总</w:t>
            </w:r>
          </w:p>
          <w:p>
            <w:pPr>
              <w:spacing w:line="320" w:lineRule="exact"/>
              <w:jc w:val="center"/>
            </w:pPr>
            <w:r>
              <w:rPr>
                <w:rFonts w:hint="eastAsia" w:ascii="宋体" w:hAnsi="宋体" w:cs="宋体"/>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tcPr>
          <w:p/>
        </w:tc>
        <w:tc>
          <w:tcPr>
            <w:tcW w:w="604" w:type="dxa"/>
            <w:vMerge w:val="continue"/>
            <w:tcBorders>
              <w:top w:val="nil"/>
              <w:left w:val="nil"/>
              <w:bottom w:val="single" w:color="auto" w:sz="8" w:space="0"/>
              <w:right w:val="single" w:color="auto" w:sz="8" w:space="0"/>
            </w:tcBorders>
            <w:tcMar>
              <w:left w:w="108" w:type="dxa"/>
              <w:right w:w="108" w:type="dxa"/>
            </w:tcMar>
          </w:tc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tc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tc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tc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ind w:left="-105" w:right="-126"/>
              <w:jc w:val="center"/>
            </w:pPr>
            <w:r>
              <w:rPr>
                <w:rFonts w:hint="eastAsia" w:ascii="宋体" w:hAnsi="宋体" w:cs="宋体"/>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ind w:left="-86" w:right="-88"/>
              <w:jc w:val="center"/>
            </w:pPr>
            <w:r>
              <w:rPr>
                <w:rFonts w:hint="eastAsia" w:ascii="宋体" w:hAnsi="宋体" w:cs="宋体"/>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126" w:right="-136"/>
              <w:jc w:val="center"/>
              <w:rPr>
                <w:rFonts w:ascii="宋体" w:hAnsi="宋体" w:cs="宋体"/>
              </w:rPr>
            </w:pPr>
            <w:r>
              <w:rPr>
                <w:rFonts w:hint="eastAsia" w:ascii="宋体" w:hAnsi="宋体" w:cs="宋体"/>
              </w:rPr>
              <w:t>其他</w:t>
            </w:r>
          </w:p>
          <w:p>
            <w:pPr>
              <w:ind w:left="-126" w:right="-136"/>
              <w:jc w:val="center"/>
            </w:pPr>
            <w:r>
              <w:rPr>
                <w:rFonts w:hint="eastAsia" w:ascii="宋体" w:hAnsi="宋体" w:cs="宋体"/>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164" w:right="-153"/>
              <w:jc w:val="center"/>
              <w:rPr>
                <w:rFonts w:ascii="宋体" w:hAnsi="宋体" w:cs="宋体"/>
              </w:rPr>
            </w:pPr>
            <w:r>
              <w:rPr>
                <w:rFonts w:hint="eastAsia" w:ascii="宋体" w:hAnsi="宋体" w:cs="宋体"/>
              </w:rPr>
              <w:t>尚未</w:t>
            </w:r>
          </w:p>
          <w:p>
            <w:pPr>
              <w:ind w:left="-164" w:right="-153"/>
              <w:jc w:val="center"/>
            </w:pPr>
            <w:r>
              <w:rPr>
                <w:rFonts w:hint="eastAsia" w:ascii="宋体" w:hAnsi="宋体" w:cs="宋体"/>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color w:val="00000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99" w:right="-78"/>
              <w:jc w:val="center"/>
            </w:pPr>
            <w:r>
              <w:rPr>
                <w:rFonts w:hint="eastAsia" w:ascii="宋体" w:hAnsi="宋体" w:cs="宋体"/>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136" w:right="-124"/>
              <w:jc w:val="center"/>
              <w:rPr>
                <w:rFonts w:ascii="宋体" w:hAnsi="宋体" w:cs="宋体"/>
              </w:rPr>
            </w:pPr>
            <w:r>
              <w:rPr>
                <w:rFonts w:hint="eastAsia" w:ascii="宋体" w:hAnsi="宋体" w:cs="宋体"/>
              </w:rPr>
              <w:t>结果</w:t>
            </w:r>
          </w:p>
          <w:p>
            <w:pPr>
              <w:ind w:left="-136" w:right="-124"/>
              <w:jc w:val="center"/>
            </w:pPr>
            <w:r>
              <w:rPr>
                <w:rFonts w:hint="eastAsia" w:ascii="宋体" w:hAnsi="宋体" w:cs="宋体"/>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173" w:right="-134" w:hanging="1"/>
              <w:jc w:val="center"/>
              <w:rPr>
                <w:rFonts w:ascii="宋体" w:hAnsi="宋体" w:cs="宋体"/>
                <w:color w:val="000000"/>
              </w:rPr>
            </w:pPr>
            <w:r>
              <w:rPr>
                <w:rFonts w:hint="eastAsia" w:ascii="宋体" w:hAnsi="宋体" w:cs="宋体"/>
                <w:color w:val="000000"/>
              </w:rPr>
              <w:t>其他</w:t>
            </w:r>
          </w:p>
          <w:p>
            <w:pPr>
              <w:ind w:left="-173" w:right="-134" w:hanging="1"/>
              <w:jc w:val="center"/>
            </w:pPr>
            <w:r>
              <w:rPr>
                <w:rFonts w:hint="eastAsia" w:ascii="宋体" w:hAnsi="宋体" w:cs="宋体"/>
                <w:color w:val="00000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ind w:left="-67" w:right="-105" w:hanging="2"/>
              <w:jc w:val="center"/>
            </w:pPr>
            <w:r>
              <w:rPr>
                <w:rFonts w:hint="eastAsia" w:ascii="宋体" w:hAnsi="宋体" w:cs="宋体"/>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cs="宋体"/>
                <w:color w:val="00000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cs="Calibri"/>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cs="Calibri"/>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cs="Calibri"/>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cs="Calibri"/>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cs="Calibri"/>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color w:val="00000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color w:val="00000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after="180"/>
              <w:jc w:val="center"/>
            </w:pPr>
            <w:r>
              <w:rPr>
                <w:rFonts w:hint="eastAsia" w:ascii="宋体" w:hAnsi="宋体" w:cs="宋体"/>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r>
              <w:rPr>
                <w:rFonts w:hint="eastAsia" w:ascii="宋体"/>
                <w:sz w:val="24"/>
              </w:rPr>
              <w:t>0</w:t>
            </w:r>
          </w:p>
        </w:tc>
      </w:tr>
    </w:tbl>
    <w:p>
      <w:pPr>
        <w:shd w:val="clear" w:color="auto"/>
        <w:jc w:val="center"/>
        <w:rPr>
          <w:rFonts w:ascii="宋体" w:hAnsi="宋体" w:cs="宋体"/>
          <w:color w:val="333333"/>
          <w:sz w:val="24"/>
        </w:rPr>
      </w:pPr>
    </w:p>
    <w:p>
      <w:pPr>
        <w:pStyle w:val="6"/>
        <w:shd w:val="clear" w:color="auto"/>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spacing w:line="600" w:lineRule="exact"/>
        <w:ind w:firstLine="643"/>
        <w:rPr>
          <w:rFonts w:ascii="楷体_GB2312" w:hAnsi="宋体" w:eastAsia="楷体_GB2312" w:cs="宋体"/>
          <w:b/>
          <w:sz w:val="32"/>
          <w:szCs w:val="32"/>
        </w:rPr>
      </w:pPr>
      <w:r>
        <w:rPr>
          <w:rFonts w:hint="eastAsia" w:ascii="楷体_GB2312" w:hAnsi="宋体" w:eastAsia="楷体_GB2312" w:cs="宋体"/>
          <w:b/>
          <w:sz w:val="32"/>
          <w:szCs w:val="32"/>
        </w:rPr>
        <w:t>（一）2019年问题整改情况。</w:t>
      </w:r>
      <w:r>
        <w:rPr>
          <w:rFonts w:hint="eastAsia" w:ascii="仿宋_GB2312" w:hAnsi="宋体" w:eastAsia="仿宋_GB2312" w:cs="宋体"/>
          <w:sz w:val="32"/>
          <w:szCs w:val="32"/>
        </w:rPr>
        <w:t>一是进一步提升政务公开信息的质量，对社会工作普遍关心、涉及群众切身利益的食品药品安全、产品质量状况进行了公开。二是结合“昌乐市场监督管理局”微信订阅号，结合市场监管工作实际及时对市场监管工作动态及上级有关市场监管方面的政策进行了公开。</w:t>
      </w:r>
    </w:p>
    <w:p>
      <w:pPr>
        <w:spacing w:line="600" w:lineRule="exact"/>
        <w:ind w:firstLine="643"/>
        <w:rPr>
          <w:rFonts w:ascii="楷体_GB2312" w:hAnsi="宋体" w:eastAsia="楷体_GB2312" w:cs="宋体"/>
          <w:b/>
          <w:sz w:val="32"/>
          <w:szCs w:val="32"/>
        </w:rPr>
      </w:pPr>
      <w:r>
        <w:rPr>
          <w:rFonts w:hint="eastAsia" w:ascii="楷体_GB2312" w:hAnsi="宋体" w:eastAsia="楷体_GB2312" w:cs="宋体"/>
          <w:b/>
          <w:sz w:val="32"/>
          <w:szCs w:val="32"/>
        </w:rPr>
        <w:t>（二）2020年存在的问题。</w:t>
      </w:r>
      <w:r>
        <w:rPr>
          <w:rFonts w:hint="eastAsia" w:ascii="仿宋_GB2312" w:hAnsi="宋体" w:eastAsia="仿宋_GB2312" w:cs="宋体"/>
          <w:sz w:val="32"/>
          <w:szCs w:val="32"/>
        </w:rPr>
        <w:t>一是公开力度需进一步加大。主动公开目录需进一步细化，公开手段不够丰富，公开内容不够深化、细化，重点工作和重点城建项目公开信息需进一步强化。二是信息公开队伍建设需进一步加强。涉及公开信息内容科室单位对信息公开工作认识不足，对《政府信息公开条例》学习不够深刻。三是公开渠道比较单一。主要通过昌乐政府门户网站公开的内容多，其他渠道公开的少。</w:t>
      </w:r>
    </w:p>
    <w:p>
      <w:pPr>
        <w:shd w:val="clear"/>
        <w:spacing w:line="600" w:lineRule="exact"/>
        <w:ind w:firstLine="643"/>
        <w:rPr>
          <w:rFonts w:ascii="楷体_GB2312" w:hAnsi="宋体" w:eastAsia="楷体_GB2312" w:cs="宋体"/>
          <w:b/>
          <w:sz w:val="32"/>
          <w:szCs w:val="32"/>
        </w:rPr>
      </w:pPr>
      <w:r>
        <w:rPr>
          <w:rFonts w:hint="eastAsia" w:ascii="楷体_GB2312" w:hAnsi="宋体" w:eastAsia="楷体_GB2312" w:cs="宋体"/>
          <w:b/>
          <w:sz w:val="32"/>
          <w:szCs w:val="32"/>
        </w:rPr>
        <w:t>（三）改进措施。</w:t>
      </w:r>
      <w:r>
        <w:rPr>
          <w:rFonts w:hint="eastAsia" w:ascii="仿宋_GB2312" w:hAnsi="宋体" w:eastAsia="仿宋_GB2312" w:cs="宋体"/>
          <w:sz w:val="32"/>
          <w:szCs w:val="32"/>
        </w:rPr>
        <w:t>一是加大公开力度。完善主动公开系统目录，结合市场监管工作实际，及时将与群众利益相关的食品安全、药品安全、产品质量安全等工作公开。二是加强信息公开队伍建设。各科室单位配备1名政务公开联络员，加强政务公开工作人员培训，切实提高工作人员对政务公开工作的认识水平和工作能力。三是拓宽信息公开渠道。利用局微信公众号、爱昌乐APP、昌乐日报、昌乐传媒网等渠道及时发布市场监管工作动态信息，确保政务公开工作的及时性和覆盖度。</w:t>
      </w:r>
    </w:p>
    <w:p>
      <w:pPr>
        <w:pStyle w:val="6"/>
        <w:shd w:val="clear" w:color="auto"/>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pStyle w:val="6"/>
        <w:shd w:val="clear" w:color="auto"/>
        <w:ind w:firstLine="420"/>
        <w:jc w:val="both"/>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无</w:t>
      </w:r>
    </w:p>
    <w:p>
      <w:pPr>
        <w:pStyle w:val="6"/>
        <w:shd w:val="clear" w:color="auto"/>
        <w:ind w:right="1280" w:firstLine="420"/>
        <w:jc w:val="right"/>
        <w:rPr>
          <w:rFonts w:ascii="仿宋_GB2312" w:hAnsi="宋体" w:eastAsia="仿宋_GB2312" w:cs="宋体"/>
          <w:sz w:val="32"/>
          <w:szCs w:val="32"/>
          <w:shd w:val="clear" w:color="auto" w:fill="FFFFFF"/>
        </w:rPr>
      </w:pPr>
    </w:p>
    <w:p>
      <w:pPr>
        <w:pStyle w:val="6"/>
        <w:shd w:val="clear" w:color="auto"/>
        <w:ind w:right="1280" w:firstLine="420"/>
        <w:jc w:val="right"/>
        <w:rPr>
          <w:rFonts w:ascii="仿宋_GB2312" w:hAnsi="宋体" w:eastAsia="仿宋_GB2312" w:cs="宋体"/>
          <w:sz w:val="32"/>
          <w:szCs w:val="32"/>
          <w:shd w:val="clear" w:color="auto" w:fill="FFFFFF"/>
        </w:rPr>
      </w:pPr>
    </w:p>
    <w:p>
      <w:pPr>
        <w:pStyle w:val="6"/>
        <w:shd w:val="clear" w:color="auto"/>
        <w:ind w:right="1280" w:firstLine="420"/>
        <w:jc w:val="right"/>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昌乐县市场监督管理局</w:t>
      </w:r>
    </w:p>
    <w:p>
      <w:pPr>
        <w:pStyle w:val="6"/>
        <w:shd w:val="clear" w:color="auto"/>
        <w:ind w:right="640" w:firstLine="420"/>
        <w:jc w:val="center"/>
        <w:rPr>
          <w:rFonts w:ascii="仿宋_GB2312" w:hAnsi="宋体" w:eastAsia="仿宋_GB2312" w:cs="宋体"/>
          <w:sz w:val="32"/>
          <w:szCs w:val="32"/>
        </w:rPr>
      </w:pPr>
      <w:r>
        <w:rPr>
          <w:rFonts w:hint="eastAsia" w:ascii="仿宋_GB2312" w:hAnsi="宋体" w:eastAsia="仿宋_GB2312" w:cs="宋体"/>
          <w:sz w:val="32"/>
          <w:szCs w:val="32"/>
          <w:shd w:val="clear" w:color="auto" w:fill="FFFFFF"/>
        </w:rPr>
        <w:t xml:space="preserve">                   202</w:t>
      </w:r>
      <w:r>
        <w:rPr>
          <w:rFonts w:hint="eastAsia" w:ascii="仿宋_GB2312" w:hAnsi="宋体" w:eastAsia="仿宋_GB2312" w:cs="宋体"/>
          <w:sz w:val="32"/>
          <w:szCs w:val="32"/>
          <w:shd w:val="clear" w:color="auto" w:fill="FFFFFF"/>
          <w:lang w:val="en-US" w:eastAsia="zh-CN"/>
        </w:rPr>
        <w:t>1</w:t>
      </w:r>
      <w:r>
        <w:rPr>
          <w:rFonts w:hint="eastAsia" w:ascii="仿宋_GB2312" w:hAnsi="宋体" w:eastAsia="仿宋_GB2312" w:cs="宋体"/>
          <w:sz w:val="32"/>
          <w:szCs w:val="32"/>
          <w:shd w:val="clear" w:color="auto" w:fill="FFFFFF"/>
        </w:rPr>
        <w:t>年1月25日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21F5F"/>
    <w:multiLevelType w:val="singleLevel"/>
    <w:tmpl w:val="33D21F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589D"/>
    <w:rsid w:val="0005552B"/>
    <w:rsid w:val="0018693D"/>
    <w:rsid w:val="00440E55"/>
    <w:rsid w:val="00442673"/>
    <w:rsid w:val="005F589D"/>
    <w:rsid w:val="00795B7D"/>
    <w:rsid w:val="007D1797"/>
    <w:rsid w:val="0083577B"/>
    <w:rsid w:val="00A40A38"/>
    <w:rsid w:val="00AD2AF7"/>
    <w:rsid w:val="00AF7EE3"/>
    <w:rsid w:val="00BA5B62"/>
    <w:rsid w:val="00C837F0"/>
    <w:rsid w:val="00D11F10"/>
    <w:rsid w:val="00DB31AF"/>
    <w:rsid w:val="00DD217C"/>
    <w:rsid w:val="00ED4C6E"/>
    <w:rsid w:val="00F14094"/>
    <w:rsid w:val="36226A8C"/>
    <w:rsid w:val="38685D9B"/>
    <w:rsid w:val="62A009D8"/>
    <w:rsid w:val="62F23388"/>
    <w:rsid w:val="6614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Calibri" w:eastAsia="宋体" w:cs="Times New Roman"/>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5">
    <w:name w:val="Subtitle"/>
    <w:basedOn w:val="1"/>
    <w:uiPriority w:val="0"/>
    <w:rPr>
      <w:i/>
      <w:color w:val="4F81BD"/>
      <w:sz w:val="24"/>
    </w:rPr>
  </w:style>
  <w:style w:type="paragraph" w:styleId="6">
    <w:name w:val="Normal (Web)"/>
    <w:basedOn w:val="1"/>
    <w:qFormat/>
    <w:uiPriority w:val="99"/>
    <w:rPr>
      <w:sz w:val="24"/>
    </w:rPr>
  </w:style>
  <w:style w:type="paragraph" w:styleId="7">
    <w:name w:val="Title"/>
    <w:basedOn w:val="1"/>
    <w:qFormat/>
    <w:uiPriority w:val="0"/>
    <w:pPr>
      <w:spacing w:after="300"/>
    </w:pPr>
    <w:rPr>
      <w:color w:val="17365D"/>
      <w:sz w:val="52"/>
    </w:rPr>
  </w:style>
  <w:style w:type="character" w:customStyle="1" w:styleId="10">
    <w:name w:val="批注框文本 Char"/>
    <w:basedOn w:val="8"/>
    <w:link w:val="2"/>
    <w:qFormat/>
    <w:uiPriority w:val="0"/>
    <w:rPr>
      <w:rFonts w:ascii="Calibri" w:hAnsiTheme="minorHAnsi" w:eastAsiaTheme="minorEastAsia" w:cstheme="minorBidi"/>
      <w:kern w:val="2"/>
      <w:sz w:val="18"/>
      <w:szCs w:val="18"/>
    </w:rPr>
  </w:style>
  <w:style w:type="paragraph" w:customStyle="1" w:styleId="11">
    <w:name w:val="Heading 1"/>
    <w:basedOn w:val="1"/>
    <w:qFormat/>
    <w:uiPriority w:val="0"/>
    <w:pPr>
      <w:spacing w:before="480"/>
    </w:pPr>
    <w:rPr>
      <w:b/>
      <w:color w:val="345A8A"/>
      <w:sz w:val="32"/>
    </w:rPr>
  </w:style>
  <w:style w:type="paragraph" w:customStyle="1" w:styleId="12">
    <w:name w:val="Heading 2"/>
    <w:basedOn w:val="1"/>
    <w:qFormat/>
    <w:uiPriority w:val="0"/>
    <w:pPr>
      <w:spacing w:before="200"/>
    </w:pPr>
    <w:rPr>
      <w:b/>
      <w:color w:val="4F81BD"/>
      <w:sz w:val="26"/>
    </w:rPr>
  </w:style>
  <w:style w:type="paragraph" w:customStyle="1" w:styleId="13">
    <w:name w:val="Heading 3"/>
    <w:basedOn w:val="1"/>
    <w:qFormat/>
    <w:uiPriority w:val="0"/>
    <w:pPr>
      <w:spacing w:before="200"/>
    </w:pPr>
    <w:rPr>
      <w:b/>
      <w:color w:val="4F81BD"/>
      <w:sz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2296</Words>
  <Characters>2374</Characters>
  <Lines>19</Lines>
  <Paragraphs>5</Paragraphs>
  <TotalTime>602</TotalTime>
  <ScaleCrop>false</ScaleCrop>
  <LinksUpToDate>false</LinksUpToDate>
  <CharactersWithSpaces>2398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2021-01-08T00:55:00Z</dcterms:created>
  <dc:creator>January</dc:creator>
  <cp:lastModifiedBy>Administrator</cp:lastModifiedBy>
  <cp:lastPrinted>2020-01-09T01:49:00Z</cp:lastPrinted>
  <dcterms:modified xsi:type="dcterms:W3CDTF">2021-02-05T01:40:19Z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