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680" w:lineRule="exact"/>
        <w:jc w:val="center"/>
        <w:textAlignment w:val="auto"/>
        <w:rPr>
          <w:rFonts w:hint="eastAsia" w:ascii="文星标宋" w:hAnsi="文星标宋" w:eastAsia="文星标宋" w:cs="文星标宋"/>
          <w:color w:val="auto"/>
          <w:sz w:val="44"/>
          <w:szCs w:val="44"/>
          <w:shd w:val="clear" w:color="auto" w:fill="FFFFFF"/>
        </w:rPr>
      </w:pPr>
      <w:r>
        <w:rPr>
          <w:rFonts w:hint="eastAsia" w:ascii="文星标宋" w:hAnsi="文星标宋" w:eastAsia="文星标宋" w:cs="文星标宋"/>
          <w:color w:val="auto"/>
          <w:sz w:val="44"/>
          <w:szCs w:val="44"/>
          <w:shd w:val="clear" w:color="auto" w:fill="FFFFFF"/>
        </w:rPr>
        <w:t>昌乐县审计局20</w:t>
      </w:r>
      <w:r>
        <w:rPr>
          <w:rFonts w:hint="eastAsia" w:ascii="文星标宋" w:hAnsi="文星标宋" w:eastAsia="文星标宋" w:cs="文星标宋"/>
          <w:color w:val="auto"/>
          <w:sz w:val="44"/>
          <w:szCs w:val="44"/>
          <w:shd w:val="clear" w:color="auto" w:fill="FFFFFF"/>
          <w:lang w:val="en-US" w:eastAsia="zh-CN"/>
        </w:rPr>
        <w:t>21</w:t>
      </w:r>
      <w:r>
        <w:rPr>
          <w:rFonts w:hint="eastAsia" w:ascii="文星标宋" w:hAnsi="文星标宋" w:eastAsia="文星标宋" w:cs="文星标宋"/>
          <w:color w:val="auto"/>
          <w:sz w:val="44"/>
          <w:szCs w:val="44"/>
          <w:shd w:val="clear" w:color="auto" w:fill="FFFFFF"/>
        </w:rPr>
        <w:t>年政府信息公开</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680" w:lineRule="exact"/>
        <w:jc w:val="center"/>
        <w:textAlignment w:val="auto"/>
        <w:rPr>
          <w:rFonts w:ascii="宋体" w:hAnsi="宋体" w:eastAsia="宋体" w:cs="宋体"/>
          <w:color w:val="auto"/>
        </w:rPr>
      </w:pPr>
      <w:r>
        <w:rPr>
          <w:rFonts w:hint="eastAsia" w:ascii="文星标宋" w:hAnsi="文星标宋" w:eastAsia="文星标宋" w:cs="文星标宋"/>
          <w:color w:val="auto"/>
          <w:sz w:val="44"/>
          <w:szCs w:val="44"/>
          <w:shd w:val="clear" w:color="auto" w:fill="FFFFFF"/>
        </w:rPr>
        <w:t>工作年度报告</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ascii="宋体" w:hAnsi="宋体" w:eastAsia="宋体" w:cs="宋体"/>
          <w:color w:val="auto"/>
          <w:sz w:val="32"/>
          <w:szCs w:val="32"/>
        </w:rPr>
      </w:pP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hAnsiTheme="minorHAnsi" w:cstheme="minorBidi"/>
          <w:bCs/>
          <w:color w:val="auto"/>
          <w:kern w:val="2"/>
          <w:sz w:val="32"/>
          <w:szCs w:val="32"/>
          <w:shd w:val="clear" w:color="auto" w:fill="FFFFFF"/>
          <w:lang w:val="en-US" w:eastAsia="zh-CN" w:bidi="ar-SA"/>
        </w:rPr>
      </w:pPr>
      <w:r>
        <w:rPr>
          <w:rFonts w:hint="eastAsia" w:ascii="仿宋_GB2312" w:eastAsia="仿宋_GB2312" w:hAnsiTheme="minorHAnsi" w:cstheme="minorBidi"/>
          <w:bCs/>
          <w:color w:val="auto"/>
          <w:kern w:val="2"/>
          <w:sz w:val="32"/>
          <w:szCs w:val="32"/>
          <w:shd w:val="clear" w:color="auto" w:fill="FFFFFF"/>
          <w:lang w:val="en-US" w:eastAsia="zh-CN" w:bidi="ar-SA"/>
        </w:rPr>
        <w:t>根据</w:t>
      </w:r>
      <w:r>
        <w:rPr>
          <w:rFonts w:hint="eastAsia" w:ascii="仿宋_GB2312" w:eastAsia="仿宋_GB2312" w:cstheme="minorBidi"/>
          <w:bCs/>
          <w:color w:val="auto"/>
          <w:kern w:val="2"/>
          <w:sz w:val="32"/>
          <w:szCs w:val="32"/>
          <w:shd w:val="clear" w:color="auto" w:fill="FFFFFF"/>
          <w:lang w:val="en-US" w:eastAsia="zh-CN" w:bidi="ar-SA"/>
        </w:rPr>
        <w:t>《中华人民共和国政府信息公开条例》、《潍坊市人民政府办公室关于做好2021年政府信息公开工作年度报告编制发布和报送工作的通知》的要求，结合我局实际，编制并向社会公布昌乐县审计局2021年政府信息公开工作年度报告。本年度报告所列数据的统计期限自2021年1月1日起，至2021年12月31日止。如对本报告有疑问，请联系昌乐县审计局办公室。联系电话：0536-6222984。</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shd w:val="clear" w:color="auto" w:fill="FFFFFF"/>
        </w:rPr>
        <w:t>一、总体情况</w:t>
      </w:r>
    </w:p>
    <w:p>
      <w:pPr>
        <w:keepNext w:val="0"/>
        <w:keepLines w:val="0"/>
        <w:pageBreakBefore w:val="0"/>
        <w:widowControl/>
        <w:shd w:val="clear" w:color="auto"/>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t>我局党组高度重视政府信息公开工作，县审计局20</w:t>
      </w:r>
      <w:r>
        <w:rPr>
          <w:rFonts w:hint="eastAsia" w:ascii="仿宋_GB2312" w:eastAsia="仿宋_GB2312"/>
          <w:bCs/>
          <w:color w:val="auto"/>
          <w:sz w:val="32"/>
          <w:szCs w:val="32"/>
          <w:shd w:val="clear" w:color="auto" w:fill="FFFFFF"/>
          <w:lang w:val="en-US" w:eastAsia="zh-CN"/>
        </w:rPr>
        <w:t>21</w:t>
      </w:r>
      <w:r>
        <w:rPr>
          <w:rFonts w:hint="eastAsia" w:ascii="仿宋_GB2312" w:eastAsia="仿宋_GB2312"/>
          <w:bCs/>
          <w:color w:val="auto"/>
          <w:sz w:val="32"/>
          <w:szCs w:val="32"/>
          <w:shd w:val="clear" w:color="auto" w:fill="FFFFFF"/>
        </w:rPr>
        <w:t>年在局政务公开领导小组的带领下，严格要求、加强管理，进一步完善政</w:t>
      </w:r>
      <w:r>
        <w:rPr>
          <w:rFonts w:hint="eastAsia" w:ascii="仿宋_GB2312" w:eastAsia="仿宋_GB2312"/>
          <w:bCs/>
          <w:color w:val="auto"/>
          <w:sz w:val="32"/>
          <w:szCs w:val="32"/>
          <w:shd w:val="clear" w:color="auto" w:fill="FFFFFF"/>
          <w:lang w:val="en-US" w:eastAsia="zh-CN"/>
        </w:rPr>
        <w:t>府</w:t>
      </w:r>
      <w:r>
        <w:rPr>
          <w:rFonts w:hint="eastAsia" w:ascii="仿宋_GB2312" w:eastAsia="仿宋_GB2312"/>
          <w:bCs/>
          <w:color w:val="auto"/>
          <w:sz w:val="32"/>
          <w:szCs w:val="32"/>
          <w:shd w:val="clear" w:color="auto" w:fill="FFFFFF"/>
        </w:rPr>
        <w:t>信息常态化管理机制，</w:t>
      </w:r>
      <w:r>
        <w:rPr>
          <w:rFonts w:hint="eastAsia" w:ascii="仿宋_GB2312" w:eastAsia="仿宋_GB2312"/>
          <w:bCs/>
          <w:color w:val="auto"/>
          <w:sz w:val="32"/>
          <w:szCs w:val="32"/>
          <w:shd w:val="clear" w:color="auto" w:fill="FFFFFF"/>
          <w:lang w:eastAsia="zh-CN"/>
        </w:rPr>
        <w:t>不断提升政府信息公开工作力度和实效</w:t>
      </w:r>
      <w:r>
        <w:rPr>
          <w:rFonts w:hint="eastAsia" w:ascii="仿宋_GB2312" w:eastAsia="仿宋_GB2312"/>
          <w:bCs/>
          <w:color w:val="auto"/>
          <w:sz w:val="32"/>
          <w:szCs w:val="32"/>
          <w:shd w:val="clear" w:color="auto" w:fill="FFFFFF"/>
        </w:rPr>
        <w:t>。</w:t>
      </w:r>
    </w:p>
    <w:p>
      <w:pPr>
        <w:keepNext w:val="0"/>
        <w:keepLines w:val="0"/>
        <w:pageBreakBefore w:val="0"/>
        <w:widowControl/>
        <w:shd w:val="clear" w:color="auto"/>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bCs/>
          <w:color w:val="auto"/>
          <w:sz w:val="32"/>
          <w:szCs w:val="32"/>
          <w:shd w:val="clear" w:color="auto" w:fill="FFFFFF"/>
        </w:rPr>
      </w:pPr>
      <w:r>
        <w:rPr>
          <w:rFonts w:hint="eastAsia" w:ascii="楷体_GB2312" w:hAnsi="宋体" w:eastAsia="楷体_GB2312" w:cs="宋体"/>
          <w:b/>
          <w:bCs w:val="0"/>
          <w:color w:val="auto"/>
          <w:kern w:val="0"/>
          <w:sz w:val="32"/>
          <w:szCs w:val="32"/>
        </w:rPr>
        <w:t>（一）主动公开情况。</w:t>
      </w:r>
      <w:r>
        <w:rPr>
          <w:rFonts w:hint="eastAsia" w:ascii="仿宋_GB2312" w:eastAsia="仿宋_GB2312"/>
          <w:bCs/>
          <w:color w:val="auto"/>
          <w:sz w:val="32"/>
          <w:szCs w:val="32"/>
          <w:shd w:val="clear" w:color="auto" w:fill="FFFFFF"/>
          <w:lang w:val="en-US" w:eastAsia="zh-CN"/>
        </w:rPr>
        <w:t>截至2021年12月31日，</w:t>
      </w:r>
      <w:r>
        <w:rPr>
          <w:rFonts w:hint="eastAsia" w:ascii="仿宋_GB2312" w:eastAsia="仿宋_GB2312"/>
          <w:bCs/>
          <w:color w:val="auto"/>
          <w:sz w:val="32"/>
          <w:szCs w:val="32"/>
          <w:shd w:val="clear" w:color="auto" w:fill="FFFFFF"/>
        </w:rPr>
        <w:t>在</w:t>
      </w:r>
      <w:r>
        <w:rPr>
          <w:rFonts w:hint="eastAsia" w:ascii="仿宋_GB2312" w:eastAsia="仿宋_GB2312"/>
          <w:bCs/>
          <w:color w:val="auto"/>
          <w:sz w:val="32"/>
          <w:szCs w:val="32"/>
          <w:shd w:val="clear" w:color="auto" w:fill="FFFFFF"/>
          <w:lang w:val="en-US" w:eastAsia="zh-CN"/>
        </w:rPr>
        <w:t>中国</w:t>
      </w:r>
      <w:r>
        <w:rPr>
          <w:rFonts w:hint="eastAsia" w:ascii="仿宋_GB2312" w:eastAsia="仿宋_GB2312"/>
          <w:bCs/>
          <w:color w:val="auto"/>
          <w:sz w:val="32"/>
          <w:szCs w:val="32"/>
          <w:shd w:val="clear" w:color="auto" w:fill="FFFFFF"/>
        </w:rPr>
        <w:t>昌乐网</w:t>
      </w:r>
      <w:r>
        <w:rPr>
          <w:rFonts w:hint="eastAsia" w:ascii="仿宋_GB2312" w:eastAsia="仿宋_GB2312"/>
          <w:bCs/>
          <w:color w:val="auto"/>
          <w:sz w:val="32"/>
          <w:szCs w:val="32"/>
          <w:shd w:val="clear" w:color="auto" w:fill="FFFFFF"/>
          <w:lang w:val="en-US" w:eastAsia="zh-CN"/>
        </w:rPr>
        <w:t>站</w:t>
      </w:r>
      <w:r>
        <w:rPr>
          <w:rFonts w:hint="eastAsia" w:ascii="仿宋_GB2312" w:eastAsia="仿宋_GB2312"/>
          <w:color w:val="auto"/>
          <w:sz w:val="32"/>
          <w:szCs w:val="32"/>
        </w:rPr>
        <w:t>昌乐县审计局专栏</w:t>
      </w:r>
      <w:r>
        <w:rPr>
          <w:rFonts w:hint="eastAsia" w:ascii="仿宋_GB2312" w:eastAsia="仿宋_GB2312"/>
          <w:bCs/>
          <w:color w:val="auto"/>
          <w:sz w:val="32"/>
          <w:szCs w:val="32"/>
          <w:shd w:val="clear" w:color="auto" w:fill="FFFFFF"/>
        </w:rPr>
        <w:t>公布了局机构职能、组织管理、政策文件、政策解读、规划计划、工作信息、行政权力运行信息等7大项情况，涉及15个分项。20</w:t>
      </w:r>
      <w:r>
        <w:rPr>
          <w:rFonts w:hint="eastAsia" w:ascii="仿宋_GB2312" w:eastAsia="仿宋_GB2312"/>
          <w:bCs/>
          <w:color w:val="auto"/>
          <w:sz w:val="32"/>
          <w:szCs w:val="32"/>
          <w:shd w:val="clear" w:color="auto" w:fill="FFFFFF"/>
          <w:lang w:val="en-US" w:eastAsia="zh-CN"/>
        </w:rPr>
        <w:t>21</w:t>
      </w:r>
      <w:r>
        <w:rPr>
          <w:rFonts w:hint="eastAsia" w:ascii="仿宋_GB2312" w:eastAsia="仿宋_GB2312"/>
          <w:bCs/>
          <w:color w:val="auto"/>
          <w:sz w:val="32"/>
          <w:szCs w:val="32"/>
          <w:shd w:val="clear" w:color="auto" w:fill="FFFFFF"/>
        </w:rPr>
        <w:t>年县审计局在政府门户</w:t>
      </w:r>
      <w:r>
        <w:rPr>
          <w:rFonts w:hint="eastAsia" w:ascii="仿宋_GB2312" w:eastAsia="仿宋_GB2312"/>
          <w:bCs/>
          <w:color w:val="auto"/>
          <w:sz w:val="32"/>
          <w:szCs w:val="32"/>
          <w:shd w:val="clear" w:color="auto" w:fill="FFFFFF"/>
          <w:lang w:val="en-US" w:eastAsia="zh-CN"/>
        </w:rPr>
        <w:t>网站</w:t>
      </w:r>
      <w:r>
        <w:rPr>
          <w:rFonts w:hint="eastAsia" w:ascii="仿宋_GB2312" w:eastAsia="仿宋_GB2312"/>
          <w:bCs/>
          <w:color w:val="auto"/>
          <w:sz w:val="32"/>
          <w:szCs w:val="32"/>
          <w:shd w:val="clear" w:color="auto" w:fill="FFFFFF"/>
        </w:rPr>
        <w:t>公开政府信息</w:t>
      </w:r>
      <w:r>
        <w:rPr>
          <w:rFonts w:hint="eastAsia" w:ascii="仿宋_GB2312" w:eastAsia="仿宋_GB2312"/>
          <w:bCs/>
          <w:color w:val="auto"/>
          <w:sz w:val="32"/>
          <w:szCs w:val="32"/>
          <w:shd w:val="clear" w:color="auto" w:fill="FFFFFF"/>
          <w:lang w:val="en-US" w:eastAsia="zh-CN"/>
        </w:rPr>
        <w:t>22</w:t>
      </w:r>
      <w:r>
        <w:rPr>
          <w:rFonts w:hint="eastAsia" w:ascii="仿宋_GB2312" w:eastAsia="仿宋_GB2312"/>
          <w:bCs/>
          <w:color w:val="auto"/>
          <w:sz w:val="32"/>
          <w:szCs w:val="32"/>
          <w:shd w:val="clear" w:color="auto" w:fill="FFFFFF"/>
        </w:rPr>
        <w:t>条。</w:t>
      </w:r>
    </w:p>
    <w:p>
      <w:pPr>
        <w:keepNext w:val="0"/>
        <w:keepLines w:val="0"/>
        <w:pageBreakBefore w:val="0"/>
        <w:widowControl/>
        <w:shd w:val="clear" w:color="auto"/>
        <w:kinsoku/>
        <w:wordWrap/>
        <w:overflowPunct/>
        <w:topLinePunct w:val="0"/>
        <w:autoSpaceDE/>
        <w:autoSpaceDN/>
        <w:bidi w:val="0"/>
        <w:adjustRightInd/>
        <w:snapToGrid/>
        <w:spacing w:line="578" w:lineRule="exact"/>
        <w:ind w:firstLine="643" w:firstLineChars="200"/>
        <w:textAlignment w:val="auto"/>
        <w:rPr>
          <w:rFonts w:hint="default" w:ascii="仿宋_GB2312" w:eastAsia="仿宋_GB2312"/>
          <w:bCs/>
          <w:color w:val="auto"/>
          <w:sz w:val="32"/>
          <w:szCs w:val="32"/>
          <w:shd w:val="clear" w:color="auto" w:fill="FFFFFF"/>
          <w:lang w:val="en-US" w:eastAsia="zh-CN"/>
        </w:rPr>
      </w:pPr>
      <w:r>
        <w:rPr>
          <w:rFonts w:hint="eastAsia" w:ascii="仿宋_GB2312" w:eastAsia="仿宋_GB2312"/>
          <w:b/>
          <w:bCs w:val="0"/>
          <w:color w:val="auto"/>
          <w:sz w:val="32"/>
          <w:szCs w:val="32"/>
          <w:shd w:val="clear" w:color="auto" w:fill="FFFFFF"/>
          <w:lang w:val="en-US" w:eastAsia="zh-CN"/>
        </w:rPr>
        <w:t>1.及时公开机构概况。</w:t>
      </w:r>
      <w:r>
        <w:rPr>
          <w:rFonts w:hint="eastAsia" w:ascii="仿宋_GB2312" w:eastAsia="仿宋_GB2312"/>
          <w:bCs/>
          <w:color w:val="auto"/>
          <w:sz w:val="32"/>
          <w:szCs w:val="32"/>
          <w:shd w:val="clear" w:color="auto" w:fill="FFFFFF"/>
          <w:lang w:val="en-US" w:eastAsia="zh-CN"/>
        </w:rPr>
        <w:t>根据《政府信息公开条例》第二十条第（二）款的要求，将机关简介、领导信息、机构设置等内容及时进行了调整。</w:t>
      </w:r>
    </w:p>
    <w:p>
      <w:pPr>
        <w:keepNext w:val="0"/>
        <w:keepLines w:val="0"/>
        <w:pageBreakBefore w:val="0"/>
        <w:widowControl/>
        <w:shd w:val="clear" w:color="auto"/>
        <w:kinsoku/>
        <w:wordWrap/>
        <w:overflowPunct/>
        <w:topLinePunct w:val="0"/>
        <w:autoSpaceDE/>
        <w:autoSpaceDN/>
        <w:bidi w:val="0"/>
        <w:adjustRightInd/>
        <w:snapToGrid/>
        <w:spacing w:line="578" w:lineRule="exact"/>
        <w:ind w:firstLine="643" w:firstLineChars="200"/>
        <w:textAlignment w:val="auto"/>
        <w:rPr>
          <w:rFonts w:hint="default" w:ascii="仿宋_GB2312" w:eastAsia="仿宋_GB2312"/>
          <w:bCs/>
          <w:color w:val="auto"/>
          <w:sz w:val="32"/>
          <w:szCs w:val="32"/>
          <w:shd w:val="clear" w:color="auto" w:fill="FFFFFF"/>
          <w:lang w:val="en-US" w:eastAsia="zh-CN"/>
        </w:rPr>
      </w:pPr>
      <w:r>
        <w:rPr>
          <w:rFonts w:hint="eastAsia" w:ascii="仿宋_GB2312" w:eastAsia="仿宋_GB2312"/>
          <w:b/>
          <w:bCs w:val="0"/>
          <w:color w:val="auto"/>
          <w:sz w:val="32"/>
          <w:szCs w:val="32"/>
          <w:shd w:val="clear" w:color="auto" w:fill="FFFFFF"/>
          <w:lang w:val="en-US" w:eastAsia="zh-CN"/>
        </w:rPr>
        <w:t>2.及时公开组织管理信息。</w:t>
      </w:r>
      <w:r>
        <w:rPr>
          <w:rFonts w:hint="eastAsia" w:ascii="仿宋_GB2312" w:eastAsia="仿宋_GB2312"/>
          <w:bCs/>
          <w:color w:val="auto"/>
          <w:sz w:val="32"/>
          <w:szCs w:val="32"/>
          <w:shd w:val="clear" w:color="auto" w:fill="FFFFFF"/>
          <w:lang w:val="en-US" w:eastAsia="zh-CN"/>
        </w:rPr>
        <w:t>根据《政府信息公开条例》第二十条第（二）款的要求，按照我局实际情况，将我局政务公开基本目录和工作负责人进行了公开。</w:t>
      </w:r>
    </w:p>
    <w:p>
      <w:pPr>
        <w:keepNext w:val="0"/>
        <w:keepLines w:val="0"/>
        <w:pageBreakBefore w:val="0"/>
        <w:widowControl/>
        <w:shd w:val="clear" w:color="auto"/>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bCs/>
          <w:color w:val="auto"/>
          <w:sz w:val="32"/>
          <w:szCs w:val="32"/>
          <w:shd w:val="clear" w:color="auto" w:fill="FFFFFF"/>
          <w:lang w:val="en-US" w:eastAsia="zh-CN"/>
        </w:rPr>
      </w:pPr>
      <w:r>
        <w:rPr>
          <w:rFonts w:hint="eastAsia" w:ascii="仿宋_GB2312" w:eastAsia="仿宋_GB2312"/>
          <w:b/>
          <w:bCs w:val="0"/>
          <w:color w:val="auto"/>
          <w:sz w:val="32"/>
          <w:szCs w:val="32"/>
          <w:shd w:val="clear" w:color="auto" w:fill="FFFFFF"/>
          <w:lang w:val="en-US" w:eastAsia="zh-CN"/>
        </w:rPr>
        <w:t>3.及时公开财政领域信息。</w:t>
      </w:r>
      <w:r>
        <w:rPr>
          <w:rFonts w:hint="eastAsia" w:ascii="仿宋_GB2312" w:eastAsia="仿宋_GB2312"/>
          <w:bCs/>
          <w:color w:val="auto"/>
          <w:sz w:val="32"/>
          <w:szCs w:val="32"/>
          <w:shd w:val="clear" w:color="auto" w:fill="FFFFFF"/>
          <w:lang w:val="en-US" w:eastAsia="zh-CN"/>
        </w:rPr>
        <w:t>根据《政府信息公开条例》第二十条第（七）款的要求，按照我局实际情况，将年度预决算进行了公开。</w:t>
      </w:r>
    </w:p>
    <w:p>
      <w:pPr>
        <w:keepNext w:val="0"/>
        <w:keepLines w:val="0"/>
        <w:pageBreakBefore w:val="0"/>
        <w:widowControl/>
        <w:shd w:val="clear" w:color="auto"/>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bCs/>
          <w:color w:val="auto"/>
          <w:sz w:val="32"/>
          <w:szCs w:val="32"/>
          <w:shd w:val="clear" w:color="auto" w:fill="FFFFFF"/>
          <w:lang w:val="en-US" w:eastAsia="zh-CN"/>
        </w:rPr>
      </w:pPr>
      <w:r>
        <w:rPr>
          <w:rFonts w:hint="eastAsia" w:ascii="仿宋_GB2312" w:eastAsia="仿宋_GB2312"/>
          <w:b/>
          <w:bCs w:val="0"/>
          <w:color w:val="auto"/>
          <w:sz w:val="32"/>
          <w:szCs w:val="32"/>
          <w:shd w:val="clear" w:color="auto" w:fill="FFFFFF"/>
          <w:lang w:val="en-US" w:eastAsia="zh-CN"/>
        </w:rPr>
        <w:t>4.推进权力运行公开。</w:t>
      </w:r>
      <w:r>
        <w:rPr>
          <w:rFonts w:hint="eastAsia" w:ascii="仿宋_GB2312" w:eastAsia="仿宋_GB2312"/>
          <w:bCs/>
          <w:color w:val="auto"/>
          <w:sz w:val="32"/>
          <w:szCs w:val="32"/>
          <w:shd w:val="clear" w:color="auto" w:fill="FFFFFF"/>
          <w:lang w:val="en-US" w:eastAsia="zh-CN"/>
        </w:rPr>
        <w:t>按照上级要求，全面梳理我局权力清单和职责清单，将二者融合成为权责清单，按权限进行了审计公开。</w:t>
      </w:r>
    </w:p>
    <w:p>
      <w:pPr>
        <w:keepNext w:val="0"/>
        <w:keepLines w:val="0"/>
        <w:pageBreakBefore w:val="0"/>
        <w:widowControl/>
        <w:shd w:val="clear" w:color="auto"/>
        <w:kinsoku/>
        <w:wordWrap/>
        <w:overflowPunct/>
        <w:topLinePunct w:val="0"/>
        <w:autoSpaceDE/>
        <w:autoSpaceDN/>
        <w:bidi w:val="0"/>
        <w:adjustRightInd/>
        <w:snapToGrid/>
        <w:spacing w:line="578" w:lineRule="exact"/>
        <w:ind w:firstLine="640" w:firstLineChars="200"/>
        <w:textAlignment w:val="auto"/>
        <w:rPr>
          <w:rFonts w:hint="default" w:ascii="仿宋_GB2312" w:eastAsia="仿宋_GB2312"/>
          <w:bCs/>
          <w:color w:val="auto"/>
          <w:sz w:val="32"/>
          <w:szCs w:val="32"/>
          <w:shd w:val="clear" w:color="auto" w:fill="FFFFFF"/>
          <w:lang w:val="en-US" w:eastAsia="zh-CN"/>
        </w:rPr>
      </w:pPr>
      <w:r>
        <w:rPr>
          <w:rFonts w:hint="eastAsia" w:ascii="仿宋_GB2312" w:eastAsia="仿宋_GB2312"/>
          <w:bCs/>
          <w:color w:val="auto"/>
          <w:sz w:val="32"/>
          <w:szCs w:val="32"/>
          <w:shd w:val="clear" w:color="auto" w:fill="FFFFFF"/>
          <w:lang w:val="en-US" w:eastAsia="zh-CN"/>
        </w:rPr>
        <w:t>上述情况详见下图。</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578" w:lineRule="exact"/>
        <w:ind w:firstLine="643" w:firstLineChars="200"/>
        <w:textAlignment w:val="auto"/>
        <w:rPr>
          <w:rFonts w:hint="eastAsia" w:ascii="楷体_GB2312" w:hAnsi="宋体" w:eastAsia="楷体_GB2312" w:cs="宋体"/>
          <w:b/>
          <w:bCs w:val="0"/>
          <w:color w:val="auto"/>
          <w:kern w:val="0"/>
          <w:sz w:val="32"/>
          <w:szCs w:val="32"/>
          <w:lang w:eastAsia="zh-CN"/>
        </w:rPr>
      </w:pPr>
      <w:r>
        <w:rPr>
          <w:rFonts w:hint="eastAsia" w:ascii="楷体_GB2312" w:hAnsi="宋体" w:eastAsia="楷体_GB2312" w:cs="宋体"/>
          <w:b/>
          <w:bCs w:val="0"/>
          <w:color w:val="auto"/>
          <w:kern w:val="0"/>
          <w:sz w:val="32"/>
          <w:szCs w:val="32"/>
          <w:lang w:eastAsia="zh-CN"/>
        </w:rPr>
        <w:drawing>
          <wp:anchor distT="0" distB="0" distL="114300" distR="114300" simplePos="0" relativeHeight="251659264" behindDoc="0" locked="0" layoutInCell="1" allowOverlap="1">
            <wp:simplePos x="0" y="0"/>
            <wp:positionH relativeFrom="column">
              <wp:posOffset>254000</wp:posOffset>
            </wp:positionH>
            <wp:positionV relativeFrom="paragraph">
              <wp:posOffset>113030</wp:posOffset>
            </wp:positionV>
            <wp:extent cx="5249545" cy="2593340"/>
            <wp:effectExtent l="0" t="0" r="8255" b="16510"/>
            <wp:wrapTopAndBottom/>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0"/>
                    <a:stretch>
                      <a:fillRect/>
                    </a:stretch>
                  </pic:blipFill>
                  <pic:spPr>
                    <a:xfrm>
                      <a:off x="0" y="0"/>
                      <a:ext cx="5249545" cy="2593340"/>
                    </a:xfrm>
                    <a:prstGeom prst="rect">
                      <a:avLst/>
                    </a:prstGeom>
                  </pic:spPr>
                </pic:pic>
              </a:graphicData>
            </a:graphic>
          </wp:anchor>
        </w:drawing>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578" w:lineRule="exact"/>
        <w:ind w:firstLine="643" w:firstLineChars="200"/>
        <w:textAlignment w:val="auto"/>
        <w:rPr>
          <w:rFonts w:hint="eastAsia" w:ascii="楷体_GB2312" w:hAnsi="宋体" w:eastAsia="楷体_GB2312" w:cs="宋体"/>
          <w:b/>
          <w:bCs w:val="0"/>
          <w:color w:val="auto"/>
          <w:kern w:val="0"/>
          <w:sz w:val="32"/>
          <w:szCs w:val="32"/>
        </w:rPr>
      </w:pPr>
      <w:r>
        <w:rPr>
          <w:rFonts w:hint="eastAsia" w:ascii="楷体_GB2312" w:hAnsi="宋体" w:eastAsia="楷体_GB2312" w:cs="宋体"/>
          <w:b/>
          <w:bCs w:val="0"/>
          <w:color w:val="auto"/>
          <w:kern w:val="0"/>
          <w:sz w:val="32"/>
          <w:szCs w:val="32"/>
          <w:lang w:eastAsia="zh-CN"/>
        </w:rPr>
        <w:t>（</w:t>
      </w:r>
      <w:r>
        <w:rPr>
          <w:rFonts w:hint="eastAsia" w:ascii="楷体_GB2312" w:hAnsi="宋体" w:eastAsia="楷体_GB2312" w:cs="宋体"/>
          <w:b/>
          <w:bCs w:val="0"/>
          <w:color w:val="auto"/>
          <w:kern w:val="0"/>
          <w:sz w:val="32"/>
          <w:szCs w:val="32"/>
          <w:lang w:val="en-US" w:eastAsia="zh-CN"/>
        </w:rPr>
        <w:t>二</w:t>
      </w:r>
      <w:r>
        <w:rPr>
          <w:rFonts w:hint="eastAsia" w:ascii="楷体_GB2312" w:hAnsi="宋体" w:eastAsia="楷体_GB2312" w:cs="宋体"/>
          <w:b/>
          <w:bCs w:val="0"/>
          <w:color w:val="auto"/>
          <w:kern w:val="0"/>
          <w:sz w:val="32"/>
          <w:szCs w:val="32"/>
          <w:lang w:eastAsia="zh-CN"/>
        </w:rPr>
        <w:t>）</w:t>
      </w:r>
      <w:r>
        <w:rPr>
          <w:rFonts w:hint="eastAsia" w:ascii="楷体_GB2312" w:hAnsi="宋体" w:eastAsia="楷体_GB2312" w:cs="宋体"/>
          <w:b/>
          <w:bCs w:val="0"/>
          <w:color w:val="auto"/>
          <w:kern w:val="0"/>
          <w:sz w:val="32"/>
          <w:szCs w:val="32"/>
        </w:rPr>
        <w:t>依申请公开情况。</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578" w:lineRule="exact"/>
        <w:ind w:firstLine="640" w:firstLineChars="200"/>
        <w:textAlignment w:val="auto"/>
        <w:rPr>
          <w:rFonts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t>县审计局20</w:t>
      </w:r>
      <w:r>
        <w:rPr>
          <w:rFonts w:hint="eastAsia" w:ascii="仿宋_GB2312" w:eastAsia="仿宋_GB2312"/>
          <w:bCs/>
          <w:color w:val="auto"/>
          <w:sz w:val="32"/>
          <w:szCs w:val="32"/>
          <w:shd w:val="clear" w:color="auto" w:fill="FFFFFF"/>
          <w:lang w:val="en-US" w:eastAsia="zh-CN"/>
        </w:rPr>
        <w:t>21</w:t>
      </w:r>
      <w:r>
        <w:rPr>
          <w:rFonts w:hint="eastAsia" w:ascii="仿宋_GB2312" w:eastAsia="仿宋_GB2312"/>
          <w:bCs/>
          <w:color w:val="auto"/>
          <w:sz w:val="32"/>
          <w:szCs w:val="32"/>
          <w:shd w:val="clear" w:color="auto" w:fill="FFFFFF"/>
        </w:rPr>
        <w:t>年无依申请公开情况。</w:t>
      </w:r>
    </w:p>
    <w:p>
      <w:pPr>
        <w:keepNext w:val="0"/>
        <w:keepLines w:val="0"/>
        <w:pageBreakBefore w:val="0"/>
        <w:widowControl/>
        <w:shd w:val="clear" w:color="auto"/>
        <w:kinsoku/>
        <w:wordWrap/>
        <w:overflowPunct/>
        <w:topLinePunct w:val="0"/>
        <w:autoSpaceDE/>
        <w:autoSpaceDN/>
        <w:bidi w:val="0"/>
        <w:adjustRightInd/>
        <w:snapToGrid/>
        <w:spacing w:line="578" w:lineRule="exact"/>
        <w:ind w:firstLine="643" w:firstLineChars="200"/>
        <w:textAlignment w:val="auto"/>
        <w:rPr>
          <w:rFonts w:hint="eastAsia" w:ascii="楷体_GB2312" w:hAnsi="宋体" w:eastAsia="楷体_GB2312" w:cs="宋体"/>
          <w:b/>
          <w:bCs w:val="0"/>
          <w:color w:val="auto"/>
          <w:kern w:val="0"/>
          <w:sz w:val="32"/>
          <w:szCs w:val="32"/>
        </w:rPr>
      </w:pPr>
      <w:r>
        <w:rPr>
          <w:rFonts w:hint="eastAsia" w:ascii="楷体_GB2312" w:hAnsi="宋体" w:eastAsia="楷体_GB2312" w:cs="宋体"/>
          <w:b/>
          <w:bCs w:val="0"/>
          <w:color w:val="auto"/>
          <w:kern w:val="0"/>
          <w:sz w:val="32"/>
          <w:szCs w:val="32"/>
        </w:rPr>
        <w:t>（三）政府信息管理。</w:t>
      </w:r>
    </w:p>
    <w:p>
      <w:pPr>
        <w:keepNext w:val="0"/>
        <w:keepLines w:val="0"/>
        <w:pageBreakBefore w:val="0"/>
        <w:widowControl/>
        <w:shd w:val="clear" w:color="auto"/>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t>我局党组高度重视政府信息公开工作，不断完善信息审核发布流程，明确了每件公文的公开属性，保证了应公开、宜公开的审计事项依法、全面、及时、准确在网上发布。</w:t>
      </w:r>
    </w:p>
    <w:p>
      <w:pPr>
        <w:keepNext w:val="0"/>
        <w:keepLines w:val="0"/>
        <w:pageBreakBefore w:val="0"/>
        <w:widowControl/>
        <w:numPr>
          <w:ilvl w:val="0"/>
          <w:numId w:val="1"/>
        </w:numPr>
        <w:shd w:val="clear" w:color="auto"/>
        <w:kinsoku/>
        <w:wordWrap/>
        <w:overflowPunct/>
        <w:topLinePunct w:val="0"/>
        <w:autoSpaceDE/>
        <w:autoSpaceDN/>
        <w:bidi w:val="0"/>
        <w:adjustRightInd/>
        <w:snapToGrid/>
        <w:spacing w:line="578" w:lineRule="exact"/>
        <w:ind w:firstLine="643" w:firstLineChars="200"/>
        <w:textAlignment w:val="auto"/>
        <w:rPr>
          <w:rFonts w:hint="eastAsia" w:ascii="楷体_GB2312" w:hAnsi="宋体" w:eastAsia="楷体_GB2312" w:cs="宋体"/>
          <w:b/>
          <w:bCs w:val="0"/>
          <w:color w:val="auto"/>
          <w:kern w:val="0"/>
          <w:sz w:val="32"/>
          <w:szCs w:val="32"/>
        </w:rPr>
      </w:pPr>
      <w:r>
        <w:rPr>
          <w:rFonts w:hint="eastAsia" w:ascii="楷体_GB2312" w:hAnsi="宋体" w:eastAsia="楷体_GB2312" w:cs="宋体"/>
          <w:b/>
          <w:bCs w:val="0"/>
          <w:color w:val="auto"/>
          <w:kern w:val="0"/>
          <w:sz w:val="32"/>
          <w:szCs w:val="32"/>
        </w:rPr>
        <w:t>公开平台建设。</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bCs/>
          <w:color w:val="auto"/>
          <w:sz w:val="32"/>
          <w:szCs w:val="32"/>
          <w:shd w:val="clear" w:color="auto" w:fill="FFFFFF"/>
          <w:lang w:eastAsia="zh-CN"/>
        </w:rPr>
      </w:pPr>
      <w:r>
        <w:rPr>
          <w:rFonts w:hint="eastAsia" w:ascii="仿宋_GB2312" w:eastAsia="仿宋_GB2312"/>
          <w:bCs/>
          <w:color w:val="auto"/>
          <w:sz w:val="32"/>
          <w:szCs w:val="32"/>
          <w:shd w:val="clear" w:color="auto" w:fill="FFFFFF"/>
          <w:lang w:eastAsia="zh-CN"/>
        </w:rPr>
        <w:t>把中国昌乐门户网站县政府信息公开专栏作为第一公开平台，主动公开县审计有关工作信息，主动接受群众监督，提高社会知晓度，持续提升政府信息公开工作水平。</w:t>
      </w:r>
    </w:p>
    <w:p>
      <w:pPr>
        <w:keepNext w:val="0"/>
        <w:keepLines w:val="0"/>
        <w:pageBreakBefore w:val="0"/>
        <w:widowControl/>
        <w:shd w:val="clear" w:color="auto"/>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bCs/>
          <w:color w:val="auto"/>
          <w:sz w:val="32"/>
          <w:szCs w:val="32"/>
          <w:shd w:val="clear" w:color="auto" w:fill="FFFFFF"/>
        </w:rPr>
      </w:pPr>
      <w:r>
        <w:rPr>
          <w:rFonts w:hint="eastAsia" w:ascii="楷体_GB2312" w:hAnsi="宋体" w:eastAsia="楷体_GB2312" w:cs="宋体"/>
          <w:b/>
          <w:bCs w:val="0"/>
          <w:color w:val="auto"/>
          <w:kern w:val="0"/>
          <w:sz w:val="32"/>
          <w:szCs w:val="32"/>
        </w:rPr>
        <w:t>（五）监督保障。</w:t>
      </w:r>
      <w:r>
        <w:rPr>
          <w:rFonts w:hint="eastAsia" w:ascii="仿宋_GB2312" w:eastAsia="仿宋_GB2312"/>
          <w:bCs/>
          <w:color w:val="auto"/>
          <w:sz w:val="32"/>
          <w:szCs w:val="32"/>
          <w:shd w:val="clear" w:color="auto" w:fill="FFFFFF"/>
        </w:rPr>
        <w:t>指定1名同志负责政务公开网站平台管理发布工作，同时明确1名信息技术专员负责政务公开网站安全和维护工作，要求相关业务科室根据工作职责范围全力配合，积极做好政务公开工作。加强改进监督机制，进一步规范各项</w:t>
      </w:r>
      <w:r>
        <w:rPr>
          <w:rFonts w:hint="eastAsia" w:ascii="仿宋_GB2312" w:eastAsia="仿宋_GB2312"/>
          <w:bCs/>
          <w:color w:val="auto"/>
          <w:sz w:val="32"/>
          <w:szCs w:val="32"/>
          <w:shd w:val="clear" w:color="auto" w:fill="FFFFFF"/>
          <w:lang w:val="en-US" w:eastAsia="zh-CN"/>
        </w:rPr>
        <w:t>工作</w:t>
      </w:r>
      <w:r>
        <w:rPr>
          <w:rFonts w:hint="eastAsia" w:ascii="仿宋_GB2312" w:eastAsia="仿宋_GB2312"/>
          <w:bCs/>
          <w:color w:val="auto"/>
          <w:sz w:val="32"/>
          <w:szCs w:val="32"/>
          <w:shd w:val="clear" w:color="auto" w:fill="FFFFFF"/>
        </w:rPr>
        <w:t>流程，主动接受被审计单位和群众的舆论监督，加大了政务公开力度，提高了依法行政水平，有力推进了本单位各项工作任务的完成。</w:t>
      </w:r>
    </w:p>
    <w:p>
      <w:pPr>
        <w:pStyle w:val="10"/>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ˎ̥" w:eastAsia="仿宋_GB2312" w:cs="宋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二、主动公开政府信息情况</w:t>
      </w:r>
    </w:p>
    <w:tbl>
      <w:tblPr>
        <w:tblStyle w:val="6"/>
        <w:tblW w:w="0" w:type="auto"/>
        <w:jc w:val="center"/>
        <w:tblLayout w:type="fixed"/>
        <w:tblCellMar>
          <w:top w:w="0" w:type="dxa"/>
          <w:left w:w="0" w:type="dxa"/>
          <w:bottom w:w="0" w:type="dxa"/>
          <w:right w:w="0" w:type="dxa"/>
        </w:tblCellMar>
      </w:tblPr>
      <w:tblGrid>
        <w:gridCol w:w="3073"/>
        <w:gridCol w:w="1919"/>
        <w:gridCol w:w="1830"/>
        <w:gridCol w:w="1886"/>
      </w:tblGrid>
      <w:tr>
        <w:tblPrEx>
          <w:tblCellMar>
            <w:top w:w="0" w:type="dxa"/>
            <w:left w:w="0" w:type="dxa"/>
            <w:bottom w:w="0" w:type="dxa"/>
            <w:right w:w="0" w:type="dxa"/>
          </w:tblCellMar>
        </w:tblPrEx>
        <w:trPr>
          <w:trHeight w:val="594" w:hRule="atLeast"/>
          <w:jc w:val="center"/>
        </w:trPr>
        <w:tc>
          <w:tcPr>
            <w:tcW w:w="8708" w:type="dxa"/>
            <w:gridSpan w:val="4"/>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宋体" w:hAnsi="宋体" w:cs="宋体"/>
                <w:color w:val="auto"/>
                <w:sz w:val="24"/>
              </w:rPr>
            </w:pPr>
            <w:r>
              <w:rPr>
                <w:rFonts w:hint="eastAsia" w:ascii="宋体" w:hAnsi="宋体" w:cs="宋体"/>
                <w:color w:val="auto"/>
                <w:kern w:val="0"/>
                <w:sz w:val="24"/>
              </w:rPr>
              <w:t>第二十条第（一）项</w:t>
            </w:r>
          </w:p>
        </w:tc>
      </w:tr>
      <w:tr>
        <w:tblPrEx>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宋体" w:hAnsi="宋体" w:cs="宋体"/>
                <w:color w:val="auto"/>
                <w:kern w:val="0"/>
                <w:sz w:val="24"/>
              </w:rPr>
            </w:pPr>
            <w:r>
              <w:rPr>
                <w:rFonts w:hint="eastAsia" w:ascii="宋体" w:hAnsi="宋体" w:cs="宋体"/>
                <w:color w:val="auto"/>
                <w:kern w:val="0"/>
                <w:sz w:val="24"/>
              </w:rPr>
              <w:t>信息内容</w:t>
            </w:r>
          </w:p>
        </w:tc>
        <w:tc>
          <w:tcPr>
            <w:tcW w:w="1919"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kern w:val="0"/>
                <w:sz w:val="24"/>
                <w:lang w:val="en-US" w:eastAsia="zh-CN"/>
              </w:rPr>
            </w:pPr>
            <w:r>
              <w:rPr>
                <w:rFonts w:hint="eastAsia" w:ascii="宋体" w:hAnsi="宋体" w:cs="宋体"/>
                <w:color w:val="auto"/>
                <w:kern w:val="0"/>
                <w:sz w:val="24"/>
              </w:rPr>
              <w:t>本年</w:t>
            </w:r>
            <w:r>
              <w:rPr>
                <w:rFonts w:hint="eastAsia" w:ascii="宋体" w:hAnsi="宋体" w:cs="宋体"/>
                <w:color w:val="auto"/>
                <w:kern w:val="0"/>
                <w:sz w:val="24"/>
                <w:lang w:val="en-US" w:eastAsia="zh-CN"/>
              </w:rPr>
              <w:t>制发件数</w:t>
            </w:r>
          </w:p>
        </w:tc>
        <w:tc>
          <w:tcPr>
            <w:tcW w:w="1830"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宋体" w:hAnsi="宋体" w:eastAsia="宋体" w:cs="宋体"/>
                <w:color w:val="auto"/>
                <w:kern w:val="0"/>
                <w:sz w:val="24"/>
                <w:lang w:val="en-US" w:eastAsia="zh-CN"/>
              </w:rPr>
            </w:pPr>
            <w:r>
              <w:rPr>
                <w:rFonts w:hint="eastAsia" w:ascii="宋体" w:hAnsi="宋体" w:cs="宋体"/>
                <w:color w:val="auto"/>
                <w:kern w:val="0"/>
                <w:sz w:val="24"/>
              </w:rPr>
              <w:t>本年</w:t>
            </w:r>
            <w:r>
              <w:rPr>
                <w:rFonts w:hint="eastAsia" w:ascii="宋体" w:hAnsi="宋体" w:cs="宋体"/>
                <w:color w:val="auto"/>
                <w:kern w:val="0"/>
                <w:sz w:val="24"/>
                <w:lang w:val="en-US" w:eastAsia="zh-CN"/>
              </w:rPr>
              <w:t>废止件数</w:t>
            </w:r>
          </w:p>
        </w:tc>
        <w:tc>
          <w:tcPr>
            <w:tcW w:w="1886"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现行有效件数</w:t>
            </w:r>
          </w:p>
        </w:tc>
      </w:tr>
      <w:tr>
        <w:tblPrEx>
          <w:tblCellMar>
            <w:top w:w="0" w:type="dxa"/>
            <w:left w:w="0" w:type="dxa"/>
            <w:bottom w:w="0" w:type="dxa"/>
            <w:right w:w="0"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rFonts w:ascii="宋体" w:hAnsi="宋体" w:cs="宋体"/>
                <w:color w:val="auto"/>
                <w:kern w:val="0"/>
                <w:sz w:val="24"/>
              </w:rPr>
            </w:pPr>
            <w:r>
              <w:rPr>
                <w:rFonts w:hint="eastAsia" w:ascii="宋体" w:hAnsi="宋体" w:cs="宋体"/>
                <w:color w:val="auto"/>
                <w:kern w:val="0"/>
                <w:sz w:val="24"/>
              </w:rPr>
              <w:t>规章</w:t>
            </w:r>
          </w:p>
        </w:tc>
        <w:tc>
          <w:tcPr>
            <w:tcW w:w="191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0</w:t>
            </w:r>
          </w:p>
        </w:tc>
        <w:tc>
          <w:tcPr>
            <w:tcW w:w="183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0</w:t>
            </w:r>
          </w:p>
        </w:tc>
        <w:tc>
          <w:tcPr>
            <w:tcW w:w="1886"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0</w:t>
            </w:r>
          </w:p>
        </w:tc>
      </w:tr>
      <w:tr>
        <w:tblPrEx>
          <w:tblCellMar>
            <w:top w:w="0" w:type="dxa"/>
            <w:left w:w="0" w:type="dxa"/>
            <w:bottom w:w="0" w:type="dxa"/>
            <w:right w:w="0"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rFonts w:ascii="宋体" w:hAnsi="宋体" w:cs="宋体"/>
                <w:color w:val="auto"/>
                <w:kern w:val="0"/>
                <w:sz w:val="24"/>
              </w:rPr>
            </w:pPr>
            <w:r>
              <w:rPr>
                <w:rFonts w:hint="eastAsia" w:ascii="宋体" w:hAnsi="宋体" w:cs="宋体"/>
                <w:color w:val="auto"/>
                <w:kern w:val="0"/>
                <w:sz w:val="24"/>
                <w:lang w:val="en-US" w:eastAsia="zh-CN"/>
              </w:rPr>
              <w:t>行政</w:t>
            </w:r>
            <w:r>
              <w:rPr>
                <w:rFonts w:hint="eastAsia" w:ascii="宋体" w:hAnsi="宋体" w:cs="宋体"/>
                <w:color w:val="auto"/>
                <w:kern w:val="0"/>
                <w:sz w:val="24"/>
              </w:rPr>
              <w:t>规范性文件</w:t>
            </w:r>
          </w:p>
        </w:tc>
        <w:tc>
          <w:tcPr>
            <w:tcW w:w="191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0</w:t>
            </w:r>
          </w:p>
        </w:tc>
        <w:tc>
          <w:tcPr>
            <w:tcW w:w="183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0</w:t>
            </w:r>
          </w:p>
        </w:tc>
        <w:tc>
          <w:tcPr>
            <w:tcW w:w="1886"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0</w:t>
            </w:r>
          </w:p>
        </w:tc>
      </w:tr>
      <w:tr>
        <w:tblPrEx>
          <w:tblCellMar>
            <w:top w:w="0" w:type="dxa"/>
            <w:left w:w="0" w:type="dxa"/>
            <w:bottom w:w="0" w:type="dxa"/>
            <w:right w:w="0" w:type="dxa"/>
          </w:tblCellMar>
        </w:tblPrEx>
        <w:trPr>
          <w:trHeight w:val="480" w:hRule="atLeast"/>
          <w:jc w:val="center"/>
        </w:trPr>
        <w:tc>
          <w:tcPr>
            <w:tcW w:w="8708" w:type="dxa"/>
            <w:gridSpan w:val="4"/>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宋体" w:hAnsi="宋体" w:cs="宋体"/>
                <w:color w:val="auto"/>
                <w:kern w:val="0"/>
                <w:sz w:val="24"/>
              </w:rPr>
            </w:pPr>
            <w:r>
              <w:rPr>
                <w:rFonts w:hint="eastAsia" w:ascii="宋体" w:hAnsi="宋体" w:cs="宋体"/>
                <w:color w:val="auto"/>
                <w:kern w:val="0"/>
                <w:sz w:val="24"/>
              </w:rPr>
              <w:t>第二十条第（五）项</w:t>
            </w:r>
          </w:p>
        </w:tc>
      </w:tr>
      <w:tr>
        <w:tblPrEx>
          <w:tblCellMar>
            <w:top w:w="0" w:type="dxa"/>
            <w:left w:w="0" w:type="dxa"/>
            <w:bottom w:w="0" w:type="dxa"/>
            <w:right w:w="0"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宋体" w:hAnsi="宋体" w:cs="宋体"/>
                <w:color w:val="auto"/>
                <w:kern w:val="0"/>
                <w:sz w:val="24"/>
              </w:rPr>
            </w:pPr>
            <w:r>
              <w:rPr>
                <w:rFonts w:hint="eastAsia" w:ascii="宋体" w:hAnsi="宋体" w:cs="宋体"/>
                <w:color w:val="auto"/>
                <w:kern w:val="0"/>
                <w:sz w:val="24"/>
              </w:rPr>
              <w:t>信息内容</w:t>
            </w:r>
          </w:p>
        </w:tc>
        <w:tc>
          <w:tcPr>
            <w:tcW w:w="5635"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本年处理决定数量</w:t>
            </w:r>
          </w:p>
        </w:tc>
      </w:tr>
      <w:tr>
        <w:tblPrEx>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rFonts w:ascii="宋体" w:hAnsi="宋体" w:cs="宋体"/>
                <w:color w:val="auto"/>
                <w:kern w:val="0"/>
                <w:sz w:val="24"/>
              </w:rPr>
            </w:pPr>
            <w:r>
              <w:rPr>
                <w:rFonts w:hint="eastAsia" w:ascii="宋体" w:hAnsi="宋体" w:cs="宋体"/>
                <w:color w:val="auto"/>
                <w:kern w:val="0"/>
                <w:sz w:val="24"/>
              </w:rPr>
              <w:t>行政许可</w:t>
            </w:r>
          </w:p>
        </w:tc>
        <w:tc>
          <w:tcPr>
            <w:tcW w:w="5635" w:type="dxa"/>
            <w:gridSpan w:val="3"/>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CellMar>
            <w:top w:w="0" w:type="dxa"/>
            <w:left w:w="0" w:type="dxa"/>
            <w:bottom w:w="0" w:type="dxa"/>
            <w:right w:w="0" w:type="dxa"/>
          </w:tblCellMar>
        </w:tblPrEx>
        <w:trPr>
          <w:trHeight w:val="497" w:hRule="atLeast"/>
          <w:jc w:val="center"/>
        </w:trPr>
        <w:tc>
          <w:tcPr>
            <w:tcW w:w="8708" w:type="dxa"/>
            <w:gridSpan w:val="4"/>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宋体" w:hAnsi="宋体" w:cs="宋体"/>
                <w:color w:val="auto"/>
                <w:kern w:val="0"/>
                <w:sz w:val="24"/>
              </w:rPr>
            </w:pPr>
            <w:r>
              <w:rPr>
                <w:rFonts w:hint="eastAsia" w:ascii="宋体" w:hAnsi="宋体" w:cs="宋体"/>
                <w:color w:val="auto"/>
                <w:kern w:val="0"/>
                <w:sz w:val="24"/>
              </w:rPr>
              <w:t>第二十条第（六）项</w:t>
            </w:r>
          </w:p>
        </w:tc>
      </w:tr>
      <w:tr>
        <w:tblPrEx>
          <w:tblCellMar>
            <w:top w:w="0" w:type="dxa"/>
            <w:left w:w="0" w:type="dxa"/>
            <w:bottom w:w="0" w:type="dxa"/>
            <w:right w:w="0"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宋体" w:hAnsi="宋体" w:cs="宋体"/>
                <w:color w:val="auto"/>
                <w:kern w:val="0"/>
                <w:sz w:val="24"/>
              </w:rPr>
            </w:pPr>
            <w:r>
              <w:rPr>
                <w:rFonts w:hint="eastAsia" w:ascii="宋体" w:hAnsi="宋体" w:cs="宋体"/>
                <w:color w:val="auto"/>
                <w:kern w:val="0"/>
                <w:sz w:val="24"/>
              </w:rPr>
              <w:t>信息内容</w:t>
            </w:r>
          </w:p>
        </w:tc>
        <w:tc>
          <w:tcPr>
            <w:tcW w:w="5635"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宋体" w:hAnsi="宋体" w:cs="宋体"/>
                <w:color w:val="auto"/>
                <w:kern w:val="0"/>
                <w:sz w:val="24"/>
              </w:rPr>
            </w:pPr>
            <w:r>
              <w:rPr>
                <w:rFonts w:hint="eastAsia" w:ascii="宋体" w:hAnsi="宋体" w:cs="宋体"/>
                <w:color w:val="auto"/>
                <w:kern w:val="0"/>
                <w:sz w:val="24"/>
                <w:lang w:val="en-US" w:eastAsia="zh-CN"/>
              </w:rPr>
              <w:t>本年处理决定数量</w:t>
            </w:r>
          </w:p>
        </w:tc>
      </w:tr>
      <w:tr>
        <w:tblPrEx>
          <w:tblCellMar>
            <w:top w:w="0" w:type="dxa"/>
            <w:left w:w="0" w:type="dxa"/>
            <w:bottom w:w="0" w:type="dxa"/>
            <w:right w:w="0"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rFonts w:ascii="宋体" w:hAnsi="宋体" w:cs="宋体"/>
                <w:color w:val="auto"/>
                <w:kern w:val="0"/>
                <w:sz w:val="24"/>
              </w:rPr>
            </w:pPr>
            <w:r>
              <w:rPr>
                <w:rFonts w:hint="eastAsia" w:ascii="宋体" w:hAnsi="宋体" w:cs="宋体"/>
                <w:color w:val="auto"/>
                <w:kern w:val="0"/>
                <w:sz w:val="24"/>
              </w:rPr>
              <w:t>行政处罚</w:t>
            </w:r>
          </w:p>
        </w:tc>
        <w:tc>
          <w:tcPr>
            <w:tcW w:w="5635" w:type="dxa"/>
            <w:gridSpan w:val="3"/>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0</w:t>
            </w:r>
          </w:p>
        </w:tc>
      </w:tr>
      <w:tr>
        <w:tblPrEx>
          <w:tblCellMar>
            <w:top w:w="0" w:type="dxa"/>
            <w:left w:w="0" w:type="dxa"/>
            <w:bottom w:w="0" w:type="dxa"/>
            <w:right w:w="0"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rFonts w:ascii="宋体" w:hAnsi="宋体" w:cs="宋体"/>
                <w:color w:val="auto"/>
                <w:kern w:val="0"/>
                <w:sz w:val="24"/>
              </w:rPr>
            </w:pPr>
            <w:r>
              <w:rPr>
                <w:rFonts w:hint="eastAsia" w:ascii="宋体" w:hAnsi="宋体" w:cs="宋体"/>
                <w:color w:val="auto"/>
                <w:kern w:val="0"/>
                <w:sz w:val="24"/>
              </w:rPr>
              <w:t>行政强制</w:t>
            </w:r>
          </w:p>
        </w:tc>
        <w:tc>
          <w:tcPr>
            <w:tcW w:w="5635" w:type="dxa"/>
            <w:gridSpan w:val="3"/>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ascii="宋体" w:hAnsi="宋体" w:cs="宋体"/>
                <w:color w:val="auto"/>
                <w:kern w:val="0"/>
                <w:sz w:val="24"/>
              </w:rPr>
            </w:pPr>
            <w:r>
              <w:rPr>
                <w:rFonts w:hint="eastAsia" w:ascii="宋体" w:hAnsi="宋体" w:cs="宋体"/>
                <w:color w:val="auto"/>
                <w:kern w:val="0"/>
                <w:sz w:val="24"/>
                <w:lang w:val="en-US" w:eastAsia="zh-CN"/>
              </w:rPr>
              <w:t>0</w:t>
            </w:r>
            <w:r>
              <w:rPr>
                <w:rFonts w:hint="eastAsia" w:ascii="宋体" w:hAnsi="宋体" w:cs="宋体"/>
                <w:color w:val="auto"/>
                <w:kern w:val="0"/>
                <w:sz w:val="24"/>
              </w:rPr>
              <w:t>　</w:t>
            </w:r>
          </w:p>
        </w:tc>
      </w:tr>
      <w:tr>
        <w:tblPrEx>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宋体" w:hAnsi="宋体" w:cs="宋体"/>
                <w:color w:val="auto"/>
                <w:kern w:val="0"/>
                <w:sz w:val="24"/>
              </w:rPr>
            </w:pPr>
            <w:r>
              <w:rPr>
                <w:rFonts w:hint="eastAsia" w:ascii="宋体" w:hAnsi="宋体" w:cs="宋体"/>
                <w:color w:val="auto"/>
                <w:kern w:val="0"/>
                <w:sz w:val="24"/>
              </w:rPr>
              <w:t>第二十条第（八）项</w:t>
            </w:r>
          </w:p>
        </w:tc>
      </w:tr>
      <w:tr>
        <w:tblPrEx>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宋体" w:hAnsi="宋体" w:cs="宋体"/>
                <w:color w:val="auto"/>
                <w:kern w:val="0"/>
                <w:sz w:val="24"/>
              </w:rPr>
            </w:pPr>
            <w:r>
              <w:rPr>
                <w:rFonts w:hint="eastAsia" w:ascii="宋体" w:hAnsi="宋体" w:cs="宋体"/>
                <w:color w:val="auto"/>
                <w:kern w:val="0"/>
                <w:sz w:val="24"/>
              </w:rPr>
              <w:t>信息内容</w:t>
            </w:r>
          </w:p>
        </w:tc>
        <w:tc>
          <w:tcPr>
            <w:tcW w:w="5635" w:type="dxa"/>
            <w:gridSpan w:val="3"/>
            <w:tcBorders>
              <w:top w:val="nil"/>
              <w:left w:val="nil"/>
              <w:bottom w:val="single" w:color="auto" w:sz="8" w:space="0"/>
              <w:right w:val="single" w:color="000000" w:sz="8" w:space="0"/>
            </w:tcBorders>
            <w:noWrap w:val="0"/>
            <w:tcMar>
              <w:left w:w="108" w:type="dxa"/>
              <w:right w:w="108" w:type="dxa"/>
            </w:tcMar>
            <w:vAlign w:val="center"/>
          </w:tcPr>
          <w:p>
            <w:pPr>
              <w:widowControl/>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本年收费金额（单位：万元）</w:t>
            </w:r>
          </w:p>
        </w:tc>
      </w:tr>
      <w:tr>
        <w:tblPrEx>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rFonts w:ascii="宋体" w:hAnsi="宋体" w:cs="宋体"/>
                <w:color w:val="auto"/>
                <w:kern w:val="0"/>
                <w:sz w:val="24"/>
              </w:rPr>
            </w:pPr>
            <w:r>
              <w:rPr>
                <w:rFonts w:hint="eastAsia" w:ascii="宋体" w:hAnsi="宋体" w:cs="宋体"/>
                <w:color w:val="auto"/>
                <w:kern w:val="0"/>
                <w:sz w:val="24"/>
              </w:rPr>
              <w:t>行政事业性收费</w:t>
            </w:r>
          </w:p>
        </w:tc>
        <w:tc>
          <w:tcPr>
            <w:tcW w:w="5635" w:type="dxa"/>
            <w:gridSpan w:val="3"/>
            <w:tcBorders>
              <w:top w:val="nil"/>
              <w:left w:val="nil"/>
              <w:bottom w:val="single" w:color="auto" w:sz="8" w:space="0"/>
              <w:right w:val="single" w:color="000000" w:sz="8" w:space="0"/>
            </w:tcBorders>
            <w:noWrap w:val="0"/>
            <w:tcMar>
              <w:left w:w="108" w:type="dxa"/>
              <w:right w:w="108" w:type="dxa"/>
            </w:tcMar>
            <w:vAlign w:val="center"/>
          </w:tcPr>
          <w:p>
            <w:pPr>
              <w:widowControl/>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bl>
    <w:p>
      <w:pPr>
        <w:pStyle w:val="10"/>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ˎ̥" w:eastAsia="仿宋_GB2312" w:cs="宋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三、收到和处理政府信息公开申请情况</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850"/>
        <w:gridCol w:w="567"/>
        <w:gridCol w:w="567"/>
        <w:gridCol w:w="567"/>
        <w:gridCol w:w="567"/>
        <w:gridCol w:w="540"/>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b w:val="0"/>
                <w:bCs w:val="0"/>
                <w:color w:val="auto"/>
                <w:kern w:val="0"/>
                <w:sz w:val="20"/>
                <w:szCs w:val="20"/>
              </w:rPr>
            </w:pPr>
            <w:r>
              <w:rPr>
                <w:rFonts w:hint="eastAsia" w:ascii="宋体" w:hAnsi="宋体" w:cs="宋体"/>
                <w:b w:val="0"/>
                <w:bCs w:val="0"/>
                <w:color w:val="auto"/>
                <w:kern w:val="0"/>
                <w:sz w:val="20"/>
                <w:szCs w:val="20"/>
              </w:rPr>
              <w:t>（本列数据的勾稽关系为：第一项加第二项之和，</w:t>
            </w:r>
          </w:p>
          <w:p>
            <w:pPr>
              <w:widowControl/>
              <w:jc w:val="center"/>
              <w:rPr>
                <w:b w:val="0"/>
                <w:bCs w:val="0"/>
                <w:color w:val="auto"/>
              </w:rPr>
            </w:pPr>
            <w:r>
              <w:rPr>
                <w:rFonts w:hint="eastAsia" w:ascii="宋体" w:hAnsi="宋体" w:cs="宋体"/>
                <w:b w:val="0"/>
                <w:bCs w:val="0"/>
                <w:color w:val="auto"/>
                <w:kern w:val="0"/>
                <w:sz w:val="20"/>
                <w:szCs w:val="20"/>
              </w:rPr>
              <w:t>等于第三项加第四项之和）</w:t>
            </w:r>
          </w:p>
        </w:tc>
        <w:tc>
          <w:tcPr>
            <w:tcW w:w="4293"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b w:val="0"/>
                <w:bCs w:val="0"/>
                <w:color w:val="auto"/>
              </w:rPr>
            </w:pPr>
            <w:r>
              <w:rPr>
                <w:rFonts w:hint="eastAsia" w:ascii="宋体" w:hAnsi="宋体" w:cs="宋体"/>
                <w:b w:val="0"/>
                <w:bCs w:val="0"/>
                <w:color w:val="auto"/>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宋体"/>
                <w:b w:val="0"/>
                <w:bCs w:val="0"/>
                <w:color w:val="auto"/>
                <w:sz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center"/>
              <w:rPr>
                <w:b w:val="0"/>
                <w:bCs w:val="0"/>
                <w:color w:val="auto"/>
              </w:rPr>
            </w:pPr>
            <w:r>
              <w:rPr>
                <w:rFonts w:hint="eastAsia" w:ascii="宋体" w:hAnsi="宋体" w:cs="宋体"/>
                <w:b w:val="0"/>
                <w:bCs w:val="0"/>
                <w:color w:val="auto"/>
                <w:kern w:val="0"/>
                <w:sz w:val="20"/>
                <w:szCs w:val="20"/>
              </w:rPr>
              <w:t>自然人</w:t>
            </w:r>
          </w:p>
        </w:tc>
        <w:tc>
          <w:tcPr>
            <w:tcW w:w="2808"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b w:val="0"/>
                <w:bCs w:val="0"/>
                <w:color w:val="auto"/>
              </w:rPr>
            </w:pPr>
            <w:r>
              <w:rPr>
                <w:rFonts w:hint="eastAsia" w:ascii="宋体" w:hAnsi="宋体" w:cs="宋体"/>
                <w:b w:val="0"/>
                <w:bCs w:val="0"/>
                <w:color w:val="auto"/>
                <w:kern w:val="0"/>
                <w:sz w:val="20"/>
                <w:szCs w:val="20"/>
              </w:rPr>
              <w:t>法人或其他组织</w:t>
            </w:r>
          </w:p>
        </w:tc>
        <w:tc>
          <w:tcPr>
            <w:tcW w:w="63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val="0"/>
                <w:bCs w:val="0"/>
                <w:color w:val="auto"/>
              </w:rPr>
            </w:pPr>
            <w:r>
              <w:rPr>
                <w:rFonts w:hint="eastAsia" w:ascii="宋体" w:hAnsi="宋体" w:cs="宋体"/>
                <w:b w:val="0"/>
                <w:bCs w:val="0"/>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宋体"/>
                <w:b w:val="0"/>
                <w:bCs w:val="0"/>
                <w:color w:val="auto"/>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rPr>
                <w:rFonts w:ascii="宋体"/>
                <w:b w:val="0"/>
                <w:bCs w:val="0"/>
                <w:color w:val="auto"/>
                <w:sz w:val="24"/>
              </w:rPr>
            </w:pPr>
          </w:p>
        </w:tc>
        <w:tc>
          <w:tcPr>
            <w:tcW w:w="567" w:type="dxa"/>
            <w:tcBorders>
              <w:top w:val="nil"/>
              <w:left w:val="nil"/>
              <w:bottom w:val="single" w:color="auto" w:sz="8" w:space="0"/>
              <w:right w:val="single" w:color="auto" w:sz="8" w:space="0"/>
            </w:tcBorders>
            <w:noWrap w:val="0"/>
            <w:tcMar>
              <w:left w:w="108" w:type="dxa"/>
              <w:right w:w="108" w:type="dxa"/>
            </w:tcMar>
            <w:vAlign w:val="center"/>
          </w:tcPr>
          <w:p>
            <w:pPr>
              <w:widowControl/>
              <w:spacing w:line="320" w:lineRule="exact"/>
              <w:ind w:left="-106" w:leftChars="-51" w:right="-107" w:rightChars="-51" w:hanging="1"/>
              <w:jc w:val="center"/>
              <w:rPr>
                <w:b w:val="0"/>
                <w:bCs w:val="0"/>
                <w:color w:val="auto"/>
              </w:rPr>
            </w:pPr>
            <w:r>
              <w:rPr>
                <w:rFonts w:hint="eastAsia" w:ascii="宋体" w:hAnsi="宋体" w:cs="宋体"/>
                <w:b w:val="0"/>
                <w:bCs w:val="0"/>
                <w:color w:val="auto"/>
                <w:kern w:val="0"/>
                <w:sz w:val="20"/>
                <w:szCs w:val="20"/>
              </w:rPr>
              <w:t>商业企业</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widowControl/>
              <w:spacing w:line="320" w:lineRule="exact"/>
              <w:ind w:left="-107" w:leftChars="-51" w:right="-107" w:rightChars="-51"/>
              <w:jc w:val="center"/>
              <w:rPr>
                <w:b w:val="0"/>
                <w:bCs w:val="0"/>
                <w:color w:val="auto"/>
              </w:rPr>
            </w:pPr>
            <w:r>
              <w:rPr>
                <w:rFonts w:hint="eastAsia" w:ascii="宋体" w:hAnsi="宋体" w:cs="宋体"/>
                <w:b w:val="0"/>
                <w:bCs w:val="0"/>
                <w:color w:val="auto"/>
                <w:kern w:val="0"/>
                <w:sz w:val="20"/>
                <w:szCs w:val="20"/>
              </w:rPr>
              <w:t>科研机构</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ind w:left="-107" w:leftChars="-51" w:right="-107" w:rightChars="-51"/>
              <w:jc w:val="center"/>
              <w:rPr>
                <w:b w:val="0"/>
                <w:bCs w:val="0"/>
                <w:color w:val="auto"/>
              </w:rPr>
            </w:pPr>
            <w:r>
              <w:rPr>
                <w:rFonts w:hint="eastAsia" w:ascii="宋体" w:hAnsi="宋体" w:cs="宋体"/>
                <w:b w:val="0"/>
                <w:bCs w:val="0"/>
                <w:color w:val="auto"/>
                <w:kern w:val="0"/>
                <w:sz w:val="20"/>
                <w:szCs w:val="20"/>
              </w:rPr>
              <w:t>社会公益组织</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ind w:left="-106" w:leftChars="-51" w:right="-107" w:rightChars="-51" w:hanging="1"/>
              <w:jc w:val="center"/>
              <w:rPr>
                <w:b w:val="0"/>
                <w:bCs w:val="0"/>
                <w:color w:val="auto"/>
              </w:rPr>
            </w:pPr>
            <w:r>
              <w:rPr>
                <w:rFonts w:hint="eastAsia" w:ascii="宋体" w:hAnsi="宋体" w:cs="宋体"/>
                <w:b w:val="0"/>
                <w:bCs w:val="0"/>
                <w:color w:val="auto"/>
                <w:kern w:val="0"/>
                <w:sz w:val="20"/>
                <w:szCs w:val="20"/>
              </w:rPr>
              <w:t>法律服务机构</w:t>
            </w:r>
          </w:p>
        </w:tc>
        <w:tc>
          <w:tcPr>
            <w:tcW w:w="540"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60" w:lineRule="exact"/>
              <w:ind w:left="-63" w:leftChars="-30" w:right="-134" w:rightChars="-64"/>
              <w:jc w:val="center"/>
              <w:rPr>
                <w:b w:val="0"/>
                <w:bCs w:val="0"/>
                <w:color w:val="auto"/>
              </w:rPr>
            </w:pPr>
            <w:r>
              <w:rPr>
                <w:rFonts w:hint="eastAsia" w:ascii="宋体" w:hAnsi="宋体" w:cs="宋体"/>
                <w:b w:val="0"/>
                <w:bCs w:val="0"/>
                <w:color w:val="auto"/>
                <w:kern w:val="0"/>
                <w:sz w:val="20"/>
                <w:szCs w:val="20"/>
              </w:rPr>
              <w:t>其他</w:t>
            </w:r>
          </w:p>
        </w:tc>
        <w:tc>
          <w:tcPr>
            <w:tcW w:w="63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ascii="宋体"/>
                <w:b w:val="0"/>
                <w:bCs w:val="0"/>
                <w:color w:val="auto"/>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rPr>
                <w:b w:val="0"/>
                <w:bCs w:val="0"/>
                <w:color w:val="auto"/>
              </w:rPr>
            </w:pPr>
            <w:r>
              <w:rPr>
                <w:rFonts w:hint="eastAsia" w:ascii="宋体" w:hAnsi="宋体" w:cs="宋体"/>
                <w:b w:val="0"/>
                <w:bCs w:val="0"/>
                <w:color w:val="auto"/>
                <w:kern w:val="0"/>
                <w:sz w:val="20"/>
                <w:szCs w:val="20"/>
              </w:rPr>
              <w:t>一、本年新收政府信息公开申请数量</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rPr>
                <w:b w:val="0"/>
                <w:bCs w:val="0"/>
                <w:color w:val="auto"/>
              </w:rPr>
            </w:pPr>
            <w:r>
              <w:rPr>
                <w:rFonts w:hint="eastAsia" w:ascii="宋体" w:hAnsi="宋体" w:cs="宋体"/>
                <w:b w:val="0"/>
                <w:bCs w:val="0"/>
                <w:color w:val="auto"/>
                <w:kern w:val="0"/>
                <w:sz w:val="20"/>
                <w:szCs w:val="20"/>
              </w:rPr>
              <w:t>二、上年结转政府信息公开申请数量</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rPr>
                <w:b w:val="0"/>
                <w:bCs w:val="0"/>
                <w:color w:val="auto"/>
              </w:rPr>
            </w:pPr>
            <w:r>
              <w:rPr>
                <w:rFonts w:hint="eastAsia" w:ascii="宋体" w:hAnsi="宋体" w:cs="宋体"/>
                <w:b w:val="0"/>
                <w:bCs w:val="0"/>
                <w:color w:val="auto"/>
                <w:kern w:val="0"/>
                <w:sz w:val="20"/>
                <w:szCs w:val="20"/>
              </w:rPr>
              <w:t>三、本年度办理结果</w:t>
            </w: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widowControl/>
              <w:rPr>
                <w:b w:val="0"/>
                <w:bCs w:val="0"/>
                <w:color w:val="auto"/>
              </w:rPr>
            </w:pPr>
            <w:r>
              <w:rPr>
                <w:rFonts w:ascii="楷体" w:hAnsi="楷体" w:eastAsia="楷体" w:cs="楷体"/>
                <w:b w:val="0"/>
                <w:bCs w:val="0"/>
                <w:color w:val="auto"/>
                <w:kern w:val="0"/>
                <w:sz w:val="20"/>
                <w:szCs w:val="20"/>
              </w:rPr>
              <w:t>（一）予以公开</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widowControl/>
              <w:rPr>
                <w:b w:val="0"/>
                <w:bCs w:val="0"/>
                <w:color w:val="auto"/>
              </w:rPr>
            </w:pPr>
            <w:r>
              <w:rPr>
                <w:rFonts w:hint="eastAsia" w:ascii="楷体" w:hAnsi="楷体" w:eastAsia="楷体" w:cs="楷体"/>
                <w:b w:val="0"/>
                <w:bCs w:val="0"/>
                <w:color w:val="auto"/>
                <w:kern w:val="0"/>
                <w:sz w:val="20"/>
                <w:szCs w:val="20"/>
              </w:rPr>
              <w:t>（二）部分公开（区分处理的，只计这一情形，不计其他情形）</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ind w:left="-107" w:leftChars="-51"/>
              <w:rPr>
                <w:b w:val="0"/>
                <w:bCs w:val="0"/>
                <w:color w:val="auto"/>
              </w:rPr>
            </w:pPr>
            <w:r>
              <w:rPr>
                <w:rFonts w:hint="eastAsia" w:ascii="楷体" w:hAnsi="楷体" w:eastAsia="楷体" w:cs="楷体"/>
                <w:b w:val="0"/>
                <w:bCs w:val="0"/>
                <w:color w:val="auto"/>
                <w:kern w:val="0"/>
                <w:sz w:val="20"/>
                <w:szCs w:val="20"/>
              </w:rPr>
              <w:t>（三）不予公开</w:t>
            </w: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1.属于国家秘密</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2.其他法律行政法规禁止公开</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3.危及“三安全一稳定”</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4.保护第三方合法权益</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5.属于三类内部事务信息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6.属于四类过程性信息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7.属于行政执法案卷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8.属于行政查询事项</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ind w:left="-107" w:leftChars="-51"/>
              <w:rPr>
                <w:b w:val="0"/>
                <w:bCs w:val="0"/>
                <w:color w:val="auto"/>
              </w:rPr>
            </w:pPr>
            <w:r>
              <w:rPr>
                <w:rFonts w:hint="eastAsia" w:ascii="楷体" w:hAnsi="楷体" w:eastAsia="楷体" w:cs="楷体"/>
                <w:b w:val="0"/>
                <w:bCs w:val="0"/>
                <w:color w:val="auto"/>
                <w:kern w:val="0"/>
                <w:sz w:val="20"/>
                <w:szCs w:val="20"/>
              </w:rPr>
              <w:t>（四）无法提供</w:t>
            </w: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1.本机关不掌握相关政府信息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eastAsia="宋体"/>
                <w:b w:val="0"/>
                <w:bCs w:val="0"/>
                <w:color w:val="auto"/>
                <w:lang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spacing w:line="200" w:lineRule="exact"/>
              <w:ind w:left="-107" w:leftChars="-51"/>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2.没有现成信息需要另行制作</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spacing w:line="200" w:lineRule="exact"/>
              <w:ind w:left="-107" w:leftChars="-51"/>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3.补正后申请内容仍不明确</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ind w:left="-107" w:leftChars="-51"/>
              <w:rPr>
                <w:b w:val="0"/>
                <w:bCs w:val="0"/>
                <w:color w:val="auto"/>
              </w:rPr>
            </w:pPr>
            <w:r>
              <w:rPr>
                <w:rFonts w:hint="eastAsia" w:ascii="楷体" w:hAnsi="楷体" w:eastAsia="楷体" w:cs="楷体"/>
                <w:b w:val="0"/>
                <w:bCs w:val="0"/>
                <w:color w:val="auto"/>
                <w:kern w:val="0"/>
                <w:sz w:val="20"/>
                <w:szCs w:val="20"/>
              </w:rPr>
              <w:t>（五）不予处理</w:t>
            </w: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1.信访举报投诉类申请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2.重复申请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b w:val="0"/>
                <w:bCs w:val="0"/>
                <w:color w:val="auto"/>
              </w:rPr>
            </w:pPr>
            <w:r>
              <w:rPr>
                <w:rFonts w:hint="eastAsia" w:ascii="楷体" w:hAnsi="楷体" w:eastAsia="楷体" w:cs="楷体"/>
                <w:b w:val="0"/>
                <w:bCs w:val="0"/>
                <w:color w:val="auto"/>
                <w:kern w:val="0"/>
                <w:sz w:val="20"/>
                <w:szCs w:val="20"/>
              </w:rPr>
              <w:t>3.要求提供公开出版物</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b w:val="0"/>
                <w:bCs w:val="0"/>
                <w:color w:val="auto"/>
              </w:rPr>
            </w:pPr>
            <w:r>
              <w:rPr>
                <w:rFonts w:hint="eastAsia" w:ascii="楷体" w:hAnsi="楷体" w:eastAsia="楷体" w:cs="楷体"/>
                <w:b w:val="0"/>
                <w:bCs w:val="0"/>
                <w:color w:val="auto"/>
                <w:kern w:val="0"/>
                <w:sz w:val="20"/>
                <w:szCs w:val="20"/>
              </w:rPr>
              <w:t>4.无正当理由大量反复申请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rPr>
                <w:rFonts w:hint="eastAsia"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5.要求行政机关确认或重新</w:t>
            </w:r>
          </w:p>
          <w:p>
            <w:pPr>
              <w:widowControl/>
              <w:spacing w:line="300" w:lineRule="exact"/>
              <w:ind w:firstLine="200" w:firstLineChars="100"/>
              <w:rPr>
                <w:b w:val="0"/>
                <w:bCs w:val="0"/>
                <w:color w:val="auto"/>
              </w:rPr>
            </w:pPr>
            <w:r>
              <w:rPr>
                <w:rFonts w:hint="eastAsia" w:ascii="楷体" w:hAnsi="楷体" w:eastAsia="楷体" w:cs="楷体"/>
                <w:b w:val="0"/>
                <w:bCs w:val="0"/>
                <w:color w:val="auto"/>
                <w:kern w:val="0"/>
                <w:sz w:val="20"/>
                <w:szCs w:val="20"/>
              </w:rPr>
              <w:t>出具已获取信息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1418" w:type="dxa"/>
            <w:vMerge w:val="restart"/>
            <w:tcBorders>
              <w:top w:val="nil"/>
              <w:left w:val="nil"/>
              <w:right w:val="single" w:color="auto" w:sz="8" w:space="0"/>
            </w:tcBorders>
            <w:noWrap w:val="0"/>
            <w:tcMar>
              <w:left w:w="108" w:type="dxa"/>
              <w:right w:w="108" w:type="dxa"/>
            </w:tcMar>
            <w:vAlign w:val="center"/>
          </w:tcPr>
          <w:p>
            <w:pPr>
              <w:widowControl/>
              <w:spacing w:line="200" w:lineRule="exact"/>
              <w:rPr>
                <w:b w:val="0"/>
                <w:bCs w:val="0"/>
                <w:color w:val="auto"/>
              </w:rPr>
            </w:pPr>
            <w:r>
              <w:rPr>
                <w:rFonts w:hint="eastAsia" w:ascii="楷体" w:hAnsi="楷体" w:eastAsia="楷体" w:cs="楷体"/>
                <w:b w:val="0"/>
                <w:bCs w:val="0"/>
                <w:color w:val="auto"/>
                <w:kern w:val="0"/>
                <w:sz w:val="20"/>
                <w:szCs w:val="20"/>
              </w:rPr>
              <w:t>（六）其他处理</w:t>
            </w: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1.申请人无正当理由逾期不补正、行政机关不再处理其政府信息公开申请</w:t>
            </w:r>
          </w:p>
        </w:tc>
        <w:tc>
          <w:tcPr>
            <w:tcW w:w="850" w:type="dxa"/>
            <w:tcBorders>
              <w:top w:val="nil"/>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200" w:lineRule="exact"/>
              <w:rPr>
                <w:color w:val="auto"/>
              </w:rPr>
            </w:pPr>
          </w:p>
        </w:tc>
        <w:tc>
          <w:tcPr>
            <w:tcW w:w="1418" w:type="dxa"/>
            <w:vMerge w:val="continue"/>
            <w:tcBorders>
              <w:left w:val="nil"/>
              <w:right w:val="single" w:color="auto" w:sz="8" w:space="0"/>
            </w:tcBorders>
            <w:noWrap w:val="0"/>
            <w:tcMar>
              <w:left w:w="108" w:type="dxa"/>
              <w:right w:w="108" w:type="dxa"/>
            </w:tcMar>
            <w:vAlign w:val="center"/>
          </w:tcPr>
          <w:p>
            <w:pPr>
              <w:widowControl/>
              <w:spacing w:line="200" w:lineRule="exact"/>
              <w:rPr>
                <w:color w:val="auto"/>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2.申请人逾期未按收费通知要求缴纳费用、行政机关不再处理其政府信息公开申请</w:t>
            </w:r>
          </w:p>
        </w:tc>
        <w:tc>
          <w:tcPr>
            <w:tcW w:w="850" w:type="dxa"/>
            <w:tcBorders>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67" w:type="dxa"/>
            <w:tcBorders>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67" w:type="dxa"/>
            <w:tcBorders>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67" w:type="dxa"/>
            <w:tcBorders>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67" w:type="dxa"/>
            <w:tcBorders>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40" w:type="dxa"/>
            <w:tcBorders>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635" w:type="dxa"/>
            <w:tcBorders>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25" w:type="dxa"/>
            <w:vMerge w:val="continue"/>
            <w:tcBorders>
              <w:left w:val="single" w:color="auto" w:sz="8" w:space="0"/>
              <w:bottom w:val="single" w:color="auto" w:sz="8" w:space="0"/>
              <w:right w:val="single" w:color="auto" w:sz="8" w:space="0"/>
            </w:tcBorders>
            <w:noWrap w:val="0"/>
            <w:tcMar>
              <w:left w:w="108" w:type="dxa"/>
              <w:right w:w="108" w:type="dxa"/>
            </w:tcMar>
            <w:vAlign w:val="center"/>
          </w:tcPr>
          <w:p>
            <w:pPr>
              <w:widowControl/>
              <w:spacing w:line="200" w:lineRule="exact"/>
              <w:rPr>
                <w:rFonts w:hint="eastAsia" w:ascii="楷体" w:hAnsi="楷体" w:eastAsia="楷体" w:cs="楷体"/>
                <w:b w:val="0"/>
                <w:bCs w:val="0"/>
                <w:color w:val="auto"/>
                <w:kern w:val="0"/>
                <w:sz w:val="20"/>
                <w:szCs w:val="20"/>
              </w:rPr>
            </w:pPr>
          </w:p>
        </w:tc>
        <w:tc>
          <w:tcPr>
            <w:tcW w:w="1418" w:type="dxa"/>
            <w:vMerge w:val="continue"/>
            <w:tcBorders>
              <w:left w:val="nil"/>
              <w:bottom w:val="single" w:color="auto" w:sz="8" w:space="0"/>
              <w:right w:val="single" w:color="auto" w:sz="8" w:space="0"/>
            </w:tcBorders>
            <w:noWrap w:val="0"/>
            <w:tcMar>
              <w:left w:w="108" w:type="dxa"/>
              <w:right w:w="108" w:type="dxa"/>
            </w:tcMar>
            <w:vAlign w:val="center"/>
          </w:tcPr>
          <w:p>
            <w:pPr>
              <w:widowControl/>
              <w:spacing w:line="200" w:lineRule="exact"/>
              <w:rPr>
                <w:rFonts w:hint="eastAsia" w:ascii="楷体" w:hAnsi="楷体" w:eastAsia="楷体" w:cs="楷体"/>
                <w:b w:val="0"/>
                <w:bCs w:val="0"/>
                <w:color w:val="auto"/>
                <w:kern w:val="0"/>
                <w:sz w:val="20"/>
                <w:szCs w:val="20"/>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rFonts w:hint="eastAsia"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3.其他</w:t>
            </w:r>
          </w:p>
        </w:tc>
        <w:tc>
          <w:tcPr>
            <w:tcW w:w="850" w:type="dxa"/>
            <w:tcBorders>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67" w:type="dxa"/>
            <w:tcBorders>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67" w:type="dxa"/>
            <w:tcBorders>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67" w:type="dxa"/>
            <w:tcBorders>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67" w:type="dxa"/>
            <w:tcBorders>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40" w:type="dxa"/>
            <w:tcBorders>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635" w:type="dxa"/>
            <w:tcBorders>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b w:val="0"/>
                <w:bCs w:val="0"/>
                <w:color w:val="auto"/>
                <w:sz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widowControl/>
              <w:spacing w:line="200" w:lineRule="exact"/>
              <w:rPr>
                <w:b w:val="0"/>
                <w:bCs w:val="0"/>
                <w:color w:val="auto"/>
              </w:rPr>
            </w:pPr>
            <w:r>
              <w:rPr>
                <w:rFonts w:hint="eastAsia" w:ascii="楷体" w:hAnsi="楷体" w:eastAsia="楷体" w:cs="楷体"/>
                <w:b w:val="0"/>
                <w:bCs w:val="0"/>
                <w:color w:val="auto"/>
                <w:kern w:val="0"/>
                <w:sz w:val="20"/>
                <w:szCs w:val="20"/>
              </w:rPr>
              <w:t>（七）总计</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rPr>
                <w:b w:val="0"/>
                <w:bCs w:val="0"/>
                <w:color w:val="auto"/>
              </w:rPr>
            </w:pPr>
            <w:r>
              <w:rPr>
                <w:rFonts w:hint="eastAsia" w:ascii="宋体" w:hAnsi="宋体" w:cs="宋体"/>
                <w:b w:val="0"/>
                <w:bCs w:val="0"/>
                <w:color w:val="auto"/>
                <w:kern w:val="0"/>
                <w:sz w:val="20"/>
                <w:szCs w:val="20"/>
              </w:rPr>
              <w:t>四、结转下年度继续办理</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eastAsia="宋体"/>
                <w:b w:val="0"/>
                <w:bCs w:val="0"/>
                <w:color w:val="auto"/>
                <w:sz w:val="24"/>
                <w:lang w:val="en-US" w:eastAsia="zh-CN"/>
              </w:rPr>
            </w:pPr>
            <w:r>
              <w:rPr>
                <w:rFonts w:hint="eastAsia"/>
                <w:b w:val="0"/>
                <w:bCs w:val="0"/>
                <w:color w:val="auto"/>
                <w:lang w:val="en-US" w:eastAsia="zh-CN"/>
              </w:rPr>
              <w:t>0</w:t>
            </w:r>
          </w:p>
        </w:tc>
      </w:tr>
    </w:tbl>
    <w:p>
      <w:pPr>
        <w:pStyle w:val="10"/>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ˎ̥" w:eastAsia="仿宋_GB2312" w:cs="宋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四、政府信息公开行政复议、行政诉讼情况</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eastAsia" w:ascii="宋体" w:hAnsi="宋体" w:cs="宋体"/>
                <w:color w:val="auto"/>
                <w:kern w:val="0"/>
                <w:sz w:val="20"/>
                <w:szCs w:val="20"/>
              </w:rPr>
            </w:pPr>
            <w:r>
              <w:rPr>
                <w:rFonts w:hint="eastAsia" w:ascii="宋体" w:hAnsi="宋体" w:cs="宋体"/>
                <w:color w:val="auto"/>
                <w:kern w:val="0"/>
                <w:sz w:val="20"/>
                <w:szCs w:val="20"/>
              </w:rPr>
              <w:t>结果</w:t>
            </w:r>
          </w:p>
          <w:p>
            <w:pPr>
              <w:widowControl/>
              <w:ind w:left="-149" w:leftChars="-71" w:right="-170" w:rightChars="-81"/>
              <w:jc w:val="center"/>
              <w:rPr>
                <w:color w:val="auto"/>
              </w:rPr>
            </w:pPr>
            <w:r>
              <w:rPr>
                <w:rFonts w:hint="eastAsia" w:ascii="宋体" w:hAnsi="宋体" w:cs="宋体"/>
                <w:color w:val="auto"/>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color w:val="auto"/>
              </w:rPr>
            </w:pPr>
            <w:r>
              <w:rPr>
                <w:rFonts w:hint="eastAsia" w:ascii="宋体" w:hAnsi="宋体" w:cs="宋体"/>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color w:val="auto"/>
              </w:rPr>
            </w:pPr>
            <w:r>
              <w:rPr>
                <w:rFonts w:hint="eastAsia" w:ascii="宋体" w:hAnsi="宋体" w:cs="宋体"/>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hint="eastAsia" w:ascii="宋体" w:hAnsi="宋体" w:cs="宋体"/>
                <w:color w:val="auto"/>
                <w:kern w:val="0"/>
                <w:sz w:val="20"/>
                <w:szCs w:val="20"/>
              </w:rPr>
            </w:pPr>
            <w:r>
              <w:rPr>
                <w:rFonts w:hint="eastAsia" w:ascii="宋体" w:hAnsi="宋体" w:cs="宋体"/>
                <w:color w:val="auto"/>
                <w:kern w:val="0"/>
                <w:sz w:val="20"/>
                <w:szCs w:val="20"/>
              </w:rPr>
              <w:t>尚未</w:t>
            </w:r>
          </w:p>
          <w:p>
            <w:pPr>
              <w:widowControl/>
              <w:ind w:left="-118" w:leftChars="-56" w:right="-118" w:rightChars="-56"/>
              <w:jc w:val="center"/>
              <w:rPr>
                <w:color w:val="auto"/>
              </w:rPr>
            </w:pPr>
            <w:r>
              <w:rPr>
                <w:rFonts w:hint="eastAsia" w:ascii="宋体" w:hAnsi="宋体" w:cs="宋体"/>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总</w:t>
            </w:r>
          </w:p>
          <w:p>
            <w:pPr>
              <w:widowControl/>
              <w:spacing w:line="320" w:lineRule="exact"/>
              <w:jc w:val="center"/>
              <w:rPr>
                <w:color w:val="auto"/>
              </w:rPr>
            </w:pPr>
            <w:r>
              <w:rPr>
                <w:rFonts w:hint="eastAsia" w:ascii="宋体" w:hAnsi="宋体" w:cs="宋体"/>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color w:val="auto"/>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宋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宋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宋体"/>
                <w:color w:val="auto"/>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宋体"/>
                <w:color w:val="auto"/>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color w:val="auto"/>
              </w:rPr>
            </w:pPr>
            <w:r>
              <w:rPr>
                <w:rFonts w:hint="eastAsia" w:ascii="宋体" w:hAnsi="宋体" w:cs="宋体"/>
                <w:color w:val="auto"/>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color w:val="auto"/>
              </w:rPr>
            </w:pPr>
            <w:r>
              <w:rPr>
                <w:rFonts w:hint="eastAsia" w:ascii="宋体" w:hAnsi="宋体" w:cs="宋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hint="eastAsia" w:ascii="宋体" w:hAnsi="宋体" w:cs="宋体"/>
                <w:color w:val="auto"/>
                <w:kern w:val="0"/>
                <w:sz w:val="20"/>
                <w:szCs w:val="20"/>
              </w:rPr>
            </w:pPr>
            <w:r>
              <w:rPr>
                <w:rFonts w:hint="eastAsia" w:ascii="宋体" w:hAnsi="宋体" w:cs="宋体"/>
                <w:color w:val="auto"/>
                <w:kern w:val="0"/>
                <w:sz w:val="20"/>
                <w:szCs w:val="20"/>
              </w:rPr>
              <w:t>其他</w:t>
            </w:r>
          </w:p>
          <w:p>
            <w:pPr>
              <w:widowControl/>
              <w:ind w:left="-126" w:leftChars="-60" w:right="-136" w:rightChars="-65"/>
              <w:jc w:val="center"/>
              <w:rPr>
                <w:color w:val="auto"/>
              </w:rPr>
            </w:pPr>
            <w:r>
              <w:rPr>
                <w:rFonts w:hint="eastAsia" w:ascii="宋体" w:hAnsi="宋体" w:cs="宋体"/>
                <w:color w:val="auto"/>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hint="eastAsia" w:ascii="宋体" w:hAnsi="宋体" w:cs="宋体"/>
                <w:color w:val="auto"/>
                <w:kern w:val="0"/>
                <w:sz w:val="20"/>
                <w:szCs w:val="20"/>
              </w:rPr>
            </w:pPr>
            <w:r>
              <w:rPr>
                <w:rFonts w:hint="eastAsia" w:ascii="宋体" w:hAnsi="宋体" w:cs="宋体"/>
                <w:color w:val="auto"/>
                <w:kern w:val="0"/>
                <w:sz w:val="20"/>
                <w:szCs w:val="20"/>
              </w:rPr>
              <w:t>尚未</w:t>
            </w:r>
          </w:p>
          <w:p>
            <w:pPr>
              <w:widowControl/>
              <w:ind w:left="-164" w:leftChars="-78" w:right="-153" w:rightChars="-73"/>
              <w:jc w:val="center"/>
              <w:rPr>
                <w:color w:val="auto"/>
              </w:rPr>
            </w:pPr>
            <w:r>
              <w:rPr>
                <w:rFonts w:hint="eastAsia" w:ascii="宋体" w:hAnsi="宋体" w:cs="宋体"/>
                <w:color w:val="auto"/>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color w:val="auto"/>
              </w:rPr>
            </w:pPr>
            <w:r>
              <w:rPr>
                <w:rFonts w:hint="eastAsia" w:ascii="宋体" w:hAnsi="宋体" w:cs="宋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hint="eastAsia" w:ascii="宋体" w:hAnsi="宋体" w:cs="宋体"/>
                <w:color w:val="auto"/>
                <w:kern w:val="0"/>
                <w:sz w:val="20"/>
                <w:szCs w:val="20"/>
              </w:rPr>
            </w:pPr>
            <w:r>
              <w:rPr>
                <w:rFonts w:hint="eastAsia" w:ascii="宋体" w:hAnsi="宋体" w:cs="宋体"/>
                <w:color w:val="auto"/>
                <w:kern w:val="0"/>
                <w:sz w:val="20"/>
                <w:szCs w:val="20"/>
              </w:rPr>
              <w:t>结果</w:t>
            </w:r>
          </w:p>
          <w:p>
            <w:pPr>
              <w:widowControl/>
              <w:ind w:left="-136" w:leftChars="-65" w:right="-124" w:rightChars="-59"/>
              <w:jc w:val="center"/>
              <w:rPr>
                <w:color w:val="auto"/>
              </w:rPr>
            </w:pPr>
            <w:r>
              <w:rPr>
                <w:rFonts w:hint="eastAsia" w:ascii="宋体" w:hAnsi="宋体" w:cs="宋体"/>
                <w:color w:val="auto"/>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hint="eastAsia" w:ascii="宋体" w:hAnsi="宋体" w:cs="宋体"/>
                <w:color w:val="auto"/>
                <w:kern w:val="0"/>
                <w:sz w:val="20"/>
                <w:szCs w:val="20"/>
              </w:rPr>
            </w:pPr>
            <w:r>
              <w:rPr>
                <w:rFonts w:hint="eastAsia" w:ascii="宋体" w:hAnsi="宋体" w:cs="宋体"/>
                <w:color w:val="auto"/>
                <w:kern w:val="0"/>
                <w:sz w:val="20"/>
                <w:szCs w:val="20"/>
              </w:rPr>
              <w:t>其他</w:t>
            </w:r>
          </w:p>
          <w:p>
            <w:pPr>
              <w:widowControl/>
              <w:ind w:left="-173" w:leftChars="-83" w:right="-134" w:rightChars="-64" w:hanging="1"/>
              <w:jc w:val="center"/>
              <w:rPr>
                <w:color w:val="auto"/>
              </w:rPr>
            </w:pPr>
            <w:r>
              <w:rPr>
                <w:rFonts w:hint="eastAsia" w:ascii="宋体" w:hAnsi="宋体" w:cs="宋体"/>
                <w:color w:val="auto"/>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color w:val="auto"/>
              </w:rPr>
            </w:pPr>
            <w:r>
              <w:rPr>
                <w:rFonts w:hint="eastAsia" w:ascii="宋体" w:hAnsi="宋体" w:cs="宋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before="156" w:beforeLines="50" w:after="180"/>
              <w:jc w:val="center"/>
              <w:rPr>
                <w:rFonts w:hint="eastAsia"/>
                <w:color w:val="auto"/>
              </w:rPr>
            </w:pPr>
            <w:r>
              <w:rPr>
                <w:rFonts w:hint="eastAsia"/>
                <w:b w:val="0"/>
                <w:bCs w:val="0"/>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before="156" w:beforeLines="50" w:after="180"/>
              <w:jc w:val="center"/>
              <w:rPr>
                <w:color w:val="auto"/>
              </w:rPr>
            </w:pPr>
            <w:r>
              <w:rPr>
                <w:rFonts w:hint="eastAsia"/>
                <w:b w:val="0"/>
                <w:bCs w:val="0"/>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before="156" w:beforeLines="50" w:after="180"/>
              <w:jc w:val="center"/>
              <w:rPr>
                <w:color w:val="auto"/>
              </w:rPr>
            </w:pPr>
            <w:r>
              <w:rPr>
                <w:rFonts w:hint="eastAsia"/>
                <w:b w:val="0"/>
                <w:bCs w:val="0"/>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before="156" w:beforeLines="50" w:after="180"/>
              <w:jc w:val="center"/>
              <w:rPr>
                <w:rFonts w:hint="eastAsia"/>
                <w:color w:val="auto"/>
              </w:rPr>
            </w:pPr>
            <w:r>
              <w:rPr>
                <w:rFonts w:hint="eastAsia"/>
                <w:b w:val="0"/>
                <w:bCs w:val="0"/>
                <w:color w:val="auto"/>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before="156" w:beforeLines="50" w:after="180"/>
              <w:jc w:val="center"/>
              <w:rPr>
                <w:rFonts w:hint="eastAsia"/>
                <w:color w:val="auto"/>
              </w:rPr>
            </w:pPr>
            <w:r>
              <w:rPr>
                <w:rFonts w:hint="eastAsia"/>
                <w:b w:val="0"/>
                <w:bCs w:val="0"/>
                <w:color w:val="auto"/>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before="156" w:beforeLines="50" w:after="180"/>
              <w:jc w:val="center"/>
              <w:rPr>
                <w:rFonts w:hint="eastAsia"/>
                <w:color w:val="auto"/>
              </w:rPr>
            </w:pPr>
            <w:r>
              <w:rPr>
                <w:rFonts w:hint="eastAsia"/>
                <w:b w:val="0"/>
                <w:bCs w:val="0"/>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before="156" w:beforeLines="50" w:after="180"/>
              <w:jc w:val="center"/>
              <w:rPr>
                <w:rFonts w:hint="eastAsia"/>
                <w:color w:val="auto"/>
              </w:rPr>
            </w:pPr>
            <w:r>
              <w:rPr>
                <w:rFonts w:hint="eastAsia"/>
                <w:b w:val="0"/>
                <w:bCs w:val="0"/>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before="156" w:beforeLines="50" w:after="180"/>
              <w:jc w:val="center"/>
              <w:rPr>
                <w:color w:val="auto"/>
              </w:rPr>
            </w:pPr>
            <w:r>
              <w:rPr>
                <w:rFonts w:hint="eastAsia"/>
                <w:b w:val="0"/>
                <w:bCs w:val="0"/>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before="156" w:beforeLines="50" w:after="180"/>
              <w:jc w:val="center"/>
              <w:rPr>
                <w:color w:val="auto"/>
              </w:rPr>
            </w:pPr>
            <w:r>
              <w:rPr>
                <w:rFonts w:hint="eastAsia"/>
                <w:b w:val="0"/>
                <w:bCs w:val="0"/>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before="156" w:beforeLines="50" w:after="180"/>
              <w:jc w:val="center"/>
              <w:rPr>
                <w:rFonts w:hint="eastAsia"/>
                <w:color w:val="auto"/>
              </w:rPr>
            </w:pPr>
            <w:r>
              <w:rPr>
                <w:rFonts w:hint="eastAsia"/>
                <w:b w:val="0"/>
                <w:bCs w:val="0"/>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before="156" w:beforeLines="50" w:after="180"/>
              <w:jc w:val="center"/>
              <w:rPr>
                <w:color w:val="auto"/>
              </w:rPr>
            </w:pPr>
            <w:r>
              <w:rPr>
                <w:rFonts w:hint="eastAsia"/>
                <w:b w:val="0"/>
                <w:bCs w:val="0"/>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before="156" w:beforeLines="50" w:after="180"/>
              <w:jc w:val="center"/>
              <w:rPr>
                <w:color w:val="auto"/>
              </w:rPr>
            </w:pPr>
            <w:r>
              <w:rPr>
                <w:rFonts w:hint="eastAsia"/>
                <w:b w:val="0"/>
                <w:bCs w:val="0"/>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before="156" w:beforeLines="50" w:after="180"/>
              <w:jc w:val="center"/>
              <w:rPr>
                <w:color w:val="auto"/>
              </w:rPr>
            </w:pPr>
            <w:r>
              <w:rPr>
                <w:rFonts w:hint="eastAsia"/>
                <w:b w:val="0"/>
                <w:bCs w:val="0"/>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before="156" w:beforeLines="50" w:after="180"/>
              <w:jc w:val="center"/>
              <w:rPr>
                <w:color w:val="auto"/>
              </w:rPr>
            </w:pPr>
            <w:r>
              <w:rPr>
                <w:rFonts w:hint="eastAsia"/>
                <w:b w:val="0"/>
                <w:bCs w:val="0"/>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宋体"/>
                <w:color w:val="auto"/>
                <w:sz w:val="24"/>
              </w:rPr>
            </w:pPr>
            <w:r>
              <w:rPr>
                <w:rFonts w:hint="eastAsia"/>
                <w:b w:val="0"/>
                <w:bCs w:val="0"/>
                <w:color w:val="auto"/>
                <w:lang w:val="en-US" w:eastAsia="zh-CN"/>
              </w:rPr>
              <w:t>0</w:t>
            </w:r>
          </w:p>
        </w:tc>
      </w:tr>
    </w:tbl>
    <w:p>
      <w:pPr>
        <w:widowControl/>
        <w:shd w:val="clear" w:color="auto"/>
        <w:jc w:val="left"/>
        <w:rPr>
          <w:rFonts w:ascii="宋体" w:hAnsi="宋体" w:eastAsia="宋体" w:cs="宋体"/>
          <w:color w:val="auto"/>
          <w:sz w:val="24"/>
        </w:rPr>
      </w:pP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ascii="黑体" w:hAnsi="黑体" w:eastAsia="黑体" w:cs="宋体"/>
          <w:color w:val="auto"/>
          <w:sz w:val="32"/>
          <w:szCs w:val="32"/>
          <w:shd w:val="clear" w:color="auto" w:fill="FFFFFF"/>
        </w:rPr>
      </w:pPr>
      <w:r>
        <w:rPr>
          <w:rFonts w:hint="eastAsia" w:ascii="黑体" w:hAnsi="黑体" w:eastAsia="黑体" w:cs="宋体"/>
          <w:color w:val="auto"/>
          <w:sz w:val="32"/>
          <w:szCs w:val="32"/>
          <w:shd w:val="clear" w:color="auto" w:fill="FFFFFF"/>
        </w:rPr>
        <w:t>五、存在的主要问题及改进情况</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default" w:ascii="楷体_GB2312" w:hAnsi="宋体" w:eastAsia="楷体_GB2312" w:cs="宋体"/>
          <w:b/>
          <w:bCs w:val="0"/>
          <w:color w:val="auto"/>
          <w:kern w:val="0"/>
          <w:sz w:val="32"/>
          <w:szCs w:val="32"/>
          <w:lang w:val="en-US" w:eastAsia="zh-CN" w:bidi="ar-SA"/>
        </w:rPr>
      </w:pPr>
      <w:r>
        <w:rPr>
          <w:rFonts w:hint="eastAsia" w:ascii="楷体_GB2312" w:hAnsi="宋体" w:eastAsia="楷体_GB2312" w:cs="宋体"/>
          <w:b/>
          <w:bCs w:val="0"/>
          <w:color w:val="auto"/>
          <w:kern w:val="0"/>
          <w:sz w:val="32"/>
          <w:szCs w:val="32"/>
          <w:lang w:val="en-US" w:eastAsia="zh-CN" w:bidi="ar-SA"/>
        </w:rPr>
        <w:t>（一）2020年问题整改情况。</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bookmarkStart w:id="0" w:name="_GoBack"/>
      <w:r>
        <w:rPr>
          <w:rFonts w:hint="eastAsia" w:ascii="仿宋_GB2312" w:eastAsia="仿宋_GB2312" w:cstheme="minorBidi"/>
          <w:bCs/>
          <w:color w:val="auto"/>
          <w:kern w:val="2"/>
          <w:sz w:val="32"/>
          <w:szCs w:val="32"/>
          <w:shd w:val="clear" w:color="auto" w:fill="FFFFFF"/>
          <w:lang w:val="en-US" w:eastAsia="zh-CN"/>
        </w:rPr>
        <w:t>一是</w:t>
      </w:r>
      <w:r>
        <w:rPr>
          <w:rFonts w:hint="eastAsia" w:ascii="仿宋_GB2312" w:eastAsia="仿宋_GB2312" w:cstheme="minorBidi"/>
          <w:bCs/>
          <w:color w:val="auto"/>
          <w:kern w:val="2"/>
          <w:sz w:val="32"/>
          <w:szCs w:val="32"/>
          <w:shd w:val="clear" w:color="auto" w:fill="FFFFFF"/>
          <w:lang w:val="en-US" w:eastAsia="zh-CN"/>
        </w:rPr>
        <w:t>组织</w:t>
      </w:r>
      <w:bookmarkEnd w:id="0"/>
      <w:r>
        <w:rPr>
          <w:rFonts w:hint="eastAsia" w:ascii="仿宋_GB2312" w:eastAsia="仿宋_GB2312" w:cstheme="minorBidi"/>
          <w:bCs/>
          <w:color w:val="auto"/>
          <w:kern w:val="2"/>
          <w:sz w:val="32"/>
          <w:szCs w:val="32"/>
          <w:shd w:val="clear" w:color="auto" w:fill="FFFFFF"/>
          <w:lang w:val="en-US" w:eastAsia="zh-CN"/>
        </w:rPr>
        <w:t>进行《政府信息公开条例》的学习，并不定时抽查学习情况，督促全体干部职工对政府信息公开知识进行认真学习，提高对政府信息公开工作的重视程度。</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eastAsia" w:ascii="仿宋_GB2312" w:eastAsia="仿宋_GB2312" w:cstheme="minorBidi"/>
          <w:bCs/>
          <w:color w:val="auto"/>
          <w:kern w:val="2"/>
          <w:sz w:val="32"/>
          <w:szCs w:val="32"/>
          <w:shd w:val="clear" w:color="auto" w:fill="FFFFFF"/>
          <w:lang w:val="en-US" w:eastAsia="zh-CN"/>
        </w:rPr>
        <w:t>二是将政府信息公开框架中的类别进行全方位地更新，让广大人民群众更好地认识审计工作，并对一些国家大政方针进行及时解读公开。</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eastAsia" w:ascii="仿宋_GB2312" w:eastAsia="仿宋_GB2312" w:cstheme="minorBidi"/>
          <w:bCs/>
          <w:color w:val="auto"/>
          <w:kern w:val="2"/>
          <w:sz w:val="32"/>
          <w:szCs w:val="32"/>
          <w:shd w:val="clear" w:color="auto" w:fill="FFFFFF"/>
          <w:lang w:val="en-US" w:eastAsia="zh-CN"/>
        </w:rPr>
        <w:t>三是及时、准确地进行政府信息公开更新。</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楷体_GB2312" w:hAnsi="宋体" w:eastAsia="楷体_GB2312" w:cs="宋体"/>
          <w:b/>
          <w:bCs w:val="0"/>
          <w:color w:val="auto"/>
          <w:kern w:val="0"/>
          <w:sz w:val="32"/>
          <w:szCs w:val="32"/>
          <w:lang w:val="en-US" w:eastAsia="zh-CN" w:bidi="ar-SA"/>
        </w:rPr>
      </w:pPr>
      <w:r>
        <w:rPr>
          <w:rFonts w:hint="eastAsia" w:ascii="楷体_GB2312" w:hAnsi="宋体" w:eastAsia="楷体_GB2312" w:cs="宋体"/>
          <w:b/>
          <w:bCs w:val="0"/>
          <w:color w:val="auto"/>
          <w:kern w:val="0"/>
          <w:sz w:val="32"/>
          <w:szCs w:val="32"/>
          <w:lang w:val="en-US" w:eastAsia="zh-CN" w:bidi="ar-SA"/>
        </w:rPr>
        <w:t>（二）2021年存在的主要问题。</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eastAsia="仿宋_GB2312" w:cstheme="minorBidi"/>
          <w:bCs/>
          <w:color w:val="auto"/>
          <w:kern w:val="2"/>
          <w:sz w:val="32"/>
          <w:szCs w:val="32"/>
          <w:shd w:val="clear" w:color="auto" w:fill="FFFFFF"/>
          <w:lang w:val="en-US" w:eastAsia="zh-CN"/>
        </w:rPr>
      </w:pPr>
      <w:r>
        <w:rPr>
          <w:rFonts w:hint="eastAsia" w:ascii="仿宋_GB2312" w:eastAsia="仿宋_GB2312" w:cstheme="minorBidi"/>
          <w:bCs/>
          <w:color w:val="auto"/>
          <w:kern w:val="2"/>
          <w:sz w:val="32"/>
          <w:szCs w:val="32"/>
          <w:shd w:val="clear" w:color="auto" w:fill="FFFFFF"/>
          <w:lang w:val="en-US" w:eastAsia="zh-CN"/>
        </w:rPr>
        <w:t>我局在政务公开制度机制建设、提升规范化和信息化水平、增强公开实效等方面，取得了一定进展和成效，但与政务公开的要求，与保障人民群众知情、参与和监督的实际需求相比，还存在较大差距，主要表现在：</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eastAsia="仿宋_GB2312" w:cstheme="minorBidi"/>
          <w:bCs/>
          <w:color w:val="auto"/>
          <w:kern w:val="2"/>
          <w:sz w:val="32"/>
          <w:szCs w:val="32"/>
          <w:shd w:val="clear" w:color="auto" w:fill="FFFFFF"/>
          <w:lang w:val="en-US" w:eastAsia="zh-CN"/>
        </w:rPr>
      </w:pPr>
      <w:r>
        <w:rPr>
          <w:rFonts w:hint="eastAsia" w:ascii="仿宋_GB2312" w:eastAsia="仿宋_GB2312" w:cstheme="minorBidi"/>
          <w:bCs/>
          <w:color w:val="auto"/>
          <w:kern w:val="2"/>
          <w:sz w:val="32"/>
          <w:szCs w:val="32"/>
          <w:shd w:val="clear" w:color="auto" w:fill="FFFFFF"/>
          <w:lang w:val="en-US" w:eastAsia="zh-CN"/>
        </w:rPr>
        <w:t>一是由于审计工作的特殊性、专业性特点，可供公开的信息内容有限，公开范围不广；</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eastAsia="仿宋_GB2312" w:cstheme="minorBidi"/>
          <w:bCs/>
          <w:color w:val="auto"/>
          <w:kern w:val="2"/>
          <w:sz w:val="32"/>
          <w:szCs w:val="32"/>
          <w:shd w:val="clear" w:color="auto" w:fill="FFFFFF"/>
          <w:lang w:val="en-US" w:eastAsia="zh-CN"/>
        </w:rPr>
      </w:pPr>
      <w:r>
        <w:rPr>
          <w:rFonts w:hint="eastAsia" w:ascii="仿宋_GB2312" w:eastAsia="仿宋_GB2312" w:cstheme="minorBidi"/>
          <w:bCs/>
          <w:color w:val="auto"/>
          <w:kern w:val="2"/>
          <w:sz w:val="32"/>
          <w:szCs w:val="32"/>
          <w:shd w:val="clear" w:color="auto" w:fill="FFFFFF"/>
          <w:lang w:val="en-US" w:eastAsia="zh-CN"/>
        </w:rPr>
        <w:t>二是开展本部门在线访谈和征集调查活动不够，网站综合服务水平和功能有待提升。</w:t>
      </w:r>
    </w:p>
    <w:p>
      <w:pPr>
        <w:pStyle w:val="5"/>
        <w:keepNext w:val="0"/>
        <w:keepLines w:val="0"/>
        <w:pageBreakBefore w:val="0"/>
        <w:widowControl/>
        <w:numPr>
          <w:ilvl w:val="0"/>
          <w:numId w:val="2"/>
        </w:numPr>
        <w:shd w:val="clear" w:color="auto"/>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楷体_GB2312" w:hAnsi="宋体" w:eastAsia="楷体_GB2312" w:cs="宋体"/>
          <w:b/>
          <w:bCs w:val="0"/>
          <w:color w:val="auto"/>
          <w:kern w:val="0"/>
          <w:sz w:val="32"/>
          <w:szCs w:val="32"/>
          <w:lang w:val="en-US" w:eastAsia="zh-CN" w:bidi="ar-SA"/>
        </w:rPr>
      </w:pPr>
      <w:r>
        <w:rPr>
          <w:rFonts w:hint="eastAsia" w:ascii="楷体_GB2312" w:hAnsi="宋体" w:eastAsia="楷体_GB2312" w:cs="宋体"/>
          <w:b/>
          <w:bCs w:val="0"/>
          <w:color w:val="auto"/>
          <w:kern w:val="0"/>
          <w:sz w:val="32"/>
          <w:szCs w:val="32"/>
          <w:lang w:val="en-US" w:eastAsia="zh-CN" w:bidi="ar-SA"/>
        </w:rPr>
        <w:t>改进措施。</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eastAsia="仿宋_GB2312" w:cstheme="minorBidi"/>
          <w:bCs/>
          <w:color w:val="auto"/>
          <w:kern w:val="2"/>
          <w:sz w:val="32"/>
          <w:szCs w:val="32"/>
          <w:shd w:val="clear" w:color="auto" w:fill="FFFFFF"/>
          <w:lang w:val="en-US" w:eastAsia="zh-CN"/>
        </w:rPr>
      </w:pPr>
      <w:r>
        <w:rPr>
          <w:rFonts w:hint="eastAsia" w:ascii="仿宋_GB2312" w:eastAsia="仿宋_GB2312" w:cstheme="minorBidi"/>
          <w:bCs/>
          <w:color w:val="auto"/>
          <w:kern w:val="2"/>
          <w:sz w:val="32"/>
          <w:szCs w:val="32"/>
          <w:shd w:val="clear" w:color="auto" w:fill="FFFFFF"/>
          <w:lang w:val="en-US" w:eastAsia="zh-CN"/>
        </w:rPr>
        <w:t xml:space="preserve">一是按照政务公开要求，加大审计重点领域信息公开力度。充分利用审计成果，重点抓好审计结果和审计整改、重大政策措施落实、民生资金项目审计等情况的相关信息公开。 </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eastAsia="仿宋_GB2312" w:cstheme="minorBidi"/>
          <w:bCs/>
          <w:color w:val="auto"/>
          <w:kern w:val="2"/>
          <w:sz w:val="32"/>
          <w:szCs w:val="32"/>
          <w:shd w:val="clear" w:color="auto" w:fill="FFFFFF"/>
          <w:lang w:val="en-US" w:eastAsia="zh-CN"/>
        </w:rPr>
      </w:pPr>
      <w:r>
        <w:rPr>
          <w:rFonts w:hint="eastAsia" w:ascii="仿宋_GB2312" w:eastAsia="仿宋_GB2312" w:cstheme="minorBidi"/>
          <w:bCs/>
          <w:color w:val="auto"/>
          <w:kern w:val="2"/>
          <w:sz w:val="32"/>
          <w:szCs w:val="32"/>
          <w:shd w:val="clear" w:color="auto" w:fill="FFFFFF"/>
          <w:lang w:val="en-US" w:eastAsia="zh-CN"/>
        </w:rPr>
        <w:t>二是做好本级相关政策文件信息解读发布工作，探索图文并茂、数据图表、在线访谈解读等通俗易懂、丰富生动的解读形式和方式，提高公众知晓率，不断扩大审计的影响力；</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eastAsia="仿宋_GB2312" w:cstheme="minorBidi"/>
          <w:bCs/>
          <w:color w:val="auto"/>
          <w:kern w:val="2"/>
          <w:sz w:val="32"/>
          <w:szCs w:val="32"/>
          <w:shd w:val="clear" w:color="auto" w:fill="FFFFFF"/>
          <w:lang w:val="en-US" w:eastAsia="zh-CN"/>
        </w:rPr>
      </w:pPr>
      <w:r>
        <w:rPr>
          <w:rFonts w:hint="eastAsia" w:ascii="仿宋_GB2312" w:eastAsia="仿宋_GB2312" w:cstheme="minorBidi"/>
          <w:bCs/>
          <w:color w:val="auto"/>
          <w:kern w:val="2"/>
          <w:sz w:val="32"/>
          <w:szCs w:val="32"/>
          <w:shd w:val="clear" w:color="auto" w:fill="FFFFFF"/>
          <w:lang w:val="en-US" w:eastAsia="zh-CN"/>
        </w:rPr>
        <w:t>三是围绕人民群众关切的热点、重点、难点问题开展民意征集调查等活动，如广泛征求意见建议，让公众更多地参与到审计中来，共同为促进审计事业高质量发展出谋划策。</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ascii="黑体" w:hAnsi="黑体" w:eastAsia="黑体" w:cs="宋体"/>
          <w:color w:val="auto"/>
          <w:sz w:val="32"/>
          <w:szCs w:val="32"/>
          <w:shd w:val="clear" w:color="auto" w:fill="FFFFFF"/>
        </w:rPr>
      </w:pPr>
      <w:r>
        <w:rPr>
          <w:rFonts w:hint="eastAsia" w:ascii="黑体" w:hAnsi="黑体" w:eastAsia="黑体" w:cs="宋体"/>
          <w:color w:val="auto"/>
          <w:sz w:val="32"/>
          <w:szCs w:val="32"/>
          <w:shd w:val="clear" w:color="auto" w:fill="FFFFFF"/>
        </w:rPr>
        <w:t>六、其他需要报告的事项</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楷体_GB2312" w:hAnsi="宋体" w:eastAsia="楷体_GB2312" w:cs="宋体"/>
          <w:b w:val="0"/>
          <w:bCs/>
          <w:color w:val="auto"/>
          <w:kern w:val="0"/>
          <w:sz w:val="32"/>
          <w:szCs w:val="32"/>
          <w:lang w:val="en-US" w:eastAsia="zh-CN" w:bidi="ar-SA"/>
        </w:rPr>
        <w:t>（一）信息处理费收取情况</w:t>
      </w:r>
      <w:r>
        <w:rPr>
          <w:rFonts w:hint="eastAsia" w:ascii="仿宋_GB2312" w:hAnsi="仿宋_GB2312" w:eastAsia="仿宋_GB2312" w:cs="仿宋_GB2312"/>
          <w:b w:val="0"/>
          <w:bCs/>
          <w:color w:val="auto"/>
          <w:sz w:val="32"/>
          <w:szCs w:val="32"/>
          <w:shd w:val="clear" w:color="auto" w:fill="FFFFFF"/>
        </w:rPr>
        <w:t>。</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2021年度本单位未收取政府信息公开信息处理费。</w:t>
      </w:r>
    </w:p>
    <w:p>
      <w:pPr>
        <w:pStyle w:val="5"/>
        <w:keepNext w:val="0"/>
        <w:keepLines w:val="0"/>
        <w:pageBreakBefore w:val="0"/>
        <w:widowControl/>
        <w:numPr>
          <w:ilvl w:val="0"/>
          <w:numId w:val="3"/>
        </w:numPr>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default" w:ascii="仿宋_GB2312" w:eastAsia="仿宋_GB2312" w:cstheme="minorBidi"/>
          <w:bCs/>
          <w:color w:val="auto"/>
          <w:kern w:val="2"/>
          <w:sz w:val="32"/>
          <w:szCs w:val="32"/>
          <w:shd w:val="clear" w:color="auto" w:fill="FFFFFF"/>
          <w:lang w:val="en-US" w:eastAsia="zh-CN"/>
        </w:rPr>
        <w:t>本行政机关落实上级年度政务公开工作要点情况；</w:t>
      </w:r>
    </w:p>
    <w:p>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8" w:lineRule="exact"/>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eastAsia" w:ascii="仿宋_GB2312" w:eastAsia="仿宋_GB2312" w:cstheme="minorBidi"/>
          <w:bCs/>
          <w:color w:val="auto"/>
          <w:kern w:val="2"/>
          <w:sz w:val="32"/>
          <w:szCs w:val="32"/>
          <w:shd w:val="clear" w:color="auto" w:fill="FFFFFF"/>
          <w:lang w:val="en-US" w:eastAsia="zh-CN"/>
        </w:rPr>
        <w:t xml:space="preserve">     根据《2021年昌乐县政务公开重点工作任务分工》安排，扎实推动责任事项落实到位，抓好政策文件公开及解读，加强政务公开平台建设等。目前，县审计局涉及责任事项已全部落实到位。</w:t>
      </w:r>
    </w:p>
    <w:p>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default" w:ascii="仿宋_GB2312" w:eastAsia="仿宋_GB2312" w:cstheme="minorBidi"/>
          <w:bCs/>
          <w:color w:val="auto"/>
          <w:kern w:val="2"/>
          <w:sz w:val="32"/>
          <w:szCs w:val="32"/>
          <w:shd w:val="clear" w:color="auto" w:fill="FFFFFF"/>
          <w:lang w:val="en-US" w:eastAsia="zh-CN"/>
        </w:rPr>
        <w:t>（三）本行政机关人大代表建议和政协提案办理结果公开情况</w:t>
      </w:r>
      <w:r>
        <w:rPr>
          <w:rFonts w:hint="eastAsia" w:ascii="仿宋_GB2312" w:eastAsia="仿宋_GB2312" w:cstheme="minorBidi"/>
          <w:bCs/>
          <w:color w:val="auto"/>
          <w:kern w:val="2"/>
          <w:sz w:val="32"/>
          <w:szCs w:val="32"/>
          <w:shd w:val="clear" w:color="auto" w:fill="FFFFFF"/>
          <w:lang w:val="en-US" w:eastAsia="zh-CN"/>
        </w:rPr>
        <w:t>。2021年度县审计局未承办人大代表建议和政协提案。</w:t>
      </w:r>
    </w:p>
    <w:p>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default" w:ascii="仿宋_GB2312" w:eastAsia="仿宋_GB2312" w:cstheme="minorBidi"/>
          <w:bCs/>
          <w:color w:val="auto"/>
          <w:kern w:val="2"/>
          <w:sz w:val="32"/>
          <w:szCs w:val="32"/>
          <w:shd w:val="clear" w:color="auto" w:fill="FFFFFF"/>
          <w:lang w:val="en-US" w:eastAsia="zh-CN"/>
        </w:rPr>
        <w:t>（四）本行政机关年度政务公开工作创新情况</w:t>
      </w:r>
      <w:r>
        <w:rPr>
          <w:rFonts w:hint="eastAsia" w:ascii="仿宋_GB2312" w:eastAsia="仿宋_GB2312" w:cstheme="minorBidi"/>
          <w:bCs/>
          <w:color w:val="auto"/>
          <w:kern w:val="2"/>
          <w:sz w:val="32"/>
          <w:szCs w:val="32"/>
          <w:shd w:val="clear" w:color="auto" w:fill="FFFFFF"/>
          <w:lang w:val="en-US" w:eastAsia="zh-CN"/>
        </w:rPr>
        <w:t>。无。</w:t>
      </w:r>
    </w:p>
    <w:p>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default" w:ascii="仿宋_GB2312" w:eastAsia="仿宋_GB2312" w:cstheme="minorBidi"/>
          <w:bCs/>
          <w:color w:val="auto"/>
          <w:kern w:val="2"/>
          <w:sz w:val="32"/>
          <w:szCs w:val="32"/>
          <w:shd w:val="clear" w:color="auto" w:fill="FFFFFF"/>
          <w:lang w:val="en-US" w:eastAsia="zh-CN"/>
        </w:rPr>
        <w:t>（五）本行政机关政府信息公开工作年度报告数据统计需要说明的事项</w:t>
      </w:r>
      <w:r>
        <w:rPr>
          <w:rFonts w:hint="eastAsia" w:ascii="仿宋_GB2312" w:eastAsia="仿宋_GB2312" w:cstheme="minorBidi"/>
          <w:bCs/>
          <w:color w:val="auto"/>
          <w:kern w:val="2"/>
          <w:sz w:val="32"/>
          <w:szCs w:val="32"/>
          <w:shd w:val="clear" w:color="auto" w:fill="FFFFFF"/>
          <w:lang w:val="en-US" w:eastAsia="zh-CN"/>
        </w:rPr>
        <w:t>。本报告所列数据统计期限为2021年1月1日至2021年12月31日。</w:t>
      </w:r>
    </w:p>
    <w:p>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default" w:ascii="仿宋_GB2312" w:eastAsia="仿宋_GB2312" w:cstheme="minorBidi"/>
          <w:bCs/>
          <w:color w:val="auto"/>
          <w:kern w:val="2"/>
          <w:sz w:val="32"/>
          <w:szCs w:val="32"/>
          <w:shd w:val="clear" w:color="auto" w:fill="FFFFFF"/>
          <w:lang w:val="en-US" w:eastAsia="zh-CN"/>
        </w:rPr>
        <w:t>（六）本行政机关认为需要报告的其他事项</w:t>
      </w:r>
      <w:r>
        <w:rPr>
          <w:rFonts w:hint="eastAsia" w:ascii="仿宋_GB2312" w:eastAsia="仿宋_GB2312" w:cstheme="minorBidi"/>
          <w:bCs/>
          <w:color w:val="auto"/>
          <w:kern w:val="2"/>
          <w:sz w:val="32"/>
          <w:szCs w:val="32"/>
          <w:shd w:val="clear" w:color="auto" w:fill="FFFFFF"/>
          <w:lang w:val="en-US" w:eastAsia="zh-CN"/>
        </w:rPr>
        <w:t>。无。</w:t>
      </w:r>
    </w:p>
    <w:p>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default" w:ascii="仿宋_GB2312" w:eastAsia="仿宋_GB2312" w:cstheme="minorBidi"/>
          <w:bCs/>
          <w:color w:val="auto"/>
          <w:kern w:val="2"/>
          <w:sz w:val="32"/>
          <w:szCs w:val="32"/>
          <w:shd w:val="clear" w:color="auto" w:fill="FFFFFF"/>
          <w:lang w:val="en-US" w:eastAsia="zh-CN"/>
        </w:rPr>
        <w:t>（七）其他有关文件专门要求通过政府信息公开工作年度报告予以报告的事项。</w:t>
      </w:r>
      <w:r>
        <w:rPr>
          <w:rFonts w:hint="eastAsia" w:ascii="仿宋_GB2312" w:eastAsia="仿宋_GB2312" w:cstheme="minorBidi"/>
          <w:bCs/>
          <w:color w:val="auto"/>
          <w:kern w:val="2"/>
          <w:sz w:val="32"/>
          <w:szCs w:val="32"/>
          <w:shd w:val="clear" w:color="auto" w:fill="FFFFFF"/>
          <w:lang w:val="en-US" w:eastAsia="zh-CN"/>
        </w:rPr>
        <w:t>无。</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jc w:val="both"/>
        <w:textAlignment w:val="auto"/>
        <w:rPr>
          <w:rFonts w:hint="eastAsia" w:ascii="仿宋_GB2312" w:hAnsi="仿宋_GB2312" w:eastAsia="仿宋_GB2312" w:cs="仿宋_GB2312"/>
          <w:color w:val="auto"/>
          <w:sz w:val="32"/>
          <w:szCs w:val="32"/>
          <w:shd w:val="clear" w:color="auto" w:fill="FFFFFF"/>
        </w:rPr>
      </w:pP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right"/>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昌乐县审计局</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right"/>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2022年1月19日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17" w:bottom="1984" w:left="1417" w:header="851" w:footer="130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70094"/>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7F774"/>
    <w:multiLevelType w:val="singleLevel"/>
    <w:tmpl w:val="DBA7F774"/>
    <w:lvl w:ilvl="0" w:tentative="0">
      <w:start w:val="4"/>
      <w:numFmt w:val="chineseCounting"/>
      <w:suff w:val="nothing"/>
      <w:lvlText w:val="（%1）"/>
      <w:lvlJc w:val="left"/>
      <w:rPr>
        <w:rFonts w:hint="eastAsia"/>
      </w:rPr>
    </w:lvl>
  </w:abstractNum>
  <w:abstractNum w:abstractNumId="1">
    <w:nsid w:val="FF03F9E6"/>
    <w:multiLevelType w:val="singleLevel"/>
    <w:tmpl w:val="FF03F9E6"/>
    <w:lvl w:ilvl="0" w:tentative="0">
      <w:start w:val="3"/>
      <w:numFmt w:val="chineseCounting"/>
      <w:suff w:val="nothing"/>
      <w:lvlText w:val="（%1）"/>
      <w:lvlJc w:val="left"/>
      <w:rPr>
        <w:rFonts w:hint="eastAsia"/>
      </w:rPr>
    </w:lvl>
  </w:abstractNum>
  <w:abstractNum w:abstractNumId="2">
    <w:nsid w:val="6E9C5026"/>
    <w:multiLevelType w:val="singleLevel"/>
    <w:tmpl w:val="6E9C5026"/>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JiNDJhYTY3OThkMzhjNGFkMDEzOTIxN2VmMjkwOGEifQ=="/>
    <w:docVar w:name="KSO_WPS_MARK_KEY" w:val="a9d31cd8-b0ba-4cec-83c3-66a210f21f0b"/>
  </w:docVars>
  <w:rsids>
    <w:rsidRoot w:val="7B4105D4"/>
    <w:rsid w:val="00050F04"/>
    <w:rsid w:val="00052C97"/>
    <w:rsid w:val="000D1159"/>
    <w:rsid w:val="001D4E9E"/>
    <w:rsid w:val="002C5B52"/>
    <w:rsid w:val="003261E6"/>
    <w:rsid w:val="00387970"/>
    <w:rsid w:val="003F475E"/>
    <w:rsid w:val="0044574A"/>
    <w:rsid w:val="00476ACF"/>
    <w:rsid w:val="007726A7"/>
    <w:rsid w:val="00786878"/>
    <w:rsid w:val="0082134C"/>
    <w:rsid w:val="008751BA"/>
    <w:rsid w:val="00884E95"/>
    <w:rsid w:val="008D2E83"/>
    <w:rsid w:val="00901FD7"/>
    <w:rsid w:val="009600E1"/>
    <w:rsid w:val="009844C0"/>
    <w:rsid w:val="009B49D1"/>
    <w:rsid w:val="009D3FA0"/>
    <w:rsid w:val="009F3854"/>
    <w:rsid w:val="00A7654A"/>
    <w:rsid w:val="00AD3CA8"/>
    <w:rsid w:val="00B121CD"/>
    <w:rsid w:val="00B1763C"/>
    <w:rsid w:val="00BA384C"/>
    <w:rsid w:val="00C26EFC"/>
    <w:rsid w:val="00D75E1B"/>
    <w:rsid w:val="00EB49F5"/>
    <w:rsid w:val="062B6229"/>
    <w:rsid w:val="07087A45"/>
    <w:rsid w:val="090A5604"/>
    <w:rsid w:val="0F5F1A6D"/>
    <w:rsid w:val="111B4434"/>
    <w:rsid w:val="1AC741A3"/>
    <w:rsid w:val="1C242C2D"/>
    <w:rsid w:val="1ED1761E"/>
    <w:rsid w:val="1EEC5184"/>
    <w:rsid w:val="207C5E59"/>
    <w:rsid w:val="20C104F4"/>
    <w:rsid w:val="21AA2257"/>
    <w:rsid w:val="22E7748A"/>
    <w:rsid w:val="2AD44B1D"/>
    <w:rsid w:val="2B4632A9"/>
    <w:rsid w:val="2D6D6318"/>
    <w:rsid w:val="2E223195"/>
    <w:rsid w:val="353142A7"/>
    <w:rsid w:val="37464714"/>
    <w:rsid w:val="396B515E"/>
    <w:rsid w:val="3C9B337B"/>
    <w:rsid w:val="3D0A75D7"/>
    <w:rsid w:val="40066E40"/>
    <w:rsid w:val="40C268AB"/>
    <w:rsid w:val="41F2224E"/>
    <w:rsid w:val="43133256"/>
    <w:rsid w:val="44122E44"/>
    <w:rsid w:val="4962132E"/>
    <w:rsid w:val="4B24395B"/>
    <w:rsid w:val="4BCD79D6"/>
    <w:rsid w:val="4E1332DD"/>
    <w:rsid w:val="4E1B0CEA"/>
    <w:rsid w:val="51DA7BFD"/>
    <w:rsid w:val="520D5305"/>
    <w:rsid w:val="55BA0B63"/>
    <w:rsid w:val="56015F00"/>
    <w:rsid w:val="595C32F3"/>
    <w:rsid w:val="59E84817"/>
    <w:rsid w:val="5C7B7A1F"/>
    <w:rsid w:val="5DA34644"/>
    <w:rsid w:val="5DD73EFD"/>
    <w:rsid w:val="5E1A0F33"/>
    <w:rsid w:val="60975B4A"/>
    <w:rsid w:val="668D4C90"/>
    <w:rsid w:val="668E578B"/>
    <w:rsid w:val="6A342F66"/>
    <w:rsid w:val="744940A8"/>
    <w:rsid w:val="74E653E6"/>
    <w:rsid w:val="7A1274C6"/>
    <w:rsid w:val="7B4105D4"/>
    <w:rsid w:val="7C8F3842"/>
    <w:rsid w:val="7C9D33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批注框文本 Char"/>
    <w:basedOn w:val="7"/>
    <w:link w:val="2"/>
    <w:qFormat/>
    <w:uiPriority w:val="99"/>
    <w:rPr>
      <w:rFonts w:asciiTheme="minorHAnsi" w:hAnsiTheme="minorHAnsi" w:eastAsiaTheme="minorEastAsia" w:cstheme="minorBidi"/>
      <w:kern w:val="2"/>
      <w:sz w:val="18"/>
      <w:szCs w:val="18"/>
    </w:rPr>
  </w:style>
  <w:style w:type="character" w:customStyle="1" w:styleId="9">
    <w:name w:val="页脚 Char"/>
    <w:basedOn w:val="7"/>
    <w:link w:val="3"/>
    <w:qFormat/>
    <w:uiPriority w:val="99"/>
    <w:rPr>
      <w:rFonts w:asciiTheme="minorHAnsi" w:hAnsiTheme="minorHAnsi" w:eastAsiaTheme="minorEastAsia" w:cstheme="minorBidi"/>
      <w:kern w:val="2"/>
      <w:sz w:val="18"/>
      <w:szCs w:val="24"/>
    </w:rPr>
  </w:style>
  <w:style w:type="paragraph" w:customStyle="1" w:styleId="10">
    <w:name w:val="Body text|1"/>
    <w:basedOn w:val="1"/>
    <w:qFormat/>
    <w:uiPriority w:val="0"/>
    <w:pPr>
      <w:spacing w:line="593" w:lineRule="exact"/>
      <w:ind w:firstLine="610"/>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2829</Words>
  <Characters>2923</Characters>
  <Lines>14</Lines>
  <Paragraphs>4</Paragraphs>
  <TotalTime>12</TotalTime>
  <ScaleCrop>false</ScaleCrop>
  <LinksUpToDate>false</LinksUpToDate>
  <CharactersWithSpaces>2930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2020-01-15T03:36:00Z</dcterms:created>
  <dc:creator>January</dc:creator>
  <cp:lastModifiedBy>WPS_1658918391</cp:lastModifiedBy>
  <cp:lastPrinted>2021-01-25T07:20:00Z</cp:lastPrinted>
  <dcterms:modified xsi:type="dcterms:W3CDTF">2024-01-23T01:59:49Z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BAF0D57B5F4F4DAB95A2BB76A32A07E5</vt:lpwstr>
  </property>
</Properties>
</file>